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jc w:val="center"/>
        <w:rPr>
          <w:rFonts w:ascii="Times New Roman" w:hAnsi="Times New Roman" w:cs="Times New Roman"/>
          <w:sz w:val="32"/>
          <w:szCs w:val="32"/>
        </w:rPr>
      </w:pPr>
      <w:bookmarkStart w:id="0" w:name="_Toc406504137"/>
      <w:bookmarkStart w:id="1" w:name="_Toc175656733"/>
      <w:bookmarkStart w:id="2" w:name="_Toc234785865"/>
      <w:bookmarkStart w:id="3" w:name="_Toc233098790"/>
      <w:bookmarkStart w:id="4" w:name="_Toc407217289"/>
      <w:bookmarkStart w:id="5" w:name="_Toc233716343"/>
      <w:bookmarkStart w:id="6" w:name="_Toc370112101"/>
      <w:bookmarkStart w:id="7" w:name="_Toc264245486"/>
      <w:bookmarkStart w:id="8" w:name="_Toc264245612"/>
      <w:bookmarkStart w:id="9" w:name="_Toc173147920"/>
      <w:bookmarkStart w:id="10" w:name="_Toc407153423"/>
      <w:bookmarkStart w:id="11" w:name="_Toc173284069"/>
      <w:bookmarkStart w:id="12" w:name="_Toc420663610"/>
      <w:bookmarkStart w:id="13" w:name="_Toc233708582"/>
      <w:r>
        <w:rPr>
          <w:rFonts w:ascii="Times New Roman" w:hAnsi="Times New Roman" w:cs="Times New Roman"/>
          <w:sz w:val="32"/>
          <w:szCs w:val="32"/>
        </w:rPr>
        <w:t>目  录</w:t>
      </w:r>
    </w:p>
    <w:p>
      <w:pPr>
        <w:pStyle w:val="34"/>
        <w:tabs>
          <w:tab w:val="right" w:leader="dot" w:pos="8302"/>
        </w:tabs>
        <w:rPr>
          <w:rFonts w:ascii="Times New Roman" w:hAnsi="Times New Roman" w:cs="Times New Roman" w:eastAsiaTheme="minorEastAsia"/>
          <w:b w:val="0"/>
          <w:bCs w:val="0"/>
          <w:caps w:val="0"/>
          <w:sz w:val="24"/>
          <w:szCs w:val="24"/>
        </w:rPr>
      </w:pPr>
      <w:bookmarkStart w:id="14" w:name="_Toc464290023"/>
      <w:r>
        <w:rPr>
          <w:rFonts w:ascii="Times New Roman" w:hAnsi="Times New Roman" w:cs="Times New Roman"/>
          <w:b w:val="0"/>
          <w:smallCaps/>
        </w:rPr>
        <w:fldChar w:fldCharType="begin"/>
      </w:r>
      <w:r>
        <w:rPr>
          <w:rFonts w:ascii="Times New Roman" w:hAnsi="Times New Roman" w:cs="Times New Roman"/>
          <w:b w:val="0"/>
          <w:smallCaps/>
        </w:rPr>
        <w:instrText xml:space="preserve"> TOC \o "1-2" \h \z \u </w:instrText>
      </w:r>
      <w:r>
        <w:rPr>
          <w:rFonts w:ascii="Times New Roman" w:hAnsi="Times New Roman" w:cs="Times New Roman"/>
          <w:b w:val="0"/>
          <w:smallCaps/>
        </w:rPr>
        <w:fldChar w:fldCharType="separate"/>
      </w:r>
      <w:r>
        <w:fldChar w:fldCharType="begin"/>
      </w:r>
      <w:r>
        <w:instrText xml:space="preserve"> HYPERLINK \l "_Toc488578890" </w:instrText>
      </w:r>
      <w:r>
        <w:fldChar w:fldCharType="separate"/>
      </w:r>
      <w:r>
        <w:rPr>
          <w:rStyle w:val="52"/>
          <w:rFonts w:ascii="Times New Roman" w:cs="Times New Roman"/>
          <w:sz w:val="24"/>
          <w:szCs w:val="24"/>
        </w:rPr>
        <w:t>前</w:t>
      </w:r>
      <w:r>
        <w:rPr>
          <w:rStyle w:val="52"/>
          <w:rFonts w:ascii="Times New Roman" w:hAnsi="Times New Roman" w:cs="Times New Roman"/>
          <w:sz w:val="24"/>
          <w:szCs w:val="24"/>
        </w:rPr>
        <w:t xml:space="preserve">  </w:t>
      </w:r>
      <w:r>
        <w:rPr>
          <w:rStyle w:val="52"/>
          <w:rFonts w:ascii="Times New Roman" w:cs="Times New Roman"/>
          <w:sz w:val="24"/>
          <w:szCs w:val="24"/>
        </w:rPr>
        <w:t>言</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_Toc488578890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"_Toc488578891" </w:instrText>
      </w:r>
      <w:r>
        <w:fldChar w:fldCharType="separate"/>
      </w:r>
      <w:r>
        <w:rPr>
          <w:rStyle w:val="52"/>
          <w:rFonts w:ascii="Times New Roman" w:cs="Times New Roman"/>
          <w:sz w:val="24"/>
          <w:szCs w:val="24"/>
        </w:rPr>
        <w:t>第一章</w:t>
      </w:r>
      <w:r>
        <w:rPr>
          <w:rStyle w:val="52"/>
          <w:rFonts w:ascii="Times New Roman" w:hAnsi="Times New Roman" w:cs="Times New Roman"/>
          <w:sz w:val="24"/>
          <w:szCs w:val="24"/>
        </w:rPr>
        <w:t xml:space="preserve">  </w:t>
      </w:r>
      <w:r>
        <w:rPr>
          <w:rStyle w:val="52"/>
          <w:rFonts w:ascii="Times New Roman" w:cs="Times New Roman"/>
          <w:sz w:val="24"/>
          <w:szCs w:val="24"/>
        </w:rPr>
        <w:t>总论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_Toc488578891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"_Toc488578892" </w:instrText>
      </w:r>
      <w:r>
        <w:fldChar w:fldCharType="separate"/>
      </w:r>
      <w:r>
        <w:rPr>
          <w:rStyle w:val="52"/>
          <w:rFonts w:ascii="Times New Roman" w:hAnsi="Times New Roman" w:cs="Times New Roman"/>
          <w:sz w:val="24"/>
          <w:szCs w:val="24"/>
        </w:rPr>
        <w:t>1.1 编制依据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_Toc488578892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"_Toc488578893" </w:instrText>
      </w:r>
      <w:r>
        <w:fldChar w:fldCharType="separate"/>
      </w:r>
      <w:r>
        <w:rPr>
          <w:rStyle w:val="52"/>
          <w:rFonts w:ascii="Times New Roman" w:hAnsi="Times New Roman" w:cs="Times New Roman"/>
          <w:sz w:val="24"/>
          <w:szCs w:val="24"/>
        </w:rPr>
        <w:t>1.2 调查目的及原则</w:t>
      </w:r>
      <w:bookmarkStart w:id="1020" w:name="_GoBack"/>
      <w:bookmarkEnd w:id="1020"/>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_Toc488578893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"_Toc488578894" </w:instrText>
      </w:r>
      <w:r>
        <w:fldChar w:fldCharType="separate"/>
      </w:r>
      <w:r>
        <w:rPr>
          <w:rStyle w:val="52"/>
          <w:rFonts w:ascii="Times New Roman" w:hAnsi="Times New Roman" w:cs="Times New Roman"/>
          <w:sz w:val="24"/>
          <w:szCs w:val="24"/>
        </w:rPr>
        <w:t>1.3 调查方法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_Toc488578894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"_Toc488578895" </w:instrText>
      </w:r>
      <w:r>
        <w:fldChar w:fldCharType="separate"/>
      </w:r>
      <w:r>
        <w:rPr>
          <w:rStyle w:val="52"/>
          <w:rFonts w:ascii="Times New Roman" w:hAnsi="Times New Roman" w:cs="Times New Roman"/>
          <w:sz w:val="24"/>
          <w:szCs w:val="24"/>
        </w:rPr>
        <w:t>1.4 调查工作程序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_Toc488578895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"_Toc488578896" </w:instrText>
      </w:r>
      <w:r>
        <w:fldChar w:fldCharType="separate"/>
      </w:r>
      <w:r>
        <w:rPr>
          <w:rStyle w:val="52"/>
          <w:rFonts w:ascii="Times New Roman" w:hAnsi="Times New Roman" w:cs="Times New Roman"/>
          <w:sz w:val="24"/>
          <w:szCs w:val="24"/>
        </w:rPr>
        <w:t>1.5</w:t>
      </w:r>
      <w:r>
        <w:rPr>
          <w:rStyle w:val="52"/>
          <w:rFonts w:ascii="Times New Roman" w:cs="Times New Roman"/>
          <w:sz w:val="24"/>
          <w:szCs w:val="24"/>
        </w:rPr>
        <w:t>验收对象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_Toc488578896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"_Toc488578897" </w:instrText>
      </w:r>
      <w:r>
        <w:fldChar w:fldCharType="separate"/>
      </w:r>
      <w:r>
        <w:rPr>
          <w:rStyle w:val="52"/>
          <w:rFonts w:ascii="Times New Roman" w:hAnsi="Times New Roman" w:cs="Times New Roman"/>
          <w:sz w:val="24"/>
          <w:szCs w:val="24"/>
        </w:rPr>
        <w:t>1.6验收调查的重点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_Toc488578897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"_Toc488578898" </w:instrText>
      </w:r>
      <w:r>
        <w:fldChar w:fldCharType="separate"/>
      </w:r>
      <w:r>
        <w:rPr>
          <w:rStyle w:val="52"/>
          <w:rFonts w:ascii="Times New Roman" w:hAnsi="Times New Roman" w:cs="Times New Roman"/>
          <w:sz w:val="24"/>
          <w:szCs w:val="24"/>
        </w:rPr>
        <w:t>1.7 调查范围、因子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_Toc488578898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"_Toc488578899" </w:instrText>
      </w:r>
      <w:r>
        <w:fldChar w:fldCharType="separate"/>
      </w:r>
      <w:r>
        <w:rPr>
          <w:rStyle w:val="52"/>
          <w:rFonts w:ascii="Times New Roman" w:hAnsi="Times New Roman" w:cs="Times New Roman"/>
          <w:sz w:val="24"/>
          <w:szCs w:val="24"/>
        </w:rPr>
        <w:t>1.8 验收执行标准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_Toc488578899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"_Toc488578900" </w:instrText>
      </w:r>
      <w:r>
        <w:fldChar w:fldCharType="separate"/>
      </w:r>
      <w:r>
        <w:rPr>
          <w:rStyle w:val="52"/>
          <w:rFonts w:ascii="Times New Roman" w:hAnsi="Times New Roman" w:cs="Times New Roman"/>
          <w:sz w:val="24"/>
          <w:szCs w:val="24"/>
        </w:rPr>
        <w:t>1.9 主要调查对象及环境敏感点分布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_Toc488578900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"_Toc488578901" </w:instrText>
      </w:r>
      <w:r>
        <w:fldChar w:fldCharType="separate"/>
      </w:r>
      <w:r>
        <w:rPr>
          <w:rStyle w:val="52"/>
          <w:rFonts w:ascii="Times New Roman" w:cs="Times New Roman"/>
          <w:sz w:val="24"/>
          <w:szCs w:val="24"/>
        </w:rPr>
        <w:t>第二章</w:t>
      </w:r>
      <w:r>
        <w:rPr>
          <w:rStyle w:val="52"/>
          <w:rFonts w:ascii="Times New Roman" w:hAnsi="Times New Roman" w:cs="Times New Roman"/>
          <w:sz w:val="24"/>
          <w:szCs w:val="24"/>
        </w:rPr>
        <w:t xml:space="preserve">  </w:t>
      </w:r>
      <w:r>
        <w:rPr>
          <w:rStyle w:val="52"/>
          <w:rFonts w:ascii="Times New Roman" w:cs="Times New Roman"/>
          <w:sz w:val="24"/>
          <w:szCs w:val="24"/>
        </w:rPr>
        <w:t>工程建设概况及污染情况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_Toc488578901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"_Toc488578902" </w:instrText>
      </w:r>
      <w:r>
        <w:fldChar w:fldCharType="separate"/>
      </w:r>
      <w:r>
        <w:rPr>
          <w:rStyle w:val="52"/>
          <w:rFonts w:ascii="Times New Roman" w:hAnsi="Times New Roman" w:cs="Times New Roman"/>
          <w:sz w:val="24"/>
          <w:szCs w:val="24"/>
        </w:rPr>
        <w:t xml:space="preserve">2.1  </w:t>
      </w:r>
      <w:r>
        <w:rPr>
          <w:rStyle w:val="52"/>
          <w:rFonts w:ascii="Times New Roman" w:cs="Times New Roman"/>
          <w:sz w:val="24"/>
          <w:szCs w:val="24"/>
        </w:rPr>
        <w:t>原有采选</w:t>
      </w:r>
      <w:r>
        <w:rPr>
          <w:rStyle w:val="52"/>
          <w:rFonts w:ascii="Times New Roman" w:hAnsi="Times New Roman" w:cs="Times New Roman"/>
          <w:sz w:val="24"/>
          <w:szCs w:val="24"/>
        </w:rPr>
        <w:t>20</w:t>
      </w:r>
      <w:r>
        <w:rPr>
          <w:rStyle w:val="52"/>
          <w:rFonts w:ascii="Times New Roman" w:cs="Times New Roman"/>
          <w:sz w:val="24"/>
          <w:szCs w:val="24"/>
        </w:rPr>
        <w:t>万吨</w:t>
      </w:r>
      <w:r>
        <w:rPr>
          <w:rStyle w:val="52"/>
          <w:rFonts w:ascii="Times New Roman" w:hAnsi="Times New Roman" w:cs="Times New Roman"/>
          <w:sz w:val="24"/>
          <w:szCs w:val="24"/>
        </w:rPr>
        <w:t>/</w:t>
      </w:r>
      <w:r>
        <w:rPr>
          <w:rStyle w:val="52"/>
          <w:rFonts w:ascii="Times New Roman" w:cs="Times New Roman"/>
          <w:sz w:val="24"/>
          <w:szCs w:val="24"/>
        </w:rPr>
        <w:t>年硫铁矿工程概况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_Toc488578902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"_Toc488578903" </w:instrText>
      </w:r>
      <w:r>
        <w:fldChar w:fldCharType="separate"/>
      </w:r>
      <w:r>
        <w:rPr>
          <w:rStyle w:val="52"/>
          <w:rFonts w:ascii="Times New Roman" w:hAnsi="Times New Roman" w:cs="Times New Roman"/>
          <w:sz w:val="24"/>
          <w:szCs w:val="24"/>
        </w:rPr>
        <w:t xml:space="preserve">2.2 </w:t>
      </w:r>
      <w:r>
        <w:rPr>
          <w:rStyle w:val="52"/>
          <w:rFonts w:ascii="Times New Roman" w:cs="Times New Roman"/>
          <w:sz w:val="24"/>
          <w:szCs w:val="24"/>
        </w:rPr>
        <w:t>本次扩建项目概况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_Toc488578903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"_Toc488578904" </w:instrText>
      </w:r>
      <w:r>
        <w:fldChar w:fldCharType="separate"/>
      </w:r>
      <w:r>
        <w:rPr>
          <w:rStyle w:val="52"/>
          <w:rFonts w:ascii="Times New Roman" w:cs="Times New Roman"/>
          <w:sz w:val="24"/>
          <w:szCs w:val="24"/>
        </w:rPr>
        <w:t>第三章</w:t>
      </w:r>
      <w:r>
        <w:rPr>
          <w:rStyle w:val="52"/>
          <w:rFonts w:ascii="Times New Roman" w:hAnsi="Times New Roman" w:cs="Times New Roman"/>
          <w:sz w:val="24"/>
          <w:szCs w:val="24"/>
        </w:rPr>
        <w:t xml:space="preserve">  </w:t>
      </w:r>
      <w:r>
        <w:rPr>
          <w:rStyle w:val="52"/>
          <w:rFonts w:ascii="Times New Roman" w:cs="Times New Roman"/>
          <w:sz w:val="24"/>
          <w:szCs w:val="24"/>
        </w:rPr>
        <w:t>环境影响报告书回顾</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_Toc488578904 \h </w:instrText>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"_Toc488578905" </w:instrText>
      </w:r>
      <w:r>
        <w:fldChar w:fldCharType="separate"/>
      </w:r>
      <w:r>
        <w:rPr>
          <w:rStyle w:val="52"/>
          <w:rFonts w:ascii="Times New Roman" w:hAnsi="Times New Roman" w:cs="Times New Roman"/>
          <w:sz w:val="24"/>
          <w:szCs w:val="24"/>
        </w:rPr>
        <w:t>3.1 环境影响评价结论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_Toc488578905 \h </w:instrText>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"_Toc488578906" </w:instrText>
      </w:r>
      <w:r>
        <w:fldChar w:fldCharType="separate"/>
      </w:r>
      <w:r>
        <w:rPr>
          <w:rStyle w:val="52"/>
          <w:rFonts w:ascii="Times New Roman" w:hAnsi="Times New Roman" w:cs="Times New Roman"/>
          <w:sz w:val="24"/>
          <w:szCs w:val="24"/>
        </w:rPr>
        <w:t>3.2 环境影响报告书批复内容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_Toc488578906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"_Toc488578907" </w:instrText>
      </w:r>
      <w:r>
        <w:fldChar w:fldCharType="separate"/>
      </w:r>
      <w:r>
        <w:rPr>
          <w:rStyle w:val="52"/>
          <w:rFonts w:ascii="Times New Roman" w:cs="Times New Roman"/>
          <w:sz w:val="24"/>
          <w:szCs w:val="24"/>
        </w:rPr>
        <w:t>第四章</w:t>
      </w:r>
      <w:r>
        <w:rPr>
          <w:rStyle w:val="52"/>
          <w:rFonts w:ascii="Times New Roman" w:hAnsi="Times New Roman" w:cs="Times New Roman"/>
          <w:sz w:val="24"/>
          <w:szCs w:val="24"/>
        </w:rPr>
        <w:t xml:space="preserve">  </w:t>
      </w:r>
      <w:r>
        <w:rPr>
          <w:rStyle w:val="52"/>
          <w:rFonts w:ascii="Times New Roman" w:cs="Times New Roman"/>
          <w:sz w:val="24"/>
          <w:szCs w:val="24"/>
        </w:rPr>
        <w:t>环保措施建设情况调查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_Toc488578907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"_Toc488578908" </w:instrText>
      </w:r>
      <w:r>
        <w:fldChar w:fldCharType="separate"/>
      </w:r>
      <w:r>
        <w:rPr>
          <w:rStyle w:val="52"/>
          <w:rFonts w:ascii="Times New Roman" w:hAnsi="Times New Roman" w:cs="Times New Roman"/>
          <w:sz w:val="24"/>
          <w:szCs w:val="24"/>
        </w:rPr>
        <w:t>4.1 环保措施落实情况调查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_Toc488578908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"_Toc488578909" </w:instrText>
      </w:r>
      <w:r>
        <w:fldChar w:fldCharType="separate"/>
      </w:r>
      <w:r>
        <w:rPr>
          <w:rStyle w:val="52"/>
          <w:rFonts w:ascii="Times New Roman" w:hAnsi="Times New Roman" w:cs="Times New Roman"/>
          <w:sz w:val="24"/>
          <w:szCs w:val="24"/>
        </w:rPr>
        <w:t>4.2 环评报告书批复意见落实情况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_Toc488578909 \h </w:instrText>
      </w:r>
      <w:r>
        <w:rPr>
          <w:rFonts w:ascii="Times New Roman" w:hAnsi="Times New Roman" w:cs="Times New Roman"/>
          <w:sz w:val="24"/>
          <w:szCs w:val="24"/>
        </w:rPr>
        <w:fldChar w:fldCharType="separate"/>
      </w:r>
      <w:r>
        <w:rPr>
          <w:rFonts w:ascii="Times New Roman" w:hAnsi="Times New Roman" w:cs="Times New Roman"/>
          <w:sz w:val="24"/>
          <w:szCs w:val="24"/>
        </w:rPr>
        <w:t>71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"_Toc488578910" </w:instrText>
      </w:r>
      <w:r>
        <w:fldChar w:fldCharType="separate"/>
      </w:r>
      <w:r>
        <w:rPr>
          <w:rStyle w:val="52"/>
          <w:rFonts w:ascii="Times New Roman" w:hAnsi="Times New Roman" w:cs="Times New Roman"/>
          <w:sz w:val="24"/>
          <w:szCs w:val="24"/>
        </w:rPr>
        <w:t>4.4 环保措施有效性分析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_Toc488578910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"_Toc488578911" </w:instrText>
      </w:r>
      <w:r>
        <w:fldChar w:fldCharType="separate"/>
      </w:r>
      <w:r>
        <w:rPr>
          <w:rStyle w:val="52"/>
          <w:rFonts w:ascii="Times New Roman" w:hAnsi="Times New Roman" w:cs="Times New Roman"/>
          <w:sz w:val="24"/>
          <w:szCs w:val="24"/>
        </w:rPr>
        <w:t>4.5存在的问题及建议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_Toc488578911 \h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"_Toc488578912" </w:instrText>
      </w:r>
      <w:r>
        <w:fldChar w:fldCharType="separate"/>
      </w:r>
      <w:r>
        <w:rPr>
          <w:rStyle w:val="52"/>
          <w:rFonts w:ascii="Times New Roman" w:cs="Times New Roman"/>
          <w:sz w:val="24"/>
          <w:szCs w:val="24"/>
        </w:rPr>
        <w:t>第五章</w:t>
      </w:r>
      <w:r>
        <w:rPr>
          <w:rStyle w:val="52"/>
          <w:rFonts w:ascii="Times New Roman" w:hAnsi="Times New Roman" w:cs="Times New Roman"/>
          <w:sz w:val="24"/>
          <w:szCs w:val="24"/>
        </w:rPr>
        <w:t xml:space="preserve">  </w:t>
      </w:r>
      <w:r>
        <w:rPr>
          <w:rStyle w:val="52"/>
          <w:rFonts w:ascii="Times New Roman" w:cs="Times New Roman"/>
          <w:sz w:val="24"/>
          <w:szCs w:val="24"/>
        </w:rPr>
        <w:t>环境影响调查与分析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_Toc488578912 \h </w:instrText>
      </w:r>
      <w:r>
        <w:rPr>
          <w:rFonts w:ascii="Times New Roman" w:hAnsi="Times New Roman" w:cs="Times New Roman"/>
          <w:sz w:val="24"/>
          <w:szCs w:val="24"/>
        </w:rPr>
        <w:fldChar w:fldCharType="separate"/>
      </w:r>
      <w:r>
        <w:rPr>
          <w:rFonts w:ascii="Times New Roman" w:hAnsi="Times New Roman" w:cs="Times New Roman"/>
          <w:sz w:val="24"/>
          <w:szCs w:val="24"/>
        </w:rPr>
        <w:t>85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"_Toc488578913" </w:instrText>
      </w:r>
      <w:r>
        <w:fldChar w:fldCharType="separate"/>
      </w:r>
      <w:r>
        <w:rPr>
          <w:rStyle w:val="52"/>
          <w:rFonts w:ascii="Times New Roman" w:hAnsi="Times New Roman" w:cs="Times New Roman"/>
          <w:sz w:val="24"/>
          <w:szCs w:val="24"/>
        </w:rPr>
        <w:t>5.1 污染源调查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_Toc488578913 \h </w:instrText>
      </w:r>
      <w:r>
        <w:rPr>
          <w:rFonts w:ascii="Times New Roman" w:hAnsi="Times New Roman" w:cs="Times New Roman"/>
          <w:sz w:val="24"/>
          <w:szCs w:val="24"/>
        </w:rPr>
        <w:fldChar w:fldCharType="separate"/>
      </w:r>
      <w:r>
        <w:rPr>
          <w:rFonts w:ascii="Times New Roman" w:hAnsi="Times New Roman" w:cs="Times New Roman"/>
          <w:sz w:val="24"/>
          <w:szCs w:val="24"/>
        </w:rPr>
        <w:t>85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"_Toc488578914" </w:instrText>
      </w:r>
      <w:r>
        <w:fldChar w:fldCharType="separate"/>
      </w:r>
      <w:r>
        <w:rPr>
          <w:rStyle w:val="52"/>
          <w:rFonts w:ascii="Times New Roman" w:hAnsi="Times New Roman" w:cs="Times New Roman"/>
          <w:sz w:val="24"/>
          <w:szCs w:val="24"/>
        </w:rPr>
        <w:t>5.2 监测期间工况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_Toc488578914 \h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"_Toc488578915" </w:instrText>
      </w:r>
      <w:r>
        <w:fldChar w:fldCharType="separate"/>
      </w:r>
      <w:r>
        <w:rPr>
          <w:rStyle w:val="52"/>
          <w:rFonts w:ascii="Times New Roman" w:hAnsi="Times New Roman" w:cs="Times New Roman"/>
          <w:sz w:val="24"/>
          <w:szCs w:val="24"/>
        </w:rPr>
        <w:t>5.3 水环境影响调查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_Toc488578915 \h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"_Toc488578916" </w:instrText>
      </w:r>
      <w:r>
        <w:fldChar w:fldCharType="separate"/>
      </w:r>
      <w:r>
        <w:rPr>
          <w:rStyle w:val="52"/>
          <w:rFonts w:ascii="Times New Roman" w:hAnsi="Times New Roman" w:cs="Times New Roman"/>
          <w:sz w:val="24"/>
          <w:szCs w:val="24"/>
        </w:rPr>
        <w:t>5.4 大气环境影响调查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_Toc488578916 \h </w:instrText>
      </w:r>
      <w:r>
        <w:rPr>
          <w:rFonts w:ascii="Times New Roman" w:hAnsi="Times New Roman" w:cs="Times New Roman"/>
          <w:sz w:val="24"/>
          <w:szCs w:val="24"/>
        </w:rPr>
        <w:fldChar w:fldCharType="separate"/>
      </w:r>
      <w:r>
        <w:rPr>
          <w:rFonts w:ascii="Times New Roman" w:hAnsi="Times New Roman" w:cs="Times New Roman"/>
          <w:sz w:val="24"/>
          <w:szCs w:val="24"/>
        </w:rPr>
        <w:t>91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"_Toc488578917" </w:instrText>
      </w:r>
      <w:r>
        <w:fldChar w:fldCharType="separate"/>
      </w:r>
      <w:r>
        <w:rPr>
          <w:rStyle w:val="52"/>
          <w:rFonts w:ascii="Times New Roman" w:hAnsi="Times New Roman" w:cs="Times New Roman"/>
          <w:sz w:val="24"/>
          <w:szCs w:val="24"/>
        </w:rPr>
        <w:t>5.5 声环境影响调查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_Toc488578917 \h </w:instrText>
      </w:r>
      <w:r>
        <w:rPr>
          <w:rFonts w:ascii="Times New Roman" w:hAnsi="Times New Roman" w:cs="Times New Roman"/>
          <w:sz w:val="24"/>
          <w:szCs w:val="24"/>
        </w:rPr>
        <w:fldChar w:fldCharType="separate"/>
      </w:r>
      <w:r>
        <w:rPr>
          <w:rFonts w:ascii="Times New Roman" w:hAnsi="Times New Roman" w:cs="Times New Roman"/>
          <w:sz w:val="24"/>
          <w:szCs w:val="24"/>
        </w:rPr>
        <w:t>96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"_Toc488578918" </w:instrText>
      </w:r>
      <w:r>
        <w:fldChar w:fldCharType="separate"/>
      </w:r>
      <w:r>
        <w:rPr>
          <w:rStyle w:val="52"/>
          <w:rFonts w:ascii="Times New Roman" w:hAnsi="Times New Roman" w:cs="Times New Roman"/>
          <w:sz w:val="24"/>
          <w:szCs w:val="24"/>
        </w:rPr>
        <w:t>5.6 固体废弃物环境影响调查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_Toc488578918 \h </w:instrText>
      </w:r>
      <w:r>
        <w:rPr>
          <w:rFonts w:ascii="Times New Roman" w:hAnsi="Times New Roman" w:cs="Times New Roman"/>
          <w:sz w:val="24"/>
          <w:szCs w:val="24"/>
        </w:rPr>
        <w:fldChar w:fldCharType="separate"/>
      </w:r>
      <w:r>
        <w:rPr>
          <w:rFonts w:ascii="Times New Roman" w:hAnsi="Times New Roman" w:cs="Times New Roman"/>
          <w:sz w:val="24"/>
          <w:szCs w:val="24"/>
        </w:rPr>
        <w:t>97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"_Toc488578919" </w:instrText>
      </w:r>
      <w:r>
        <w:fldChar w:fldCharType="separate"/>
      </w:r>
      <w:r>
        <w:rPr>
          <w:rStyle w:val="52"/>
          <w:rFonts w:ascii="Times New Roman" w:hAnsi="Times New Roman" w:cs="Times New Roman"/>
          <w:sz w:val="24"/>
          <w:szCs w:val="24"/>
        </w:rPr>
        <w:t>5.7 土壤环境影响调查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_Toc488578919 \h </w:instrText>
      </w:r>
      <w:r>
        <w:rPr>
          <w:rFonts w:ascii="Times New Roman" w:hAnsi="Times New Roman" w:cs="Times New Roman"/>
          <w:sz w:val="24"/>
          <w:szCs w:val="24"/>
        </w:rPr>
        <w:fldChar w:fldCharType="separate"/>
      </w:r>
      <w:r>
        <w:rPr>
          <w:rFonts w:ascii="Times New Roman" w:hAnsi="Times New Roman" w:cs="Times New Roman"/>
          <w:sz w:val="24"/>
          <w:szCs w:val="24"/>
        </w:rPr>
        <w:t>102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"_Toc488578920" </w:instrText>
      </w:r>
      <w:r>
        <w:fldChar w:fldCharType="separate"/>
      </w:r>
      <w:r>
        <w:rPr>
          <w:rStyle w:val="52"/>
          <w:rFonts w:ascii="Times New Roman" w:hAnsi="Times New Roman" w:cs="Times New Roman"/>
          <w:sz w:val="24"/>
          <w:szCs w:val="24"/>
        </w:rPr>
        <w:t>5.8 环境影响调查结论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_Toc488578920 \h </w:instrText>
      </w:r>
      <w:r>
        <w:rPr>
          <w:rFonts w:ascii="Times New Roman" w:hAnsi="Times New Roman" w:cs="Times New Roman"/>
          <w:sz w:val="24"/>
          <w:szCs w:val="24"/>
        </w:rPr>
        <w:fldChar w:fldCharType="separate"/>
      </w:r>
      <w:r>
        <w:rPr>
          <w:rFonts w:ascii="Times New Roman" w:hAnsi="Times New Roman" w:cs="Times New Roman"/>
          <w:sz w:val="24"/>
          <w:szCs w:val="24"/>
        </w:rPr>
        <w:t>103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"_Toc488578921" </w:instrText>
      </w:r>
      <w:r>
        <w:fldChar w:fldCharType="separate"/>
      </w:r>
      <w:r>
        <w:rPr>
          <w:rStyle w:val="52"/>
          <w:rFonts w:ascii="Times New Roman" w:cs="Times New Roman"/>
          <w:sz w:val="24"/>
          <w:szCs w:val="24"/>
        </w:rPr>
        <w:t>第六章</w:t>
      </w:r>
      <w:r>
        <w:rPr>
          <w:rStyle w:val="52"/>
          <w:rFonts w:ascii="Times New Roman" w:hAnsi="Times New Roman" w:cs="Times New Roman"/>
          <w:sz w:val="24"/>
          <w:szCs w:val="24"/>
        </w:rPr>
        <w:t xml:space="preserve">  </w:t>
      </w:r>
      <w:r>
        <w:rPr>
          <w:rStyle w:val="52"/>
          <w:rFonts w:ascii="Times New Roman" w:cs="Times New Roman"/>
          <w:sz w:val="24"/>
          <w:szCs w:val="24"/>
        </w:rPr>
        <w:t>生态环境影响调查与分析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_Toc488578921 \h </w:instrText>
      </w:r>
      <w:r>
        <w:rPr>
          <w:rFonts w:ascii="Times New Roman" w:hAnsi="Times New Roman" w:cs="Times New Roman"/>
          <w:sz w:val="24"/>
          <w:szCs w:val="24"/>
        </w:rPr>
        <w:fldChar w:fldCharType="separate"/>
      </w:r>
      <w:r>
        <w:rPr>
          <w:rFonts w:ascii="Times New Roman" w:hAnsi="Times New Roman" w:cs="Times New Roman"/>
          <w:sz w:val="24"/>
          <w:szCs w:val="24"/>
        </w:rPr>
        <w:t>107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"_Toc488578922" </w:instrText>
      </w:r>
      <w:r>
        <w:fldChar w:fldCharType="separate"/>
      </w:r>
      <w:r>
        <w:rPr>
          <w:rStyle w:val="52"/>
          <w:rFonts w:ascii="Times New Roman" w:hAnsi="Times New Roman" w:cs="Times New Roman"/>
          <w:sz w:val="24"/>
          <w:szCs w:val="24"/>
        </w:rPr>
        <w:t>6.1生态环境现状调查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_Toc488578922 \h </w:instrText>
      </w:r>
      <w:r>
        <w:rPr>
          <w:rFonts w:ascii="Times New Roman" w:hAnsi="Times New Roman" w:cs="Times New Roman"/>
          <w:sz w:val="24"/>
          <w:szCs w:val="24"/>
        </w:rPr>
        <w:fldChar w:fldCharType="separate"/>
      </w:r>
      <w:r>
        <w:rPr>
          <w:rFonts w:ascii="Times New Roman" w:hAnsi="Times New Roman" w:cs="Times New Roman"/>
          <w:sz w:val="24"/>
          <w:szCs w:val="24"/>
        </w:rPr>
        <w:t>107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"_Toc488578923" </w:instrText>
      </w:r>
      <w:r>
        <w:fldChar w:fldCharType="separate"/>
      </w:r>
      <w:r>
        <w:rPr>
          <w:rStyle w:val="52"/>
          <w:rFonts w:ascii="Times New Roman" w:hAnsi="Times New Roman" w:cs="Times New Roman"/>
          <w:sz w:val="24"/>
          <w:szCs w:val="24"/>
        </w:rPr>
        <w:t>6.2生态环境影响调查分析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_Toc488578923 \h </w:instrText>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"_Toc488578924" </w:instrText>
      </w:r>
      <w:r>
        <w:fldChar w:fldCharType="separate"/>
      </w:r>
      <w:r>
        <w:rPr>
          <w:rStyle w:val="52"/>
          <w:rFonts w:ascii="Times New Roman" w:hAnsi="Times New Roman" w:cs="Times New Roman"/>
          <w:sz w:val="24"/>
          <w:szCs w:val="24"/>
        </w:rPr>
        <w:t>6.3生态保护及恢复措施调查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_Toc488578924 \h </w:instrText>
      </w:r>
      <w:r>
        <w:rPr>
          <w:rFonts w:ascii="Times New Roman" w:hAnsi="Times New Roman" w:cs="Times New Roman"/>
          <w:sz w:val="24"/>
          <w:szCs w:val="24"/>
        </w:rPr>
        <w:fldChar w:fldCharType="separate"/>
      </w:r>
      <w:r>
        <w:rPr>
          <w:rFonts w:ascii="Times New Roman" w:hAnsi="Times New Roman" w:cs="Times New Roman"/>
          <w:sz w:val="24"/>
          <w:szCs w:val="24"/>
        </w:rPr>
        <w:t>113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"_Toc488578925" </w:instrText>
      </w:r>
      <w:r>
        <w:fldChar w:fldCharType="separate"/>
      </w:r>
      <w:r>
        <w:rPr>
          <w:rStyle w:val="52"/>
          <w:rFonts w:ascii="Times New Roman" w:cs="Times New Roman"/>
          <w:sz w:val="24"/>
          <w:szCs w:val="24"/>
        </w:rPr>
        <w:t>第七章</w:t>
      </w:r>
      <w:r>
        <w:rPr>
          <w:rStyle w:val="52"/>
          <w:rFonts w:ascii="Times New Roman" w:hAnsi="Times New Roman" w:cs="Times New Roman"/>
          <w:sz w:val="24"/>
          <w:szCs w:val="24"/>
        </w:rPr>
        <w:t xml:space="preserve">  </w:t>
      </w:r>
      <w:r>
        <w:rPr>
          <w:rStyle w:val="52"/>
          <w:rFonts w:ascii="Times New Roman" w:cs="Times New Roman"/>
          <w:sz w:val="24"/>
          <w:szCs w:val="24"/>
        </w:rPr>
        <w:t>环境管理和监测情况调查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_Toc488578925 \h </w:instrText>
      </w:r>
      <w:r>
        <w:rPr>
          <w:rFonts w:ascii="Times New Roman" w:hAnsi="Times New Roman" w:cs="Times New Roman"/>
          <w:sz w:val="24"/>
          <w:szCs w:val="24"/>
        </w:rPr>
        <w:fldChar w:fldCharType="separate"/>
      </w:r>
      <w:r>
        <w:rPr>
          <w:rFonts w:ascii="Times New Roman" w:hAnsi="Times New Roman" w:cs="Times New Roman"/>
          <w:sz w:val="24"/>
          <w:szCs w:val="24"/>
        </w:rPr>
        <w:t>115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"_Toc488578926" </w:instrText>
      </w:r>
      <w:r>
        <w:fldChar w:fldCharType="separate"/>
      </w:r>
      <w:r>
        <w:rPr>
          <w:rStyle w:val="52"/>
          <w:rFonts w:ascii="Times New Roman" w:hAnsi="Times New Roman" w:cs="Times New Roman"/>
          <w:sz w:val="24"/>
          <w:szCs w:val="24"/>
        </w:rPr>
        <w:t>7.1 调查目的</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_Toc488578926 \h </w:instrText>
      </w:r>
      <w:r>
        <w:rPr>
          <w:rFonts w:ascii="Times New Roman" w:hAnsi="Times New Roman" w:cs="Times New Roman"/>
          <w:sz w:val="24"/>
          <w:szCs w:val="24"/>
        </w:rPr>
        <w:fldChar w:fldCharType="separate"/>
      </w:r>
      <w:r>
        <w:rPr>
          <w:rFonts w:ascii="Times New Roman" w:hAnsi="Times New Roman" w:cs="Times New Roman"/>
          <w:sz w:val="24"/>
          <w:szCs w:val="24"/>
        </w:rPr>
        <w:t>115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"_Toc488578927" </w:instrText>
      </w:r>
      <w:r>
        <w:fldChar w:fldCharType="separate"/>
      </w:r>
      <w:r>
        <w:rPr>
          <w:rStyle w:val="52"/>
          <w:rFonts w:ascii="Times New Roman" w:hAnsi="Times New Roman" w:cs="Times New Roman"/>
          <w:sz w:val="24"/>
          <w:szCs w:val="24"/>
        </w:rPr>
        <w:t>7.2 环境管理情况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_Toc488578927 \h </w:instrText>
      </w:r>
      <w:r>
        <w:rPr>
          <w:rFonts w:ascii="Times New Roman" w:hAnsi="Times New Roman" w:cs="Times New Roman"/>
          <w:sz w:val="24"/>
          <w:szCs w:val="24"/>
        </w:rPr>
        <w:fldChar w:fldCharType="separate"/>
      </w:r>
      <w:r>
        <w:rPr>
          <w:rFonts w:ascii="Times New Roman" w:hAnsi="Times New Roman" w:cs="Times New Roman"/>
          <w:sz w:val="24"/>
          <w:szCs w:val="24"/>
        </w:rPr>
        <w:t>115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"_Toc488578928" </w:instrText>
      </w:r>
      <w:r>
        <w:fldChar w:fldCharType="separate"/>
      </w:r>
      <w:r>
        <w:rPr>
          <w:rStyle w:val="52"/>
          <w:rFonts w:ascii="Times New Roman" w:hAnsi="Times New Roman" w:cs="Times New Roman"/>
          <w:sz w:val="24"/>
          <w:szCs w:val="24"/>
        </w:rPr>
        <w:t>7.3环境监测计划落实情况调查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_Toc488578928 \h </w:instrText>
      </w:r>
      <w:r>
        <w:rPr>
          <w:rFonts w:ascii="Times New Roman" w:hAnsi="Times New Roman" w:cs="Times New Roman"/>
          <w:sz w:val="24"/>
          <w:szCs w:val="24"/>
        </w:rPr>
        <w:fldChar w:fldCharType="separate"/>
      </w:r>
      <w:r>
        <w:rPr>
          <w:rFonts w:ascii="Times New Roman" w:hAnsi="Times New Roman" w:cs="Times New Roman"/>
          <w:sz w:val="24"/>
          <w:szCs w:val="24"/>
        </w:rPr>
        <w:t>116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"_Toc488578929" </w:instrText>
      </w:r>
      <w:r>
        <w:fldChar w:fldCharType="separate"/>
      </w:r>
      <w:r>
        <w:rPr>
          <w:rStyle w:val="52"/>
          <w:rFonts w:ascii="Times New Roman" w:hAnsi="Times New Roman" w:cs="Times New Roman"/>
          <w:sz w:val="24"/>
          <w:szCs w:val="24"/>
        </w:rPr>
        <w:t>7.4 环境管理建议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_Toc488578929 \h </w:instrText>
      </w:r>
      <w:r>
        <w:rPr>
          <w:rFonts w:ascii="Times New Roman" w:hAnsi="Times New Roman" w:cs="Times New Roman"/>
          <w:sz w:val="24"/>
          <w:szCs w:val="24"/>
        </w:rPr>
        <w:fldChar w:fldCharType="separate"/>
      </w:r>
      <w:r>
        <w:rPr>
          <w:rFonts w:ascii="Times New Roman" w:hAnsi="Times New Roman" w:cs="Times New Roman"/>
          <w:sz w:val="24"/>
          <w:szCs w:val="24"/>
        </w:rPr>
        <w:t>116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"_Toc488578930" </w:instrText>
      </w:r>
      <w:r>
        <w:fldChar w:fldCharType="separate"/>
      </w:r>
      <w:r>
        <w:rPr>
          <w:rStyle w:val="52"/>
          <w:rFonts w:ascii="Times New Roman" w:cs="Times New Roman"/>
          <w:sz w:val="24"/>
          <w:szCs w:val="24"/>
        </w:rPr>
        <w:t>第八章</w:t>
      </w:r>
      <w:r>
        <w:rPr>
          <w:rStyle w:val="52"/>
          <w:rFonts w:ascii="Times New Roman" w:hAnsi="Times New Roman" w:cs="Times New Roman"/>
          <w:sz w:val="24"/>
          <w:szCs w:val="24"/>
        </w:rPr>
        <w:t xml:space="preserve">  </w:t>
      </w:r>
      <w:r>
        <w:rPr>
          <w:rStyle w:val="52"/>
          <w:rFonts w:ascii="Times New Roman" w:cs="Times New Roman"/>
          <w:sz w:val="24"/>
          <w:szCs w:val="24"/>
        </w:rPr>
        <w:t>社会环境影响调查与分析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_Toc488578930 \h </w:instrText>
      </w:r>
      <w:r>
        <w:rPr>
          <w:rFonts w:ascii="Times New Roman" w:hAnsi="Times New Roman" w:cs="Times New Roman"/>
          <w:sz w:val="24"/>
          <w:szCs w:val="24"/>
        </w:rPr>
        <w:fldChar w:fldCharType="separate"/>
      </w:r>
      <w:r>
        <w:rPr>
          <w:rFonts w:ascii="Times New Roman" w:hAnsi="Times New Roman" w:cs="Times New Roman"/>
          <w:sz w:val="24"/>
          <w:szCs w:val="24"/>
        </w:rPr>
        <w:t>117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"_Toc488578931" </w:instrText>
      </w:r>
      <w:r>
        <w:fldChar w:fldCharType="separate"/>
      </w:r>
      <w:r>
        <w:rPr>
          <w:rStyle w:val="52"/>
          <w:rFonts w:ascii="Times New Roman" w:hAnsi="Times New Roman" w:cs="Times New Roman"/>
          <w:sz w:val="24"/>
          <w:szCs w:val="24"/>
        </w:rPr>
        <w:t xml:space="preserve">8.1 </w:t>
      </w:r>
      <w:r>
        <w:rPr>
          <w:rStyle w:val="52"/>
          <w:rFonts w:ascii="Times New Roman" w:cs="Times New Roman"/>
          <w:sz w:val="24"/>
          <w:szCs w:val="24"/>
        </w:rPr>
        <w:t>区域社会环境概况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_Toc488578931 \h </w:instrText>
      </w:r>
      <w:r>
        <w:rPr>
          <w:rFonts w:ascii="Times New Roman" w:hAnsi="Times New Roman" w:cs="Times New Roman"/>
          <w:sz w:val="24"/>
          <w:szCs w:val="24"/>
        </w:rPr>
        <w:fldChar w:fldCharType="separate"/>
      </w:r>
      <w:r>
        <w:rPr>
          <w:rFonts w:ascii="Times New Roman" w:hAnsi="Times New Roman" w:cs="Times New Roman"/>
          <w:sz w:val="24"/>
          <w:szCs w:val="24"/>
        </w:rPr>
        <w:t>117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"_Toc488578932" </w:instrText>
      </w:r>
      <w:r>
        <w:fldChar w:fldCharType="separate"/>
      </w:r>
      <w:r>
        <w:rPr>
          <w:rStyle w:val="52"/>
          <w:rFonts w:ascii="Times New Roman" w:hAnsi="Times New Roman" w:cs="Times New Roman"/>
          <w:sz w:val="24"/>
          <w:szCs w:val="24"/>
        </w:rPr>
        <w:t>8.2 社会环境影响调查分析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_Toc488578932 \h </w:instrText>
      </w:r>
      <w:r>
        <w:rPr>
          <w:rFonts w:ascii="Times New Roman" w:hAnsi="Times New Roman" w:cs="Times New Roman"/>
          <w:sz w:val="24"/>
          <w:szCs w:val="24"/>
        </w:rPr>
        <w:fldChar w:fldCharType="separate"/>
      </w:r>
      <w:r>
        <w:rPr>
          <w:rFonts w:ascii="Times New Roman" w:hAnsi="Times New Roman" w:cs="Times New Roman"/>
          <w:sz w:val="24"/>
          <w:szCs w:val="24"/>
        </w:rPr>
        <w:t>117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"_Toc488578933" </w:instrText>
      </w:r>
      <w:r>
        <w:fldChar w:fldCharType="separate"/>
      </w:r>
      <w:r>
        <w:rPr>
          <w:rStyle w:val="52"/>
          <w:rFonts w:ascii="Times New Roman" w:hAnsi="Times New Roman" w:cs="Times New Roman"/>
          <w:sz w:val="24"/>
          <w:szCs w:val="24"/>
        </w:rPr>
        <w:t>8.3 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_Toc488578933 \h </w:instrText>
      </w:r>
      <w:r>
        <w:rPr>
          <w:rFonts w:ascii="Times New Roman" w:hAnsi="Times New Roman" w:cs="Times New Roman"/>
          <w:sz w:val="24"/>
          <w:szCs w:val="24"/>
        </w:rPr>
        <w:fldChar w:fldCharType="separate"/>
      </w:r>
      <w:r>
        <w:rPr>
          <w:rFonts w:ascii="Times New Roman" w:hAnsi="Times New Roman" w:cs="Times New Roman"/>
          <w:sz w:val="24"/>
          <w:szCs w:val="24"/>
        </w:rPr>
        <w:t>118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"_Toc488578934" </w:instrText>
      </w:r>
      <w:r>
        <w:fldChar w:fldCharType="separate"/>
      </w:r>
      <w:r>
        <w:rPr>
          <w:rStyle w:val="52"/>
          <w:rFonts w:ascii="Times New Roman" w:cs="Times New Roman"/>
          <w:sz w:val="24"/>
          <w:szCs w:val="24"/>
        </w:rPr>
        <w:t>第九章</w:t>
      </w:r>
      <w:r>
        <w:rPr>
          <w:rStyle w:val="52"/>
          <w:rFonts w:ascii="Times New Roman" w:hAnsi="Times New Roman" w:cs="Times New Roman"/>
          <w:sz w:val="24"/>
          <w:szCs w:val="24"/>
        </w:rPr>
        <w:t xml:space="preserve">  </w:t>
      </w:r>
      <w:r>
        <w:rPr>
          <w:rStyle w:val="52"/>
          <w:rFonts w:ascii="Times New Roman" w:cs="Times New Roman"/>
          <w:sz w:val="24"/>
          <w:szCs w:val="24"/>
        </w:rPr>
        <w:t>公众参与调查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_Toc488578934 \h </w:instrText>
      </w:r>
      <w:r>
        <w:rPr>
          <w:rFonts w:ascii="Times New Roman" w:hAnsi="Times New Roman" w:cs="Times New Roman"/>
          <w:sz w:val="24"/>
          <w:szCs w:val="24"/>
        </w:rPr>
        <w:fldChar w:fldCharType="separate"/>
      </w:r>
      <w:r>
        <w:rPr>
          <w:rFonts w:ascii="Times New Roman" w:hAnsi="Times New Roman" w:cs="Times New Roman"/>
          <w:sz w:val="24"/>
          <w:szCs w:val="24"/>
        </w:rPr>
        <w:t>119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"_Toc488578935" </w:instrText>
      </w:r>
      <w:r>
        <w:fldChar w:fldCharType="separate"/>
      </w:r>
      <w:r>
        <w:rPr>
          <w:rStyle w:val="52"/>
          <w:rFonts w:ascii="Times New Roman" w:hAnsi="Times New Roman" w:cs="Times New Roman"/>
          <w:sz w:val="24"/>
          <w:szCs w:val="24"/>
        </w:rPr>
        <w:t>9.1 调查目的及意义</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_Toc488578935 \h </w:instrText>
      </w:r>
      <w:r>
        <w:rPr>
          <w:rFonts w:ascii="Times New Roman" w:hAnsi="Times New Roman" w:cs="Times New Roman"/>
          <w:sz w:val="24"/>
          <w:szCs w:val="24"/>
        </w:rPr>
        <w:fldChar w:fldCharType="separate"/>
      </w:r>
      <w:r>
        <w:rPr>
          <w:rFonts w:ascii="Times New Roman" w:hAnsi="Times New Roman" w:cs="Times New Roman"/>
          <w:sz w:val="24"/>
          <w:szCs w:val="24"/>
        </w:rPr>
        <w:t>119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"_Toc488578936" </w:instrText>
      </w:r>
      <w:r>
        <w:fldChar w:fldCharType="separate"/>
      </w:r>
      <w:r>
        <w:rPr>
          <w:rStyle w:val="52"/>
          <w:rFonts w:ascii="Times New Roman" w:hAnsi="Times New Roman" w:cs="Times New Roman"/>
          <w:sz w:val="24"/>
          <w:szCs w:val="24"/>
        </w:rPr>
        <w:t>9.2 调查范围及对象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_Toc488578936 \h </w:instrText>
      </w:r>
      <w:r>
        <w:rPr>
          <w:rFonts w:ascii="Times New Roman" w:hAnsi="Times New Roman" w:cs="Times New Roman"/>
          <w:sz w:val="24"/>
          <w:szCs w:val="24"/>
        </w:rPr>
        <w:fldChar w:fldCharType="separate"/>
      </w:r>
      <w:r>
        <w:rPr>
          <w:rFonts w:ascii="Times New Roman" w:hAnsi="Times New Roman" w:cs="Times New Roman"/>
          <w:sz w:val="24"/>
          <w:szCs w:val="24"/>
        </w:rPr>
        <w:t>119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"_Toc488578937" </w:instrText>
      </w:r>
      <w:r>
        <w:fldChar w:fldCharType="separate"/>
      </w:r>
      <w:r>
        <w:rPr>
          <w:rStyle w:val="52"/>
          <w:rFonts w:ascii="Times New Roman" w:hAnsi="Times New Roman" w:cs="Times New Roman"/>
          <w:sz w:val="24"/>
          <w:szCs w:val="24"/>
        </w:rPr>
        <w:t>9.3 调查方法及内容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_Toc488578937 \h </w:instrText>
      </w:r>
      <w:r>
        <w:rPr>
          <w:rFonts w:ascii="Times New Roman" w:hAnsi="Times New Roman" w:cs="Times New Roman"/>
          <w:sz w:val="24"/>
          <w:szCs w:val="24"/>
        </w:rPr>
        <w:fldChar w:fldCharType="separate"/>
      </w:r>
      <w:r>
        <w:rPr>
          <w:rFonts w:ascii="Times New Roman" w:hAnsi="Times New Roman" w:cs="Times New Roman"/>
          <w:sz w:val="24"/>
          <w:szCs w:val="24"/>
        </w:rPr>
        <w:t>119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"_Toc488578938" </w:instrText>
      </w:r>
      <w:r>
        <w:fldChar w:fldCharType="separate"/>
      </w:r>
      <w:r>
        <w:rPr>
          <w:rStyle w:val="52"/>
          <w:rFonts w:ascii="Times New Roman" w:hAnsi="Times New Roman" w:cs="Times New Roman"/>
          <w:sz w:val="24"/>
          <w:szCs w:val="24"/>
        </w:rPr>
        <w:t>9.4 调查结果统计分析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_Toc488578938 \h </w:instrText>
      </w:r>
      <w:r>
        <w:rPr>
          <w:rFonts w:ascii="Times New Roman" w:hAnsi="Times New Roman" w:cs="Times New Roman"/>
          <w:sz w:val="24"/>
          <w:szCs w:val="24"/>
        </w:rPr>
        <w:fldChar w:fldCharType="separate"/>
      </w:r>
      <w:r>
        <w:rPr>
          <w:rFonts w:ascii="Times New Roman" w:hAnsi="Times New Roman" w:cs="Times New Roman"/>
          <w:sz w:val="24"/>
          <w:szCs w:val="24"/>
        </w:rPr>
        <w:t>119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"_Toc488578939" </w:instrText>
      </w:r>
      <w:r>
        <w:fldChar w:fldCharType="separate"/>
      </w:r>
      <w:r>
        <w:rPr>
          <w:rStyle w:val="52"/>
          <w:rFonts w:ascii="Times New Roman" w:hAnsi="Times New Roman" w:cs="Times New Roman"/>
          <w:sz w:val="24"/>
          <w:szCs w:val="24"/>
        </w:rPr>
        <w:t>9.5 调查结论与建议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_Toc488578939 \h </w:instrText>
      </w:r>
      <w:r>
        <w:rPr>
          <w:rFonts w:ascii="Times New Roman" w:hAnsi="Times New Roman" w:cs="Times New Roman"/>
          <w:sz w:val="24"/>
          <w:szCs w:val="24"/>
        </w:rPr>
        <w:fldChar w:fldCharType="separate"/>
      </w:r>
      <w:r>
        <w:rPr>
          <w:rFonts w:ascii="Times New Roman" w:hAnsi="Times New Roman" w:cs="Times New Roman"/>
          <w:sz w:val="24"/>
          <w:szCs w:val="24"/>
        </w:rPr>
        <w:t>122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"_Toc488578940" </w:instrText>
      </w:r>
      <w:r>
        <w:fldChar w:fldCharType="separate"/>
      </w:r>
      <w:r>
        <w:rPr>
          <w:rStyle w:val="52"/>
          <w:rFonts w:ascii="Times New Roman" w:cs="Times New Roman"/>
          <w:sz w:val="24"/>
          <w:szCs w:val="24"/>
        </w:rPr>
        <w:t>第十章</w:t>
      </w:r>
      <w:r>
        <w:rPr>
          <w:rStyle w:val="52"/>
          <w:rFonts w:ascii="Times New Roman" w:hAnsi="Times New Roman" w:cs="Times New Roman"/>
          <w:sz w:val="24"/>
          <w:szCs w:val="24"/>
        </w:rPr>
        <w:t xml:space="preserve">  </w:t>
      </w:r>
      <w:r>
        <w:rPr>
          <w:rStyle w:val="52"/>
          <w:rFonts w:ascii="Times New Roman" w:cs="Times New Roman"/>
          <w:sz w:val="24"/>
          <w:szCs w:val="24"/>
        </w:rPr>
        <w:t>环境保护事故防范措施调查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_Toc488578940 \h </w:instrText>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"_Toc488578941" </w:instrText>
      </w:r>
      <w:r>
        <w:fldChar w:fldCharType="separate"/>
      </w:r>
      <w:r>
        <w:rPr>
          <w:rStyle w:val="52"/>
          <w:rFonts w:ascii="Times New Roman" w:hAnsi="Times New Roman" w:cs="Times New Roman"/>
          <w:sz w:val="24"/>
          <w:szCs w:val="24"/>
        </w:rPr>
        <w:t>10.1 废污水处理突发事件应急处置预案指导思想</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_Toc488578941 \h </w:instrText>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"_Toc488578942" </w:instrText>
      </w:r>
      <w:r>
        <w:fldChar w:fldCharType="separate"/>
      </w:r>
      <w:r>
        <w:rPr>
          <w:rStyle w:val="52"/>
          <w:rFonts w:ascii="Times New Roman" w:hAnsi="Times New Roman" w:cs="Times New Roman"/>
          <w:sz w:val="24"/>
          <w:szCs w:val="24"/>
        </w:rPr>
        <w:t>10.2 编制说明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_Toc488578942 \h </w:instrText>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"_Toc488578943" </w:instrText>
      </w:r>
      <w:r>
        <w:fldChar w:fldCharType="separate"/>
      </w:r>
      <w:r>
        <w:rPr>
          <w:rStyle w:val="52"/>
          <w:rFonts w:ascii="Times New Roman" w:hAnsi="Times New Roman" w:cs="Times New Roman"/>
          <w:sz w:val="24"/>
          <w:szCs w:val="24"/>
        </w:rPr>
        <w:t>10.3 应急处理原则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_Toc488578943 \h </w:instrText>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"_Toc488578944" </w:instrText>
      </w:r>
      <w:r>
        <w:fldChar w:fldCharType="separate"/>
      </w:r>
      <w:r>
        <w:rPr>
          <w:rStyle w:val="52"/>
          <w:rFonts w:ascii="Times New Roman" w:hAnsi="Times New Roman" w:cs="Times New Roman"/>
          <w:sz w:val="24"/>
          <w:szCs w:val="24"/>
        </w:rPr>
        <w:t>10.4 事故预防措施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_Toc488578944 \h </w:instrText>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"_Toc488578945" </w:instrText>
      </w:r>
      <w:r>
        <w:fldChar w:fldCharType="separate"/>
      </w:r>
      <w:r>
        <w:rPr>
          <w:rStyle w:val="52"/>
          <w:rFonts w:ascii="Times New Roman" w:hAnsi="Times New Roman" w:cs="Times New Roman"/>
          <w:sz w:val="24"/>
          <w:szCs w:val="24"/>
        </w:rPr>
        <w:t>10.5 事故应急措施及注意事项</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_Toc488578945 \h </w:instrText>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"_Toc488578946" </w:instrText>
      </w:r>
      <w:r>
        <w:fldChar w:fldCharType="separate"/>
      </w:r>
      <w:r>
        <w:rPr>
          <w:rStyle w:val="52"/>
          <w:rFonts w:ascii="Times New Roman" w:hAnsi="Times New Roman" w:cs="Times New Roman"/>
          <w:sz w:val="24"/>
          <w:szCs w:val="24"/>
        </w:rPr>
        <w:t>10.6 事故后的恢复和重新进入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_Toc488578946 \h </w:instrText>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"_Toc488578947" </w:instrText>
      </w:r>
      <w:r>
        <w:fldChar w:fldCharType="separate"/>
      </w:r>
      <w:r>
        <w:rPr>
          <w:rStyle w:val="52"/>
          <w:rFonts w:ascii="Times New Roman" w:hAnsi="Times New Roman" w:cs="Times New Roman"/>
          <w:sz w:val="24"/>
          <w:szCs w:val="24"/>
        </w:rPr>
        <w:t>10.7 预防和预警</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_Toc488578947 \h </w:instrText>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"_Toc488578948" </w:instrText>
      </w:r>
      <w:r>
        <w:fldChar w:fldCharType="separate"/>
      </w:r>
      <w:r>
        <w:rPr>
          <w:rStyle w:val="52"/>
          <w:rFonts w:ascii="Times New Roman" w:hAnsi="Times New Roman" w:cs="Times New Roman"/>
          <w:sz w:val="24"/>
          <w:szCs w:val="24"/>
        </w:rPr>
        <w:t>10.8应急人员的安全防护</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_Toc488578948 \h </w:instrText>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"_Toc488578949" </w:instrText>
      </w:r>
      <w:r>
        <w:fldChar w:fldCharType="separate"/>
      </w:r>
      <w:r>
        <w:rPr>
          <w:rStyle w:val="52"/>
          <w:rFonts w:ascii="Times New Roman" w:hAnsi="Times New Roman" w:cs="Times New Roman"/>
          <w:sz w:val="24"/>
          <w:szCs w:val="24"/>
        </w:rPr>
        <w:t>10.9 应急终止</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_Toc488578949 \h </w:instrText>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"_Toc488578950" </w:instrText>
      </w:r>
      <w:r>
        <w:fldChar w:fldCharType="separate"/>
      </w:r>
      <w:r>
        <w:rPr>
          <w:rStyle w:val="52"/>
          <w:rFonts w:ascii="Times New Roman" w:hAnsi="Times New Roman" w:cs="Times New Roman"/>
          <w:sz w:val="24"/>
          <w:szCs w:val="24"/>
        </w:rPr>
        <w:t>10.10 宣传、培训与演练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_Toc488578950 \h </w:instrText>
      </w:r>
      <w:r>
        <w:rPr>
          <w:rFonts w:ascii="Times New Roman" w:hAnsi="Times New Roman" w:cs="Times New Roman"/>
          <w:sz w:val="24"/>
          <w:szCs w:val="24"/>
        </w:rPr>
        <w:fldChar w:fldCharType="separate"/>
      </w:r>
      <w:r>
        <w:rPr>
          <w:rFonts w:ascii="Times New Roman" w:hAnsi="Times New Roman" w:cs="Times New Roman"/>
          <w:sz w:val="24"/>
          <w:szCs w:val="24"/>
        </w:rPr>
        <w:t>126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"_Toc488578951" </w:instrText>
      </w:r>
      <w:r>
        <w:fldChar w:fldCharType="separate"/>
      </w:r>
      <w:r>
        <w:rPr>
          <w:rStyle w:val="52"/>
          <w:rFonts w:ascii="Times New Roman" w:hAnsi="Times New Roman" w:cs="Times New Roman"/>
          <w:sz w:val="24"/>
          <w:szCs w:val="24"/>
        </w:rPr>
        <w:t>10.11预案管理与更新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_Toc488578951 \h </w:instrText>
      </w:r>
      <w:r>
        <w:rPr>
          <w:rFonts w:ascii="Times New Roman" w:hAnsi="Times New Roman" w:cs="Times New Roman"/>
          <w:sz w:val="24"/>
          <w:szCs w:val="24"/>
        </w:rPr>
        <w:fldChar w:fldCharType="separate"/>
      </w:r>
      <w:r>
        <w:rPr>
          <w:rFonts w:ascii="Times New Roman" w:hAnsi="Times New Roman" w:cs="Times New Roman"/>
          <w:sz w:val="24"/>
          <w:szCs w:val="24"/>
        </w:rPr>
        <w:t>127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"_Toc488578952" </w:instrText>
      </w:r>
      <w:r>
        <w:fldChar w:fldCharType="separate"/>
      </w:r>
      <w:r>
        <w:rPr>
          <w:rStyle w:val="52"/>
          <w:rFonts w:ascii="Times New Roman" w:cs="Times New Roman"/>
          <w:sz w:val="24"/>
          <w:szCs w:val="24"/>
        </w:rPr>
        <w:t>第十一章</w:t>
      </w:r>
      <w:r>
        <w:rPr>
          <w:rStyle w:val="52"/>
          <w:rFonts w:ascii="Times New Roman" w:hAnsi="Times New Roman" w:cs="Times New Roman"/>
          <w:sz w:val="24"/>
          <w:szCs w:val="24"/>
        </w:rPr>
        <w:t xml:space="preserve"> </w:t>
      </w:r>
      <w:r>
        <w:rPr>
          <w:rStyle w:val="52"/>
          <w:rFonts w:ascii="Times New Roman" w:cs="Times New Roman"/>
          <w:sz w:val="24"/>
          <w:szCs w:val="24"/>
        </w:rPr>
        <w:t>清洁生产与总量控制调查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_Toc488578952 \h </w:instrText>
      </w:r>
      <w:r>
        <w:rPr>
          <w:rFonts w:ascii="Times New Roman" w:hAnsi="Times New Roman" w:cs="Times New Roman"/>
          <w:sz w:val="24"/>
          <w:szCs w:val="24"/>
        </w:rPr>
        <w:fldChar w:fldCharType="separate"/>
      </w:r>
      <w:r>
        <w:rPr>
          <w:rFonts w:ascii="Times New Roman" w:hAnsi="Times New Roman" w:cs="Times New Roman"/>
          <w:sz w:val="24"/>
          <w:szCs w:val="24"/>
        </w:rPr>
        <w:t>129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"_Toc488578953" </w:instrText>
      </w:r>
      <w:r>
        <w:fldChar w:fldCharType="separate"/>
      </w:r>
      <w:r>
        <w:rPr>
          <w:rStyle w:val="52"/>
          <w:rFonts w:ascii="Times New Roman" w:hAnsi="Times New Roman" w:cs="Times New Roman"/>
          <w:sz w:val="24"/>
          <w:szCs w:val="24"/>
        </w:rPr>
        <w:t>11.1清洁生产调查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_Toc488578953 \h </w:instrText>
      </w:r>
      <w:r>
        <w:rPr>
          <w:rFonts w:ascii="Times New Roman" w:hAnsi="Times New Roman" w:cs="Times New Roman"/>
          <w:sz w:val="24"/>
          <w:szCs w:val="24"/>
        </w:rPr>
        <w:fldChar w:fldCharType="separate"/>
      </w:r>
      <w:r>
        <w:rPr>
          <w:rFonts w:ascii="Times New Roman" w:hAnsi="Times New Roman" w:cs="Times New Roman"/>
          <w:sz w:val="24"/>
          <w:szCs w:val="24"/>
        </w:rPr>
        <w:t>129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"_Toc488578954" </w:instrText>
      </w:r>
      <w:r>
        <w:fldChar w:fldCharType="separate"/>
      </w:r>
      <w:r>
        <w:rPr>
          <w:rStyle w:val="52"/>
          <w:rFonts w:ascii="Times New Roman" w:hAnsi="Times New Roman" w:cs="Times New Roman"/>
          <w:sz w:val="24"/>
          <w:szCs w:val="24"/>
        </w:rPr>
        <w:t>11.2污染物总量控制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_Toc488578954 \h </w:instrText>
      </w:r>
      <w:r>
        <w:rPr>
          <w:rFonts w:ascii="Times New Roman" w:hAnsi="Times New Roman" w:cs="Times New Roman"/>
          <w:sz w:val="24"/>
          <w:szCs w:val="24"/>
        </w:rPr>
        <w:fldChar w:fldCharType="separate"/>
      </w:r>
      <w:r>
        <w:rPr>
          <w:rFonts w:ascii="Times New Roman" w:hAnsi="Times New Roman" w:cs="Times New Roman"/>
          <w:sz w:val="24"/>
          <w:szCs w:val="24"/>
        </w:rPr>
        <w:t>133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4"/>
        <w:tabs>
          <w:tab w:val="right" w:leader="dot" w:pos="8302"/>
        </w:tabs>
        <w:rPr>
          <w:rFonts w:ascii="Times New Roman" w:hAnsi="Times New Roman" w:cs="Times New Roman" w:eastAsiaTheme="minorEastAsia"/>
          <w:b w:val="0"/>
          <w:bCs w:val="0"/>
          <w:caps w:val="0"/>
          <w:sz w:val="24"/>
          <w:szCs w:val="24"/>
        </w:rPr>
      </w:pPr>
      <w:r>
        <w:fldChar w:fldCharType="begin"/>
      </w:r>
      <w:r>
        <w:instrText xml:space="preserve"> HYPERLINK \l "_Toc488578955" </w:instrText>
      </w:r>
      <w:r>
        <w:fldChar w:fldCharType="separate"/>
      </w:r>
      <w:r>
        <w:rPr>
          <w:rStyle w:val="52"/>
          <w:rFonts w:ascii="Times New Roman" w:cs="Times New Roman"/>
          <w:sz w:val="24"/>
          <w:szCs w:val="24"/>
        </w:rPr>
        <w:t>第十二章</w:t>
      </w:r>
      <w:r>
        <w:rPr>
          <w:rStyle w:val="52"/>
          <w:rFonts w:ascii="Times New Roman" w:hAnsi="Times New Roman" w:cs="Times New Roman"/>
          <w:sz w:val="24"/>
          <w:szCs w:val="24"/>
        </w:rPr>
        <w:t xml:space="preserve">  </w:t>
      </w:r>
      <w:r>
        <w:rPr>
          <w:rStyle w:val="52"/>
          <w:rFonts w:ascii="Times New Roman" w:cs="Times New Roman"/>
          <w:sz w:val="24"/>
          <w:szCs w:val="24"/>
        </w:rPr>
        <w:t>调查结论与建议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_Toc488578955 \h </w:instrText>
      </w:r>
      <w:r>
        <w:rPr>
          <w:rFonts w:ascii="Times New Roman" w:hAnsi="Times New Roman" w:cs="Times New Roman"/>
          <w:sz w:val="24"/>
          <w:szCs w:val="24"/>
        </w:rPr>
        <w:fldChar w:fldCharType="separate"/>
      </w:r>
      <w:r>
        <w:rPr>
          <w:rFonts w:ascii="Times New Roman" w:hAnsi="Times New Roman" w:cs="Times New Roman"/>
          <w:sz w:val="24"/>
          <w:szCs w:val="24"/>
        </w:rPr>
        <w:t>135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4"/>
          <w:szCs w:val="24"/>
        </w:rPr>
      </w:pPr>
      <w:r>
        <w:fldChar w:fldCharType="begin"/>
      </w:r>
      <w:r>
        <w:instrText xml:space="preserve"> HYPERLINK \l "_Toc488578956" </w:instrText>
      </w:r>
      <w:r>
        <w:fldChar w:fldCharType="separate"/>
      </w:r>
      <w:r>
        <w:rPr>
          <w:rStyle w:val="52"/>
          <w:rFonts w:ascii="Times New Roman" w:hAnsi="Times New Roman" w:cs="Times New Roman"/>
          <w:sz w:val="24"/>
          <w:szCs w:val="24"/>
        </w:rPr>
        <w:t>12.1 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_Toc488578956 \h </w:instrText>
      </w:r>
      <w:r>
        <w:rPr>
          <w:rFonts w:ascii="Times New Roman" w:hAnsi="Times New Roman" w:cs="Times New Roman"/>
          <w:sz w:val="24"/>
          <w:szCs w:val="24"/>
        </w:rPr>
        <w:fldChar w:fldCharType="separate"/>
      </w:r>
      <w:r>
        <w:rPr>
          <w:rFonts w:ascii="Times New Roman" w:hAnsi="Times New Roman" w:cs="Times New Roman"/>
          <w:sz w:val="24"/>
          <w:szCs w:val="24"/>
        </w:rPr>
        <w:t>135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tabs>
          <w:tab w:val="right" w:leader="dot" w:pos="8302"/>
        </w:tabs>
        <w:rPr>
          <w:rFonts w:ascii="Times New Roman" w:hAnsi="Times New Roman" w:cs="Times New Roman" w:eastAsiaTheme="minorEastAsia"/>
          <w:smallCaps w:val="0"/>
          <w:sz w:val="21"/>
          <w:szCs w:val="22"/>
        </w:rPr>
      </w:pPr>
      <w:r>
        <w:fldChar w:fldCharType="begin"/>
      </w:r>
      <w:r>
        <w:instrText xml:space="preserve"> HYPERLINK \l "_Toc488578957" </w:instrText>
      </w:r>
      <w:r>
        <w:fldChar w:fldCharType="separate"/>
      </w:r>
      <w:r>
        <w:rPr>
          <w:rStyle w:val="52"/>
          <w:rFonts w:ascii="Times New Roman" w:hAnsi="Times New Roman" w:cs="Times New Roman"/>
          <w:sz w:val="24"/>
          <w:szCs w:val="24"/>
        </w:rPr>
        <w:t>12.2 建议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_Toc488578957 \h </w:instrText>
      </w:r>
      <w:r>
        <w:rPr>
          <w:rFonts w:ascii="Times New Roman" w:hAnsi="Times New Roman" w:cs="Times New Roman"/>
          <w:sz w:val="24"/>
          <w:szCs w:val="24"/>
        </w:rPr>
        <w:fldChar w:fldCharType="separate"/>
      </w:r>
      <w:r>
        <w:rPr>
          <w:rFonts w:ascii="Times New Roman" w:hAnsi="Times New Roman" w:cs="Times New Roman"/>
          <w:sz w:val="24"/>
          <w:szCs w:val="24"/>
        </w:rPr>
        <w:t>139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43"/>
        <w:ind w:firstLine="400"/>
        <w:rPr>
          <w:rFonts w:ascii="Times New Roman" w:hAnsi="Times New Roman" w:cs="Times New Roman"/>
          <w:bCs/>
          <w:caps/>
        </w:rPr>
      </w:pPr>
      <w:r>
        <w:rPr>
          <w:rFonts w:ascii="Times New Roman" w:hAnsi="Times New Roman" w:cs="Times New Roman"/>
          <w:b/>
          <w:smallCaps w:val="0"/>
        </w:rPr>
        <w:fldChar w:fldCharType="end"/>
      </w:r>
    </w:p>
    <w:p>
      <w:pPr>
        <w:pStyle w:val="43"/>
        <w:ind w:firstLine="400"/>
        <w:rPr>
          <w:rFonts w:ascii="Times New Roman" w:hAnsi="Times New Roman" w:cs="Times New Roman"/>
        </w:rPr>
      </w:pPr>
    </w:p>
    <w:p>
      <w:pPr>
        <w:pStyle w:val="43"/>
        <w:ind w:firstLine="400"/>
        <w:rPr>
          <w:rFonts w:ascii="Times New Roman" w:hAnsi="Times New Roman" w:cs="Times New Roman"/>
        </w:rPr>
      </w:pPr>
    </w:p>
    <w:p/>
    <w:p/>
    <w:p/>
    <w:p/>
    <w:p/>
    <w:p/>
    <w:p>
      <w:pPr>
        <w:pStyle w:val="43"/>
        <w:spacing w:line="312" w:lineRule="auto"/>
        <w:ind w:left="0"/>
        <w:rPr>
          <w:rFonts w:ascii="Times New Roman" w:hAnsi="Times New Roman" w:cs="Times New Roman"/>
          <w:b/>
        </w:rPr>
      </w:pPr>
      <w:r>
        <w:rPr>
          <w:rFonts w:ascii="Times New Roman" w:hAnsi="Times New Roman" w:cs="Times New Roman"/>
          <w:b/>
        </w:rPr>
        <w:t xml:space="preserve"> </w:t>
      </w:r>
    </w:p>
    <w:p>
      <w:pPr>
        <w:pStyle w:val="43"/>
        <w:spacing w:line="312" w:lineRule="auto"/>
        <w:ind w:left="0"/>
        <w:rPr>
          <w:rFonts w:ascii="Times New Roman" w:hAnsi="Times New Roman" w:cs="Times New Roman"/>
          <w:b/>
        </w:rPr>
      </w:pPr>
      <w:r>
        <w:rPr>
          <w:rFonts w:ascii="Times New Roman" w:hAnsi="Times New Roman" w:cs="Times New Roman"/>
          <w:b/>
        </w:rPr>
        <w:t>附件：</w:t>
      </w:r>
      <w:bookmarkEnd w:id="14"/>
    </w:p>
    <w:p>
      <w:pPr>
        <w:pStyle w:val="107"/>
        <w:adjustRightInd w:val="0"/>
        <w:snapToGrid w:val="0"/>
        <w:spacing w:line="312" w:lineRule="auto"/>
        <w:rPr>
          <w:b/>
          <w:sz w:val="21"/>
          <w:szCs w:val="21"/>
        </w:rPr>
      </w:pPr>
      <w:bookmarkStart w:id="15" w:name="_Toc464290024"/>
      <w:r>
        <w:rPr>
          <w:b/>
          <w:sz w:val="21"/>
          <w:szCs w:val="21"/>
        </w:rPr>
        <w:t xml:space="preserve">    附件1：委托书</w:t>
      </w:r>
      <w:bookmarkEnd w:id="15"/>
    </w:p>
    <w:p>
      <w:pPr>
        <w:pStyle w:val="107"/>
        <w:adjustRightInd w:val="0"/>
        <w:snapToGrid w:val="0"/>
        <w:spacing w:line="312" w:lineRule="auto"/>
        <w:rPr>
          <w:b/>
          <w:sz w:val="21"/>
          <w:szCs w:val="21"/>
        </w:rPr>
      </w:pPr>
      <w:bookmarkStart w:id="16" w:name="_Toc464290025"/>
      <w:r>
        <w:rPr>
          <w:b/>
          <w:sz w:val="21"/>
          <w:szCs w:val="21"/>
        </w:rPr>
        <w:t xml:space="preserve">    附件2：</w:t>
      </w:r>
      <w:r>
        <w:rPr>
          <w:rFonts w:eastAsia="汉鼎简书宋"/>
          <w:b/>
          <w:sz w:val="21"/>
          <w:szCs w:val="21"/>
        </w:rPr>
        <w:t>河南省环境保护厅以豫环审【2013】250号文关于</w:t>
      </w:r>
      <w:r>
        <w:rPr>
          <w:b/>
          <w:sz w:val="21"/>
          <w:szCs w:val="21"/>
        </w:rPr>
        <w:t>《灵宝金源晨光有色矿冶有</w:t>
      </w:r>
    </w:p>
    <w:p>
      <w:pPr>
        <w:pStyle w:val="107"/>
        <w:adjustRightInd w:val="0"/>
        <w:snapToGrid w:val="0"/>
        <w:spacing w:line="312" w:lineRule="auto"/>
        <w:rPr>
          <w:b/>
          <w:sz w:val="21"/>
          <w:szCs w:val="21"/>
        </w:rPr>
      </w:pPr>
      <w:r>
        <w:rPr>
          <w:b/>
          <w:sz w:val="21"/>
          <w:szCs w:val="21"/>
        </w:rPr>
        <w:t xml:space="preserve">            限公司银家沟硫铁矿综合回收扩建工程项目环境影响报告书</w:t>
      </w:r>
      <w:r>
        <w:rPr>
          <w:b/>
          <w:spacing w:val="2"/>
          <w:sz w:val="21"/>
          <w:szCs w:val="21"/>
        </w:rPr>
        <w:t>》的批复；</w:t>
      </w:r>
      <w:bookmarkEnd w:id="16"/>
    </w:p>
    <w:p>
      <w:pPr>
        <w:pStyle w:val="107"/>
        <w:adjustRightInd w:val="0"/>
        <w:snapToGrid w:val="0"/>
        <w:spacing w:line="312" w:lineRule="auto"/>
        <w:ind w:firstLine="420" w:firstLineChars="200"/>
        <w:rPr>
          <w:b/>
          <w:sz w:val="21"/>
          <w:szCs w:val="21"/>
        </w:rPr>
      </w:pPr>
      <w:bookmarkStart w:id="17" w:name="_Toc464290026"/>
      <w:r>
        <w:rPr>
          <w:b/>
          <w:sz w:val="21"/>
          <w:szCs w:val="21"/>
        </w:rPr>
        <w:t>附件3：</w:t>
      </w:r>
      <w:bookmarkEnd w:id="17"/>
      <w:r>
        <w:rPr>
          <w:b/>
          <w:sz w:val="21"/>
          <w:szCs w:val="21"/>
        </w:rPr>
        <w:t>执行标准的意见</w:t>
      </w:r>
    </w:p>
    <w:p>
      <w:pPr>
        <w:pStyle w:val="107"/>
        <w:adjustRightInd w:val="0"/>
        <w:snapToGrid w:val="0"/>
        <w:spacing w:line="312" w:lineRule="auto"/>
        <w:ind w:firstLine="420" w:firstLineChars="200"/>
        <w:rPr>
          <w:b/>
          <w:sz w:val="21"/>
          <w:szCs w:val="21"/>
        </w:rPr>
      </w:pPr>
      <w:bookmarkStart w:id="18" w:name="_Toc464290027"/>
      <w:r>
        <w:rPr>
          <w:b/>
          <w:sz w:val="21"/>
          <w:szCs w:val="21"/>
        </w:rPr>
        <w:t>附件4：</w:t>
      </w:r>
      <w:bookmarkEnd w:id="18"/>
      <w:r>
        <w:rPr>
          <w:b/>
          <w:sz w:val="21"/>
          <w:szCs w:val="21"/>
        </w:rPr>
        <w:t>采矿许可证</w:t>
      </w:r>
    </w:p>
    <w:p>
      <w:pPr>
        <w:pStyle w:val="107"/>
        <w:adjustRightInd w:val="0"/>
        <w:snapToGrid w:val="0"/>
        <w:spacing w:line="312" w:lineRule="auto"/>
        <w:ind w:firstLine="420" w:firstLineChars="200"/>
        <w:rPr>
          <w:b/>
          <w:sz w:val="21"/>
          <w:szCs w:val="21"/>
        </w:rPr>
      </w:pPr>
      <w:r>
        <w:rPr>
          <w:b/>
          <w:sz w:val="21"/>
          <w:szCs w:val="21"/>
        </w:rPr>
        <w:t>附件5：应急预案备案表</w:t>
      </w:r>
    </w:p>
    <w:p>
      <w:pPr>
        <w:pStyle w:val="107"/>
        <w:adjustRightInd w:val="0"/>
        <w:snapToGrid w:val="0"/>
        <w:spacing w:line="312" w:lineRule="auto"/>
        <w:ind w:firstLine="420" w:firstLineChars="200"/>
        <w:rPr>
          <w:b/>
          <w:sz w:val="21"/>
          <w:szCs w:val="21"/>
        </w:rPr>
      </w:pPr>
      <w:bookmarkStart w:id="19" w:name="_Toc464290029"/>
      <w:r>
        <w:rPr>
          <w:b/>
          <w:sz w:val="21"/>
          <w:szCs w:val="21"/>
        </w:rPr>
        <w:t>附件6：</w:t>
      </w:r>
      <w:bookmarkEnd w:id="19"/>
      <w:r>
        <w:rPr>
          <w:b/>
          <w:sz w:val="21"/>
          <w:szCs w:val="21"/>
        </w:rPr>
        <w:t>尾矿库安全生产许可证</w:t>
      </w:r>
    </w:p>
    <w:p>
      <w:pPr>
        <w:pStyle w:val="107"/>
        <w:adjustRightInd w:val="0"/>
        <w:snapToGrid w:val="0"/>
        <w:spacing w:line="312" w:lineRule="auto"/>
        <w:ind w:firstLine="420" w:firstLineChars="200"/>
        <w:rPr>
          <w:b/>
          <w:sz w:val="21"/>
          <w:szCs w:val="21"/>
        </w:rPr>
      </w:pPr>
      <w:bookmarkStart w:id="20" w:name="_Toc464290031"/>
      <w:r>
        <w:rPr>
          <w:b/>
          <w:sz w:val="21"/>
          <w:szCs w:val="21"/>
        </w:rPr>
        <w:t>附件7：</w:t>
      </w:r>
      <w:bookmarkEnd w:id="20"/>
      <w:r>
        <w:rPr>
          <w:b/>
          <w:sz w:val="21"/>
          <w:szCs w:val="21"/>
        </w:rPr>
        <w:t>监测报告</w:t>
      </w:r>
    </w:p>
    <w:p>
      <w:pPr>
        <w:pStyle w:val="107"/>
        <w:adjustRightInd w:val="0"/>
        <w:snapToGrid w:val="0"/>
        <w:spacing w:line="312" w:lineRule="auto"/>
        <w:ind w:firstLine="420" w:firstLineChars="200"/>
        <w:rPr>
          <w:b/>
          <w:sz w:val="21"/>
          <w:szCs w:val="21"/>
        </w:rPr>
      </w:pPr>
      <w:r>
        <w:rPr>
          <w:b/>
          <w:sz w:val="21"/>
          <w:szCs w:val="21"/>
        </w:rPr>
        <w:t>附件8：问卷调查样卷</w:t>
      </w:r>
    </w:p>
    <w:p>
      <w:pPr>
        <w:pStyle w:val="107"/>
        <w:adjustRightInd w:val="0"/>
        <w:snapToGrid w:val="0"/>
        <w:spacing w:line="312" w:lineRule="auto"/>
        <w:ind w:firstLine="420" w:firstLineChars="200"/>
        <w:rPr>
          <w:b/>
          <w:sz w:val="21"/>
          <w:szCs w:val="21"/>
        </w:rPr>
      </w:pPr>
      <w:r>
        <w:rPr>
          <w:b/>
          <w:sz w:val="21"/>
          <w:szCs w:val="21"/>
        </w:rPr>
        <w:t>附件9：排污许可证</w:t>
      </w:r>
    </w:p>
    <w:p>
      <w:pPr>
        <w:pStyle w:val="107"/>
        <w:adjustRightInd w:val="0"/>
        <w:snapToGrid w:val="0"/>
        <w:spacing w:line="312" w:lineRule="auto"/>
        <w:ind w:firstLine="420" w:firstLineChars="200"/>
        <w:rPr>
          <w:b/>
          <w:sz w:val="21"/>
          <w:szCs w:val="21"/>
        </w:rPr>
      </w:pPr>
      <w:r>
        <w:rPr>
          <w:b/>
          <w:sz w:val="21"/>
          <w:szCs w:val="21"/>
        </w:rPr>
        <w:t>附件10：营业执照</w:t>
      </w:r>
    </w:p>
    <w:p>
      <w:pPr>
        <w:pStyle w:val="107"/>
        <w:adjustRightInd w:val="0"/>
        <w:snapToGrid w:val="0"/>
        <w:spacing w:line="312" w:lineRule="auto"/>
        <w:ind w:firstLine="420" w:firstLineChars="200"/>
        <w:rPr>
          <w:rFonts w:hint="eastAsia"/>
          <w:b/>
          <w:sz w:val="21"/>
          <w:szCs w:val="21"/>
        </w:rPr>
      </w:pPr>
      <w:r>
        <w:rPr>
          <w:rFonts w:hint="eastAsia"/>
          <w:b/>
          <w:sz w:val="21"/>
          <w:szCs w:val="21"/>
        </w:rPr>
        <w:t>附件11：尾矿废水深度处理工程环评及验收批复</w:t>
      </w:r>
    </w:p>
    <w:p>
      <w:pPr>
        <w:pStyle w:val="107"/>
        <w:adjustRightInd w:val="0"/>
        <w:snapToGrid w:val="0"/>
        <w:spacing w:line="312" w:lineRule="auto"/>
        <w:ind w:firstLine="420" w:firstLineChars="200"/>
        <w:rPr>
          <w:rFonts w:hint="eastAsia"/>
          <w:b/>
          <w:sz w:val="21"/>
          <w:szCs w:val="21"/>
          <w:lang w:val="en-US" w:eastAsia="zh-CN"/>
        </w:rPr>
      </w:pPr>
      <w:r>
        <w:rPr>
          <w:rFonts w:hint="eastAsia"/>
          <w:b/>
          <w:sz w:val="21"/>
          <w:szCs w:val="21"/>
          <w:lang w:eastAsia="zh-CN"/>
        </w:rPr>
        <w:t>附件</w:t>
      </w:r>
      <w:r>
        <w:rPr>
          <w:rFonts w:hint="eastAsia"/>
          <w:b/>
          <w:sz w:val="21"/>
          <w:szCs w:val="21"/>
          <w:lang w:val="en-US" w:eastAsia="zh-CN"/>
        </w:rPr>
        <w:t>12：关于变更南竖井施工工程的请示及批复</w:t>
      </w:r>
    </w:p>
    <w:p>
      <w:pPr>
        <w:pStyle w:val="107"/>
        <w:adjustRightInd w:val="0"/>
        <w:snapToGrid w:val="0"/>
        <w:spacing w:line="312" w:lineRule="auto"/>
        <w:ind w:firstLine="420" w:firstLineChars="200"/>
        <w:rPr>
          <w:rFonts w:hint="eastAsia"/>
          <w:b/>
          <w:sz w:val="21"/>
          <w:szCs w:val="21"/>
          <w:lang w:val="en-US" w:eastAsia="zh-CN"/>
        </w:rPr>
      </w:pPr>
      <w:r>
        <w:rPr>
          <w:rFonts w:hint="eastAsia"/>
          <w:b/>
          <w:sz w:val="21"/>
          <w:szCs w:val="21"/>
          <w:lang w:val="en-US" w:eastAsia="zh-CN"/>
        </w:rPr>
        <w:t>附件13：评审意见</w:t>
      </w:r>
    </w:p>
    <w:p>
      <w:pPr>
        <w:pStyle w:val="107"/>
        <w:adjustRightInd w:val="0"/>
        <w:snapToGrid w:val="0"/>
        <w:spacing w:line="312" w:lineRule="auto"/>
        <w:ind w:firstLine="420" w:firstLineChars="200"/>
        <w:rPr>
          <w:rFonts w:hint="eastAsia"/>
          <w:b/>
          <w:sz w:val="21"/>
          <w:szCs w:val="21"/>
          <w:lang w:val="en-US" w:eastAsia="zh-CN"/>
        </w:rPr>
      </w:pPr>
      <w:r>
        <w:rPr>
          <w:rFonts w:hint="eastAsia"/>
          <w:b/>
          <w:sz w:val="21"/>
          <w:szCs w:val="21"/>
          <w:lang w:val="en-US" w:eastAsia="zh-CN"/>
        </w:rPr>
        <w:t>附件14：审查小组人员名单</w:t>
      </w:r>
    </w:p>
    <w:p>
      <w:pPr>
        <w:pStyle w:val="107"/>
        <w:adjustRightInd w:val="0"/>
        <w:snapToGrid w:val="0"/>
        <w:spacing w:line="312" w:lineRule="auto"/>
        <w:ind w:firstLine="420" w:firstLineChars="200"/>
        <w:rPr>
          <w:rFonts w:hint="eastAsia"/>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rPr>
          <w:b/>
          <w:sz w:val="21"/>
          <w:szCs w:val="21"/>
        </w:rPr>
      </w:pPr>
      <w:bookmarkStart w:id="21" w:name="_Toc464290035"/>
      <w:r>
        <w:rPr>
          <w:b/>
          <w:sz w:val="21"/>
          <w:szCs w:val="21"/>
        </w:rPr>
        <w:t>附图</w:t>
      </w:r>
      <w:bookmarkEnd w:id="21"/>
      <w:r>
        <w:rPr>
          <w:b/>
          <w:sz w:val="21"/>
          <w:szCs w:val="21"/>
        </w:rPr>
        <w:t>:</w:t>
      </w:r>
    </w:p>
    <w:p>
      <w:pPr>
        <w:pStyle w:val="107"/>
        <w:adjustRightInd w:val="0"/>
        <w:snapToGrid w:val="0"/>
        <w:spacing w:line="312" w:lineRule="auto"/>
        <w:ind w:firstLine="420" w:firstLineChars="200"/>
        <w:rPr>
          <w:b/>
          <w:sz w:val="21"/>
          <w:szCs w:val="21"/>
        </w:rPr>
      </w:pPr>
      <w:r>
        <w:rPr>
          <w:b/>
          <w:sz w:val="21"/>
          <w:szCs w:val="21"/>
        </w:rPr>
        <w:t>附图1：敏感点分布图</w:t>
      </w:r>
    </w:p>
    <w:p>
      <w:pPr>
        <w:pStyle w:val="107"/>
        <w:adjustRightInd w:val="0"/>
        <w:snapToGrid w:val="0"/>
        <w:spacing w:line="312" w:lineRule="auto"/>
        <w:ind w:firstLine="420" w:firstLineChars="200"/>
        <w:rPr>
          <w:b/>
          <w:sz w:val="21"/>
          <w:szCs w:val="21"/>
        </w:rPr>
      </w:pPr>
      <w:r>
        <w:rPr>
          <w:b/>
          <w:sz w:val="21"/>
          <w:szCs w:val="21"/>
        </w:rPr>
        <w:t>附图2：地理位置图</w:t>
      </w:r>
    </w:p>
    <w:p>
      <w:pPr>
        <w:pStyle w:val="107"/>
        <w:adjustRightInd w:val="0"/>
        <w:snapToGrid w:val="0"/>
        <w:spacing w:line="312" w:lineRule="auto"/>
        <w:ind w:firstLine="420" w:firstLineChars="200"/>
        <w:rPr>
          <w:b/>
          <w:sz w:val="21"/>
          <w:szCs w:val="21"/>
        </w:rPr>
      </w:pPr>
      <w:r>
        <w:rPr>
          <w:b/>
          <w:sz w:val="21"/>
          <w:szCs w:val="21"/>
        </w:rPr>
        <w:t>附图3：全场各功能区位置关系</w:t>
      </w:r>
    </w:p>
    <w:p>
      <w:pPr>
        <w:pStyle w:val="107"/>
        <w:adjustRightInd w:val="0"/>
        <w:snapToGrid w:val="0"/>
        <w:spacing w:line="312" w:lineRule="auto"/>
        <w:ind w:firstLine="420" w:firstLineChars="200"/>
        <w:rPr>
          <w:b/>
          <w:sz w:val="21"/>
          <w:szCs w:val="21"/>
        </w:rPr>
      </w:pPr>
      <w:r>
        <w:rPr>
          <w:b/>
          <w:sz w:val="21"/>
          <w:szCs w:val="21"/>
        </w:rPr>
        <w:t>附图4：区域水系图及地表水监测断面示意图</w:t>
      </w:r>
    </w:p>
    <w:p>
      <w:pPr>
        <w:pStyle w:val="107"/>
        <w:adjustRightInd w:val="0"/>
        <w:snapToGrid w:val="0"/>
        <w:spacing w:line="312" w:lineRule="auto"/>
        <w:ind w:firstLine="420" w:firstLineChars="200"/>
        <w:rPr>
          <w:b/>
          <w:sz w:val="21"/>
          <w:szCs w:val="21"/>
        </w:rPr>
      </w:pPr>
      <w:r>
        <w:rPr>
          <w:b/>
          <w:sz w:val="21"/>
          <w:szCs w:val="21"/>
        </w:rPr>
        <w:t>附图5：区域水系图</w:t>
      </w:r>
    </w:p>
    <w:p>
      <w:pPr>
        <w:pStyle w:val="107"/>
        <w:adjustRightInd w:val="0"/>
        <w:snapToGrid w:val="0"/>
        <w:spacing w:line="312" w:lineRule="auto"/>
        <w:ind w:firstLine="420" w:firstLineChars="200"/>
        <w:rPr>
          <w:b/>
          <w:sz w:val="21"/>
          <w:szCs w:val="21"/>
        </w:rPr>
      </w:pPr>
      <w:r>
        <w:rPr>
          <w:b/>
          <w:sz w:val="21"/>
          <w:szCs w:val="21"/>
        </w:rPr>
        <w:t>附图6：生态调查范围图</w:t>
      </w:r>
    </w:p>
    <w:p>
      <w:pPr>
        <w:pStyle w:val="107"/>
        <w:adjustRightInd w:val="0"/>
        <w:snapToGrid w:val="0"/>
        <w:spacing w:line="312" w:lineRule="auto"/>
        <w:ind w:firstLine="420" w:firstLineChars="200"/>
        <w:rPr>
          <w:b/>
          <w:sz w:val="21"/>
          <w:szCs w:val="21"/>
        </w:rPr>
      </w:pPr>
      <w:r>
        <w:rPr>
          <w:b/>
          <w:sz w:val="21"/>
          <w:szCs w:val="21"/>
        </w:rPr>
        <w:t>附图7：监测布点示意图</w:t>
      </w:r>
      <w:bookmarkStart w:id="22" w:name="_Toc464290034"/>
    </w:p>
    <w:p>
      <w:pPr>
        <w:pStyle w:val="107"/>
        <w:adjustRightInd w:val="0"/>
        <w:snapToGrid w:val="0"/>
        <w:spacing w:line="312" w:lineRule="auto"/>
        <w:ind w:firstLine="420" w:firstLineChars="200"/>
        <w:rPr>
          <w:b/>
          <w:sz w:val="21"/>
          <w:szCs w:val="21"/>
        </w:rPr>
      </w:pPr>
      <w:r>
        <w:rPr>
          <w:b/>
          <w:sz w:val="21"/>
          <w:szCs w:val="21"/>
        </w:rPr>
        <w:t>附图8：环保设施照片</w:t>
      </w: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jc w:val="both"/>
        <w:rPr>
          <w:b/>
          <w:sz w:val="21"/>
          <w:szCs w:val="21"/>
        </w:rPr>
      </w:pPr>
      <w:r>
        <w:rPr>
          <w:b/>
          <w:sz w:val="21"/>
          <w:szCs w:val="21"/>
        </w:rPr>
        <w:t>附表：</w:t>
      </w:r>
    </w:p>
    <w:p>
      <w:pPr>
        <w:pStyle w:val="107"/>
        <w:adjustRightInd w:val="0"/>
        <w:snapToGrid w:val="0"/>
        <w:ind w:firstLine="420"/>
        <w:jc w:val="both"/>
        <w:rPr>
          <w:b/>
          <w:sz w:val="21"/>
          <w:szCs w:val="21"/>
        </w:rPr>
      </w:pPr>
      <w:r>
        <w:rPr>
          <w:b/>
          <w:sz w:val="21"/>
          <w:szCs w:val="21"/>
        </w:rPr>
        <w:t>建设项目工程竣工环境保护“三同时”验收登记表</w:t>
      </w:r>
      <w:bookmarkEnd w:id="22"/>
    </w:p>
    <w:p>
      <w:pPr>
        <w:pStyle w:val="107"/>
        <w:adjustRightInd w:val="0"/>
        <w:snapToGrid w:val="0"/>
        <w:ind w:firstLine="420"/>
        <w:jc w:val="both"/>
        <w:rPr>
          <w:b/>
          <w:sz w:val="21"/>
          <w:szCs w:val="21"/>
        </w:rPr>
      </w:pPr>
    </w:p>
    <w:p>
      <w:pPr>
        <w:pStyle w:val="107"/>
        <w:adjustRightInd w:val="0"/>
        <w:snapToGrid w:val="0"/>
        <w:ind w:firstLine="420"/>
        <w:jc w:val="both"/>
        <w:rPr>
          <w:b/>
          <w:sz w:val="21"/>
          <w:szCs w:val="21"/>
        </w:rPr>
      </w:pPr>
    </w:p>
    <w:p>
      <w:pPr>
        <w:pStyle w:val="107"/>
        <w:adjustRightInd w:val="0"/>
        <w:snapToGrid w:val="0"/>
        <w:ind w:firstLine="420"/>
        <w:jc w:val="both"/>
        <w:rPr>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ind w:firstLine="420" w:firstLineChars="200"/>
        <w:rPr>
          <w:b/>
          <w:sz w:val="21"/>
          <w:szCs w:val="21"/>
        </w:rPr>
      </w:pPr>
    </w:p>
    <w:p>
      <w:pPr>
        <w:pStyle w:val="107"/>
        <w:adjustRightInd w:val="0"/>
        <w:snapToGrid w:val="0"/>
        <w:spacing w:line="312" w:lineRule="auto"/>
        <w:ind w:firstLine="480" w:firstLineChars="200"/>
        <w:sectPr>
          <w:headerReference r:id="rId3" w:type="default"/>
          <w:footerReference r:id="rId4" w:type="default"/>
          <w:footerReference r:id="rId5" w:type="even"/>
          <w:pgSz w:w="11906" w:h="16838"/>
          <w:pgMar w:top="1440" w:right="1797" w:bottom="1440" w:left="1797" w:header="851" w:footer="992" w:gutter="0"/>
          <w:pgNumType w:fmt="upperRoman" w:start="1"/>
          <w:cols w:space="425" w:num="1"/>
          <w:docGrid w:type="linesAndChars" w:linePitch="312" w:charSpace="0"/>
        </w:sectPr>
      </w:pPr>
    </w:p>
    <w:p>
      <w:pPr>
        <w:spacing w:beforeLines="100" w:afterLines="100"/>
        <w:jc w:val="center"/>
        <w:outlineLvl w:val="0"/>
        <w:rPr>
          <w:b/>
          <w:sz w:val="36"/>
          <w:szCs w:val="36"/>
        </w:rPr>
      </w:pPr>
      <w:bookmarkStart w:id="23" w:name="_Toc488578890"/>
      <w:bookmarkStart w:id="24" w:name="_Toc470358595"/>
      <w:r>
        <w:rPr>
          <w:b/>
          <w:sz w:val="36"/>
          <w:szCs w:val="36"/>
        </w:rPr>
        <w:t>前  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23"/>
      <w:bookmarkEnd w:id="24"/>
    </w:p>
    <w:p>
      <w:pPr>
        <w:spacing w:line="360" w:lineRule="auto"/>
        <w:ind w:firstLine="480" w:firstLineChars="200"/>
        <w:rPr>
          <w:sz w:val="24"/>
        </w:rPr>
      </w:pPr>
      <w:r>
        <w:rPr>
          <w:sz w:val="24"/>
        </w:rPr>
        <w:t>灵宝金源晨光有色矿冶有限公司（以下简称“金源晨光”）银家沟硫铁矿位于</w:t>
      </w:r>
      <w:r>
        <w:rPr>
          <w:kern w:val="20"/>
          <w:sz w:val="24"/>
        </w:rPr>
        <w:t>灵宝市朱阳镇大村银家沟，</w:t>
      </w:r>
      <w:r>
        <w:rPr>
          <w:sz w:val="24"/>
        </w:rPr>
        <w:t>1996年8月，灵宝市银家沟硫铁矿委托河南省环境保护研究所针对50万t/a采选扩建工程编制了《河南省灵宝银家沟硫铁矿采选扩建工程环境影响报告书》，原河南环境保护局以豫环监（1997）47号文件对该项目进行了批复。由于种各种因，银家沟硫铁矿未形成50万t/a采选能力，也未进行建设项目竣工环境保护验收。目前采矿生产能力为20万吨/年，选矿拥有650t/d选矿生产线，并建设有设计库容261.3万m</w:t>
      </w:r>
      <w:r>
        <w:rPr>
          <w:sz w:val="24"/>
          <w:vertAlign w:val="superscript"/>
        </w:rPr>
        <w:t>3</w:t>
      </w:r>
      <w:r>
        <w:rPr>
          <w:sz w:val="24"/>
        </w:rPr>
        <w:t>，总坝高60m的尾矿库</w:t>
      </w:r>
      <w:r>
        <w:rPr>
          <w:kern w:val="20"/>
          <w:sz w:val="24"/>
        </w:rPr>
        <w:t>。后续</w:t>
      </w:r>
      <w:r>
        <w:rPr>
          <w:rFonts w:hint="eastAsia"/>
          <w:kern w:val="20"/>
          <w:sz w:val="24"/>
        </w:rPr>
        <w:t>，</w:t>
      </w:r>
      <w:r>
        <w:rPr>
          <w:kern w:val="20"/>
          <w:sz w:val="24"/>
        </w:rPr>
        <w:t>灵宝金源晨光有色矿冶有限公司根据河南省环保厅向金源矿业有限责任公司（含灵宝金源晨光有色矿</w:t>
      </w:r>
      <w:r>
        <w:rPr>
          <w:sz w:val="24"/>
        </w:rPr>
        <w:t>冶有限公司银家沟硫铁矿）下达的《环境污染限期治理通知书》（豫环限[2012]）32号）的要求，委托河南佳昱环境科技公司编制了《灵宝金源晨光有色矿冶有限公司硫铁矿分公司（20万吨/年采选）环境综合整治技术方案》并通过了河南省环保厅2012年6月27日组织的技术审查，2013年3月26日河南省环境保护厅豫环审【2013】124号文《关于灵宝金源晨光有色矿业有限公司矿业分公司硫磷分公司硫铁矿分公司环境综合治理项目的验收意见》通过了该项目环境综合整治验收（见附件2-2）。</w:t>
      </w:r>
    </w:p>
    <w:p>
      <w:pPr>
        <w:spacing w:line="360" w:lineRule="auto"/>
        <w:rPr>
          <w:kern w:val="20"/>
          <w:sz w:val="24"/>
        </w:rPr>
      </w:pPr>
      <w:r>
        <w:rPr>
          <w:sz w:val="24"/>
        </w:rPr>
        <w:t xml:space="preserve">    金源晨光在现有“年采矿生产能力为20万吨/年，650t/d选矿生产线（配套总库容261.3万m</w:t>
      </w:r>
      <w:r>
        <w:rPr>
          <w:sz w:val="24"/>
          <w:vertAlign w:val="superscript"/>
        </w:rPr>
        <w:t>3</w:t>
      </w:r>
      <w:r>
        <w:rPr>
          <w:sz w:val="24"/>
        </w:rPr>
        <w:t>，总坝高60m的尾矿库）”工程基础上，决定投资46446万元建设“灵宝金源晨光有色矿冶有限公司银家沟硫铁矿综合回收扩建工程项目”，</w:t>
      </w:r>
      <w:r>
        <w:rPr>
          <w:kern w:val="20"/>
          <w:sz w:val="24"/>
        </w:rPr>
        <w:t>扩建后采矿新增30万吨/年的竖井工程，选矿新增1000t/d选矿生产线，扩建后全厂采矿及选矿生产能力均可达到</w:t>
      </w:r>
      <w:r>
        <w:rPr>
          <w:sz w:val="24"/>
        </w:rPr>
        <w:t>50万吨/年</w:t>
      </w:r>
      <w:r>
        <w:rPr>
          <w:kern w:val="20"/>
          <w:sz w:val="24"/>
        </w:rPr>
        <w:t>；</w:t>
      </w:r>
      <w:r>
        <w:rPr>
          <w:sz w:val="24"/>
        </w:rPr>
        <w:t>2012年6月金源晨光委托山东省煤田地质规划勘察研究院完成了《灵宝金源晨光有色矿冶有限公司银家沟硫铁矿综合回收扩建工程项目环境影响报告书》，河南省环境保护厅并于2013年5月31日以[201</w:t>
      </w:r>
      <w:r>
        <w:rPr>
          <w:kern w:val="20"/>
          <w:sz w:val="24"/>
        </w:rPr>
        <w:t>3]250号对《灵宝金源晨光有色矿冶有限公司银家沟硫铁矿综合回收扩建工程项目环境影响报告书》进行了批复（见附件2-1）。</w:t>
      </w:r>
      <w:r>
        <w:rPr>
          <w:b/>
          <w:kern w:val="20"/>
          <w:sz w:val="24"/>
          <w:u w:val="single"/>
        </w:rPr>
        <w:t>在南竖井建设过程中，由于储量发生负变，且地质条件复杂</w:t>
      </w:r>
      <w:r>
        <w:rPr>
          <w:rFonts w:hint="eastAsia"/>
          <w:b/>
          <w:kern w:val="20"/>
          <w:sz w:val="24"/>
          <w:u w:val="single"/>
        </w:rPr>
        <w:t>，</w:t>
      </w:r>
      <w:r>
        <w:rPr>
          <w:b/>
          <w:kern w:val="20"/>
          <w:sz w:val="24"/>
          <w:u w:val="single"/>
        </w:rPr>
        <w:t>地下水富水丰富</w:t>
      </w:r>
      <w:r>
        <w:rPr>
          <w:rFonts w:hint="eastAsia"/>
          <w:b/>
          <w:kern w:val="20"/>
          <w:sz w:val="24"/>
          <w:u w:val="single"/>
        </w:rPr>
        <w:t>、</w:t>
      </w:r>
      <w:r>
        <w:rPr>
          <w:b/>
          <w:kern w:val="20"/>
          <w:sz w:val="24"/>
          <w:u w:val="single"/>
        </w:rPr>
        <w:t>静水压力大等多方面因素</w:t>
      </w:r>
      <w:r>
        <w:rPr>
          <w:rFonts w:hint="eastAsia"/>
          <w:b/>
          <w:kern w:val="20"/>
          <w:sz w:val="24"/>
          <w:u w:val="single"/>
        </w:rPr>
        <w:t>，</w:t>
      </w:r>
      <w:r>
        <w:rPr>
          <w:b/>
          <w:kern w:val="20"/>
          <w:sz w:val="24"/>
          <w:u w:val="single"/>
        </w:rPr>
        <w:t>导致原批复南竖井难以施工</w:t>
      </w:r>
      <w:r>
        <w:rPr>
          <w:rFonts w:hint="eastAsia"/>
          <w:b/>
          <w:kern w:val="20"/>
          <w:sz w:val="24"/>
          <w:u w:val="single"/>
        </w:rPr>
        <w:t>，</w:t>
      </w:r>
      <w:r>
        <w:rPr>
          <w:b/>
          <w:kern w:val="20"/>
          <w:sz w:val="24"/>
          <w:u w:val="single"/>
        </w:rPr>
        <w:t>且矿量不能满足30万吨/年建设规模，</w:t>
      </w:r>
      <w:r>
        <w:rPr>
          <w:rFonts w:hint="eastAsia"/>
          <w:b/>
          <w:kern w:val="20"/>
          <w:sz w:val="24"/>
          <w:u w:val="single"/>
        </w:rPr>
        <w:t>2014年12月1日金源晨光公司向灵宝金源控股有限公司提交“关于变更《灵宝金源晨光有色矿冶有限公司银家沟硫铁矿综合回收扩建工程》南竖井施工工程的请示”</w:t>
      </w:r>
      <w:r>
        <w:rPr>
          <w:b/>
          <w:kern w:val="20"/>
          <w:sz w:val="24"/>
          <w:u w:val="single"/>
        </w:rPr>
        <w:t>最终利用原20万吨/年硐采工程东斜井（原设计南竖井北侧100m）进行改造，更换了原斜井提升设备和运输轨道，新建了15万吨/年斜井工业场地。</w:t>
      </w:r>
      <w:r>
        <w:rPr>
          <w:kern w:val="20"/>
          <w:sz w:val="24"/>
        </w:rPr>
        <w:t>选厂在原批复选址实际建成规模为500t/d（15万吨/年），全厂实际建成采选能力为35万吨/年。项目建设期间，宁夏智诚</w:t>
      </w:r>
      <w:r>
        <w:rPr>
          <w:sz w:val="24"/>
        </w:rPr>
        <w:t>安环科技发展股份有限公司受灵宝金源晨光有色矿冶有限公司委托承担了银家沟硫铁矿综合回收扩建工程项目环境监理工作。目前该项目已经建设完成，处于试生产状态，生产状态良好。灵宝市市环境监测站于</w:t>
      </w:r>
      <w:r>
        <w:rPr>
          <w:rFonts w:hint="eastAsia"/>
          <w:sz w:val="24"/>
        </w:rPr>
        <w:t>2016年8月25日</w:t>
      </w:r>
      <w:r>
        <w:rPr>
          <w:rFonts w:hint="eastAsia" w:ascii="宋体" w:hAnsi="宋体"/>
          <w:sz w:val="24"/>
        </w:rPr>
        <w:t>～</w:t>
      </w:r>
      <w:r>
        <w:rPr>
          <w:rFonts w:hint="eastAsia"/>
          <w:sz w:val="24"/>
        </w:rPr>
        <w:t>2016年8月27日期间，在该项目生产负荷大于75%的工况下，对本项目进行了验收监测。</w:t>
      </w:r>
    </w:p>
    <w:p>
      <w:pPr>
        <w:pStyle w:val="46"/>
        <w:spacing w:before="0" w:beforeAutospacing="0" w:after="0" w:afterAutospacing="0" w:line="360" w:lineRule="auto"/>
        <w:ind w:left="76"/>
        <w:jc w:val="both"/>
        <w:rPr>
          <w:rFonts w:ascii="Times New Roman" w:hAnsi="Times New Roman" w:cs="Times New Roman"/>
          <w:b/>
          <w:kern w:val="20"/>
          <w:u w:val="single"/>
        </w:rPr>
      </w:pPr>
      <w:r>
        <w:rPr>
          <w:rFonts w:ascii="Times New Roman" w:hAnsi="Times New Roman" w:cs="Times New Roman"/>
          <w:kern w:val="20"/>
        </w:rPr>
        <w:t xml:space="preserve">  </w:t>
      </w:r>
      <w:r>
        <w:rPr>
          <w:rFonts w:ascii="Times New Roman" w:hAnsi="Times New Roman" w:cs="Times New Roman"/>
          <w:b/>
          <w:kern w:val="20"/>
        </w:rPr>
        <w:t xml:space="preserve">  </w:t>
      </w:r>
      <w:r>
        <w:rPr>
          <w:rFonts w:ascii="Times New Roman" w:hAnsi="Times New Roman" w:cs="Times New Roman"/>
          <w:b/>
          <w:kern w:val="20"/>
          <w:u w:val="single"/>
        </w:rPr>
        <w:t>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本项目建设现状与环评批复变动情况见表</w:t>
      </w:r>
      <w:r>
        <w:rPr>
          <w:rFonts w:hint="eastAsia" w:ascii="Times New Roman" w:hAnsi="Times New Roman" w:cs="Times New Roman"/>
          <w:b/>
          <w:kern w:val="20"/>
          <w:u w:val="single"/>
        </w:rPr>
        <w:t>1.1-1。</w:t>
      </w:r>
    </w:p>
    <w:p>
      <w:pPr>
        <w:pStyle w:val="46"/>
        <w:spacing w:before="0" w:beforeAutospacing="0" w:after="0" w:afterAutospacing="0" w:line="360" w:lineRule="auto"/>
        <w:ind w:left="76"/>
        <w:jc w:val="both"/>
        <w:rPr>
          <w:rFonts w:ascii="黑体" w:hAnsi="黑体" w:eastAsia="黑体" w:cs="Times New Roman"/>
          <w:b/>
          <w:kern w:val="20"/>
          <w:sz w:val="22"/>
          <w:szCs w:val="22"/>
          <w:u w:val="single"/>
        </w:rPr>
      </w:pPr>
      <w:r>
        <w:rPr>
          <w:rFonts w:hint="eastAsia" w:ascii="黑体" w:hAnsi="黑体" w:eastAsia="黑体" w:cs="Times New Roman"/>
          <w:b/>
          <w:kern w:val="20"/>
          <w:sz w:val="22"/>
          <w:szCs w:val="22"/>
          <w:u w:val="single"/>
        </w:rPr>
        <w:t xml:space="preserve">    表1.1-1           </w:t>
      </w:r>
      <w:r>
        <w:rPr>
          <w:rFonts w:ascii="黑体" w:hAnsi="黑体" w:eastAsia="黑体" w:cs="Times New Roman"/>
          <w:b/>
          <w:kern w:val="20"/>
          <w:sz w:val="22"/>
          <w:szCs w:val="22"/>
          <w:u w:val="single"/>
        </w:rPr>
        <w:t>本项目现状与环评批复变动情况</w:t>
      </w:r>
      <w:r>
        <w:rPr>
          <w:rFonts w:hint="eastAsia" w:ascii="黑体" w:hAnsi="黑体" w:eastAsia="黑体" w:cs="Times New Roman"/>
          <w:b/>
          <w:kern w:val="20"/>
          <w:sz w:val="22"/>
          <w:szCs w:val="22"/>
          <w:u w:val="single"/>
        </w:rPr>
        <w:t>一览</w:t>
      </w:r>
      <w:r>
        <w:rPr>
          <w:rFonts w:ascii="黑体" w:hAnsi="黑体" w:eastAsia="黑体" w:cs="Times New Roman"/>
          <w:b/>
          <w:kern w:val="20"/>
          <w:sz w:val="22"/>
          <w:szCs w:val="22"/>
          <w:u w:val="single"/>
        </w:rPr>
        <w:t>表</w:t>
      </w:r>
    </w:p>
    <w:tbl>
      <w:tblPr>
        <w:tblStyle w:val="55"/>
        <w:tblW w:w="8446"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09"/>
        <w:gridCol w:w="992"/>
        <w:gridCol w:w="3119"/>
        <w:gridCol w:w="1984"/>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99"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hint="eastAsia" w:cs="Times New Roman" w:asciiTheme="minorEastAsia" w:hAnsiTheme="minorEastAsia" w:eastAsiaTheme="minorEastAsia"/>
                <w:b/>
                <w:kern w:val="20"/>
                <w:sz w:val="20"/>
                <w:szCs w:val="20"/>
                <w:u w:val="single"/>
              </w:rPr>
              <w:t>序号</w:t>
            </w:r>
          </w:p>
        </w:tc>
        <w:tc>
          <w:tcPr>
            <w:tcW w:w="709"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hint="eastAsia" w:cs="Times New Roman" w:asciiTheme="minorEastAsia" w:hAnsiTheme="minorEastAsia" w:eastAsiaTheme="minorEastAsia"/>
                <w:b/>
                <w:kern w:val="20"/>
                <w:sz w:val="20"/>
                <w:szCs w:val="20"/>
                <w:u w:val="single"/>
              </w:rPr>
              <w:t>项目</w:t>
            </w:r>
          </w:p>
        </w:tc>
        <w:tc>
          <w:tcPr>
            <w:tcW w:w="992"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变动</w:t>
            </w:r>
          </w:p>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情况</w:t>
            </w:r>
          </w:p>
        </w:tc>
        <w:tc>
          <w:tcPr>
            <w:tcW w:w="3119"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变动说明</w:t>
            </w:r>
          </w:p>
        </w:tc>
        <w:tc>
          <w:tcPr>
            <w:tcW w:w="1984"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环境影响变化情况</w:t>
            </w:r>
          </w:p>
        </w:tc>
        <w:tc>
          <w:tcPr>
            <w:tcW w:w="1043"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是否为重大变动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9"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hint="eastAsia" w:cs="Times New Roman" w:asciiTheme="minorEastAsia" w:hAnsiTheme="minorEastAsia" w:eastAsiaTheme="minorEastAsia"/>
                <w:b/>
                <w:kern w:val="20"/>
                <w:sz w:val="20"/>
                <w:szCs w:val="20"/>
                <w:u w:val="single"/>
              </w:rPr>
              <w:t>1</w:t>
            </w:r>
          </w:p>
        </w:tc>
        <w:tc>
          <w:tcPr>
            <w:tcW w:w="709"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选址</w:t>
            </w:r>
          </w:p>
        </w:tc>
        <w:tc>
          <w:tcPr>
            <w:tcW w:w="992"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批复竖井和工业场地位置变化</w:t>
            </w:r>
          </w:p>
        </w:tc>
        <w:tc>
          <w:tcPr>
            <w:tcW w:w="3119" w:type="dxa"/>
            <w:vAlign w:val="center"/>
          </w:tcPr>
          <w:p>
            <w:pPr>
              <w:pStyle w:val="46"/>
              <w:adjustRightInd w:val="0"/>
              <w:snapToGrid w:val="0"/>
              <w:spacing w:before="0" w:beforeAutospacing="0" w:after="0" w:afterAutospacing="0"/>
              <w:jc w:val="both"/>
              <w:rPr>
                <w:rFonts w:cs="Times New Roman" w:asciiTheme="minorEastAsia" w:hAnsiTheme="minorEastAsia" w:eastAsiaTheme="minorEastAsia"/>
                <w:b/>
                <w:kern w:val="20"/>
                <w:sz w:val="20"/>
                <w:szCs w:val="20"/>
                <w:u w:val="single"/>
              </w:rPr>
            </w:pPr>
            <w:r>
              <w:rPr>
                <w:b/>
                <w:kern w:val="20"/>
                <w:sz w:val="20"/>
                <w:szCs w:val="20"/>
                <w:u w:val="single"/>
              </w:rPr>
              <w:t>在南竖井建设过程中，由于储量发生负变，且地质条件复杂</w:t>
            </w:r>
            <w:r>
              <w:rPr>
                <w:rFonts w:hint="eastAsia"/>
                <w:b/>
                <w:kern w:val="20"/>
                <w:sz w:val="20"/>
                <w:szCs w:val="20"/>
                <w:u w:val="single"/>
              </w:rPr>
              <w:t>，</w:t>
            </w:r>
            <w:r>
              <w:rPr>
                <w:b/>
                <w:kern w:val="20"/>
                <w:sz w:val="20"/>
                <w:szCs w:val="20"/>
                <w:u w:val="single"/>
              </w:rPr>
              <w:t>地下水富水丰富</w:t>
            </w:r>
            <w:r>
              <w:rPr>
                <w:rFonts w:hint="eastAsia"/>
                <w:b/>
                <w:kern w:val="20"/>
                <w:sz w:val="20"/>
                <w:szCs w:val="20"/>
                <w:u w:val="single"/>
              </w:rPr>
              <w:t>、</w:t>
            </w:r>
            <w:r>
              <w:rPr>
                <w:b/>
                <w:kern w:val="20"/>
                <w:sz w:val="20"/>
                <w:szCs w:val="20"/>
                <w:u w:val="single"/>
              </w:rPr>
              <w:t>静水压力大等多方面因素</w:t>
            </w:r>
            <w:r>
              <w:rPr>
                <w:rFonts w:hint="eastAsia"/>
                <w:b/>
                <w:kern w:val="20"/>
                <w:sz w:val="20"/>
                <w:szCs w:val="20"/>
                <w:u w:val="single"/>
              </w:rPr>
              <w:t>，</w:t>
            </w:r>
            <w:r>
              <w:rPr>
                <w:b/>
                <w:kern w:val="20"/>
                <w:sz w:val="20"/>
                <w:szCs w:val="20"/>
                <w:u w:val="single"/>
              </w:rPr>
              <w:t>导致原批复南竖井难以施工</w:t>
            </w:r>
            <w:r>
              <w:rPr>
                <w:rFonts w:hint="eastAsia"/>
                <w:b/>
                <w:kern w:val="20"/>
                <w:sz w:val="20"/>
                <w:szCs w:val="20"/>
                <w:u w:val="single"/>
              </w:rPr>
              <w:t>，</w:t>
            </w:r>
            <w:r>
              <w:rPr>
                <w:b/>
                <w:kern w:val="20"/>
                <w:sz w:val="20"/>
                <w:szCs w:val="20"/>
                <w:u w:val="single"/>
              </w:rPr>
              <w:t>最终利用原20万吨/年硐采工程东斜井（原设计南竖井北侧100m）进行改造，更换了原斜井提升设备和运输轨道，新建了15万吨/年斜井工业场地。</w:t>
            </w:r>
          </w:p>
        </w:tc>
        <w:tc>
          <w:tcPr>
            <w:tcW w:w="1984"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虽为按照原方案建设</w:t>
            </w:r>
            <w:r>
              <w:rPr>
                <w:rFonts w:hint="eastAsia" w:cs="Times New Roman" w:asciiTheme="minorEastAsia" w:hAnsiTheme="minorEastAsia" w:eastAsiaTheme="minorEastAsia"/>
                <w:b/>
                <w:kern w:val="20"/>
                <w:sz w:val="20"/>
                <w:szCs w:val="20"/>
                <w:u w:val="single"/>
              </w:rPr>
              <w:t>，</w:t>
            </w:r>
            <w:r>
              <w:rPr>
                <w:rFonts w:cs="Times New Roman" w:asciiTheme="minorEastAsia" w:hAnsiTheme="minorEastAsia" w:eastAsiaTheme="minorEastAsia"/>
                <w:b/>
                <w:kern w:val="20"/>
                <w:sz w:val="20"/>
                <w:szCs w:val="20"/>
                <w:u w:val="single"/>
              </w:rPr>
              <w:t>利用现有斜井改造</w:t>
            </w:r>
            <w:r>
              <w:rPr>
                <w:rFonts w:hint="eastAsia" w:cs="Times New Roman" w:asciiTheme="minorEastAsia" w:hAnsiTheme="minorEastAsia" w:eastAsiaTheme="minorEastAsia"/>
                <w:b/>
                <w:kern w:val="20"/>
                <w:sz w:val="20"/>
                <w:szCs w:val="20"/>
                <w:u w:val="single"/>
              </w:rPr>
              <w:t>，该变化未</w:t>
            </w:r>
            <w:r>
              <w:rPr>
                <w:rFonts w:cs="Times New Roman" w:asciiTheme="minorEastAsia" w:hAnsiTheme="minorEastAsia" w:eastAsiaTheme="minorEastAsia"/>
                <w:b/>
                <w:kern w:val="20"/>
                <w:sz w:val="20"/>
                <w:szCs w:val="20"/>
                <w:u w:val="single"/>
              </w:rPr>
              <w:t>显著加重环境不利影响</w:t>
            </w:r>
          </w:p>
        </w:tc>
        <w:tc>
          <w:tcPr>
            <w:tcW w:w="1043"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9"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hint="eastAsia" w:cs="Times New Roman" w:asciiTheme="minorEastAsia" w:hAnsiTheme="minorEastAsia" w:eastAsiaTheme="minorEastAsia"/>
                <w:b/>
                <w:kern w:val="20"/>
                <w:sz w:val="20"/>
                <w:szCs w:val="20"/>
                <w:u w:val="single"/>
              </w:rPr>
              <w:t>2</w:t>
            </w:r>
          </w:p>
        </w:tc>
        <w:tc>
          <w:tcPr>
            <w:tcW w:w="709"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规模</w:t>
            </w:r>
          </w:p>
        </w:tc>
        <w:tc>
          <w:tcPr>
            <w:tcW w:w="992"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采矿和选矿规模减半</w:t>
            </w:r>
          </w:p>
        </w:tc>
        <w:tc>
          <w:tcPr>
            <w:tcW w:w="3119" w:type="dxa"/>
            <w:vAlign w:val="center"/>
          </w:tcPr>
          <w:p>
            <w:pPr>
              <w:pStyle w:val="46"/>
              <w:adjustRightInd w:val="0"/>
              <w:snapToGrid w:val="0"/>
              <w:spacing w:before="0" w:beforeAutospacing="0" w:after="0" w:afterAutospacing="0"/>
              <w:jc w:val="both"/>
              <w:rPr>
                <w:rFonts w:cs="Times New Roman" w:asciiTheme="minorEastAsia" w:hAnsiTheme="minorEastAsia" w:eastAsiaTheme="minorEastAsia"/>
                <w:b/>
                <w:kern w:val="20"/>
                <w:sz w:val="20"/>
                <w:szCs w:val="20"/>
                <w:u w:val="single"/>
              </w:rPr>
            </w:pPr>
            <w:r>
              <w:rPr>
                <w:b/>
                <w:kern w:val="20"/>
                <w:sz w:val="20"/>
                <w:szCs w:val="20"/>
                <w:u w:val="single"/>
              </w:rPr>
              <w:t>在南竖井建设过程中，由于储量发生负变，矿量不能满足30万吨/年规模建设，最终</w:t>
            </w:r>
            <w:r>
              <w:rPr>
                <w:rFonts w:hint="eastAsia"/>
                <w:b/>
                <w:kern w:val="20"/>
                <w:sz w:val="20"/>
                <w:szCs w:val="20"/>
                <w:u w:val="single"/>
              </w:rPr>
              <w:t>建成规模为15万吨/年。</w:t>
            </w:r>
          </w:p>
        </w:tc>
        <w:tc>
          <w:tcPr>
            <w:tcW w:w="1984"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因建设规模减半</w:t>
            </w:r>
            <w:r>
              <w:rPr>
                <w:rFonts w:hint="eastAsia" w:cs="Times New Roman" w:asciiTheme="minorEastAsia" w:hAnsiTheme="minorEastAsia" w:eastAsiaTheme="minorEastAsia"/>
                <w:b/>
                <w:kern w:val="20"/>
                <w:sz w:val="20"/>
                <w:szCs w:val="20"/>
                <w:u w:val="single"/>
              </w:rPr>
              <w:t>，污染物排放量大幅度减少，</w:t>
            </w:r>
            <w:r>
              <w:rPr>
                <w:rFonts w:cs="Times New Roman" w:asciiTheme="minorEastAsia" w:hAnsiTheme="minorEastAsia" w:eastAsiaTheme="minorEastAsia"/>
                <w:b/>
                <w:kern w:val="20"/>
                <w:sz w:val="20"/>
                <w:szCs w:val="20"/>
                <w:u w:val="single"/>
              </w:rPr>
              <w:t>环境不利影响变小</w:t>
            </w:r>
          </w:p>
        </w:tc>
        <w:tc>
          <w:tcPr>
            <w:tcW w:w="1043"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9"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hint="eastAsia" w:cs="Times New Roman" w:asciiTheme="minorEastAsia" w:hAnsiTheme="minorEastAsia" w:eastAsiaTheme="minorEastAsia"/>
                <w:b/>
                <w:kern w:val="20"/>
                <w:sz w:val="20"/>
                <w:szCs w:val="20"/>
                <w:u w:val="single"/>
              </w:rPr>
              <w:t>3</w:t>
            </w:r>
          </w:p>
        </w:tc>
        <w:tc>
          <w:tcPr>
            <w:tcW w:w="709"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工艺</w:t>
            </w:r>
            <w:r>
              <w:rPr>
                <w:rFonts w:hint="eastAsia" w:cs="Times New Roman" w:asciiTheme="minorEastAsia" w:hAnsiTheme="minorEastAsia" w:eastAsiaTheme="minorEastAsia"/>
                <w:b/>
                <w:kern w:val="20"/>
                <w:sz w:val="20"/>
                <w:szCs w:val="20"/>
                <w:u w:val="single"/>
              </w:rPr>
              <w:t>、</w:t>
            </w:r>
            <w:r>
              <w:rPr>
                <w:rFonts w:cs="Times New Roman" w:asciiTheme="minorEastAsia" w:hAnsiTheme="minorEastAsia" w:eastAsiaTheme="minorEastAsia"/>
                <w:b/>
                <w:kern w:val="20"/>
                <w:sz w:val="20"/>
                <w:szCs w:val="20"/>
                <w:u w:val="single"/>
              </w:rPr>
              <w:t>产品</w:t>
            </w:r>
          </w:p>
        </w:tc>
        <w:tc>
          <w:tcPr>
            <w:tcW w:w="992"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增加磁选铁工序</w:t>
            </w:r>
          </w:p>
        </w:tc>
        <w:tc>
          <w:tcPr>
            <w:tcW w:w="3119" w:type="dxa"/>
            <w:vAlign w:val="center"/>
          </w:tcPr>
          <w:p>
            <w:pPr>
              <w:pStyle w:val="46"/>
              <w:adjustRightInd w:val="0"/>
              <w:snapToGrid w:val="0"/>
              <w:spacing w:before="0" w:beforeAutospacing="0" w:after="0" w:afterAutospacing="0"/>
              <w:jc w:val="both"/>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因实际开采过程中矿石中磁铁矿具有提取价值</w:t>
            </w:r>
            <w:r>
              <w:rPr>
                <w:rFonts w:hint="eastAsia" w:cs="Times New Roman" w:asciiTheme="minorEastAsia" w:hAnsiTheme="minorEastAsia" w:eastAsiaTheme="minorEastAsia"/>
                <w:b/>
                <w:kern w:val="20"/>
                <w:sz w:val="20"/>
                <w:szCs w:val="20"/>
                <w:u w:val="single"/>
              </w:rPr>
              <w:t>，因此时间建设中</w:t>
            </w:r>
            <w:r>
              <w:rPr>
                <w:rFonts w:cs="Times New Roman" w:asciiTheme="minorEastAsia" w:hAnsiTheme="minorEastAsia" w:eastAsiaTheme="minorEastAsia"/>
                <w:b/>
                <w:kern w:val="20"/>
                <w:sz w:val="20"/>
                <w:szCs w:val="20"/>
                <w:u w:val="single"/>
              </w:rPr>
              <w:t>增加磁选铁工序</w:t>
            </w:r>
            <w:r>
              <w:rPr>
                <w:rFonts w:hint="eastAsia" w:cs="Times New Roman" w:asciiTheme="minorEastAsia" w:hAnsiTheme="minorEastAsia" w:eastAsiaTheme="minorEastAsia"/>
                <w:b/>
                <w:kern w:val="20"/>
                <w:sz w:val="20"/>
                <w:szCs w:val="20"/>
                <w:u w:val="single"/>
              </w:rPr>
              <w:t>，</w:t>
            </w:r>
            <w:r>
              <w:rPr>
                <w:rFonts w:cs="Times New Roman" w:asciiTheme="minorEastAsia" w:hAnsiTheme="minorEastAsia" w:eastAsiaTheme="minorEastAsia"/>
                <w:b/>
                <w:kern w:val="20"/>
                <w:sz w:val="20"/>
                <w:szCs w:val="20"/>
                <w:u w:val="single"/>
              </w:rPr>
              <w:t>增加副产品铁精矿</w:t>
            </w:r>
          </w:p>
        </w:tc>
        <w:tc>
          <w:tcPr>
            <w:tcW w:w="1984" w:type="dxa"/>
            <w:vAlign w:val="center"/>
          </w:tcPr>
          <w:p>
            <w:pPr>
              <w:pStyle w:val="46"/>
              <w:adjustRightInd w:val="0"/>
              <w:snapToGrid w:val="0"/>
              <w:spacing w:before="0" w:beforeAutospacing="0" w:after="0" w:afterAutospacing="0"/>
              <w:jc w:val="both"/>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磁选铁工序为物理选矿方法</w:t>
            </w:r>
            <w:r>
              <w:rPr>
                <w:rFonts w:hint="eastAsia" w:cs="Times New Roman" w:asciiTheme="minorEastAsia" w:hAnsiTheme="minorEastAsia" w:eastAsiaTheme="minorEastAsia"/>
                <w:b/>
                <w:kern w:val="20"/>
                <w:sz w:val="20"/>
                <w:szCs w:val="20"/>
                <w:u w:val="single"/>
              </w:rPr>
              <w:t>，</w:t>
            </w:r>
            <w:r>
              <w:rPr>
                <w:rFonts w:cs="Times New Roman" w:asciiTheme="minorEastAsia" w:hAnsiTheme="minorEastAsia" w:eastAsiaTheme="minorEastAsia"/>
                <w:b/>
                <w:kern w:val="20"/>
                <w:sz w:val="20"/>
                <w:szCs w:val="20"/>
                <w:u w:val="single"/>
              </w:rPr>
              <w:t>不投加选矿药剂</w:t>
            </w:r>
            <w:r>
              <w:rPr>
                <w:rFonts w:hint="eastAsia" w:cs="Times New Roman" w:asciiTheme="minorEastAsia" w:hAnsiTheme="minorEastAsia" w:eastAsiaTheme="minorEastAsia"/>
                <w:b/>
                <w:kern w:val="20"/>
                <w:sz w:val="20"/>
                <w:szCs w:val="20"/>
                <w:u w:val="single"/>
              </w:rPr>
              <w:t>，可</w:t>
            </w:r>
            <w:r>
              <w:rPr>
                <w:rFonts w:cs="Times New Roman" w:asciiTheme="minorEastAsia" w:hAnsiTheme="minorEastAsia" w:eastAsiaTheme="minorEastAsia"/>
                <w:b/>
                <w:kern w:val="20"/>
                <w:sz w:val="20"/>
                <w:szCs w:val="20"/>
                <w:u w:val="single"/>
              </w:rPr>
              <w:t>减少尾矿排放量</w:t>
            </w:r>
            <w:r>
              <w:rPr>
                <w:rFonts w:hint="eastAsia" w:cs="Times New Roman" w:asciiTheme="minorEastAsia" w:hAnsiTheme="minorEastAsia" w:eastAsiaTheme="minorEastAsia"/>
                <w:b/>
                <w:kern w:val="20"/>
                <w:sz w:val="20"/>
                <w:szCs w:val="20"/>
                <w:u w:val="single"/>
              </w:rPr>
              <w:t>，</w:t>
            </w:r>
            <w:r>
              <w:rPr>
                <w:rFonts w:cs="Times New Roman" w:asciiTheme="minorEastAsia" w:hAnsiTheme="minorEastAsia" w:eastAsiaTheme="minorEastAsia"/>
                <w:b/>
                <w:kern w:val="20"/>
                <w:sz w:val="20"/>
                <w:szCs w:val="20"/>
                <w:u w:val="single"/>
              </w:rPr>
              <w:t>且本项目规模变小</w:t>
            </w:r>
            <w:r>
              <w:rPr>
                <w:rFonts w:hint="eastAsia" w:cs="Times New Roman" w:asciiTheme="minorEastAsia" w:hAnsiTheme="minorEastAsia" w:eastAsiaTheme="minorEastAsia"/>
                <w:b/>
                <w:kern w:val="20"/>
                <w:sz w:val="20"/>
                <w:szCs w:val="20"/>
                <w:u w:val="single"/>
              </w:rPr>
              <w:t>，</w:t>
            </w:r>
            <w:r>
              <w:rPr>
                <w:rFonts w:cs="Times New Roman" w:asciiTheme="minorEastAsia" w:hAnsiTheme="minorEastAsia" w:eastAsiaTheme="minorEastAsia"/>
                <w:b/>
                <w:kern w:val="20"/>
                <w:sz w:val="20"/>
                <w:szCs w:val="20"/>
                <w:u w:val="single"/>
              </w:rPr>
              <w:t>选矿废水回用不外排</w:t>
            </w:r>
            <w:r>
              <w:rPr>
                <w:rFonts w:hint="eastAsia" w:cs="Times New Roman" w:asciiTheme="minorEastAsia" w:hAnsiTheme="minorEastAsia" w:eastAsiaTheme="minorEastAsia"/>
                <w:b/>
                <w:kern w:val="20"/>
                <w:sz w:val="20"/>
                <w:szCs w:val="20"/>
                <w:u w:val="single"/>
              </w:rPr>
              <w:t>，</w:t>
            </w:r>
            <w:r>
              <w:rPr>
                <w:rFonts w:cs="Times New Roman" w:asciiTheme="minorEastAsia" w:hAnsiTheme="minorEastAsia" w:eastAsiaTheme="minorEastAsia"/>
                <w:b/>
                <w:kern w:val="20"/>
                <w:sz w:val="20"/>
                <w:szCs w:val="20"/>
                <w:u w:val="single"/>
              </w:rPr>
              <w:t>综合考虑增加该工序未显著加重环境不利影响</w:t>
            </w:r>
          </w:p>
        </w:tc>
        <w:tc>
          <w:tcPr>
            <w:tcW w:w="1043" w:type="dxa"/>
            <w:vAlign w:val="center"/>
          </w:tcPr>
          <w:p>
            <w:pPr>
              <w:pStyle w:val="46"/>
              <w:adjustRightInd w:val="0"/>
              <w:snapToGrid w:val="0"/>
              <w:spacing w:before="0" w:beforeAutospacing="0" w:after="0" w:afterAutospacing="0"/>
              <w:jc w:val="center"/>
              <w:rPr>
                <w:rFonts w:cs="Times New Roman" w:asciiTheme="minorEastAsia" w:hAnsiTheme="minorEastAsia" w:eastAsiaTheme="minorEastAsia"/>
                <w:b/>
                <w:kern w:val="20"/>
                <w:sz w:val="20"/>
                <w:szCs w:val="20"/>
                <w:u w:val="single"/>
              </w:rPr>
            </w:pPr>
            <w:r>
              <w:rPr>
                <w:rFonts w:cs="Times New Roman" w:asciiTheme="minorEastAsia" w:hAnsiTheme="minorEastAsia" w:eastAsiaTheme="minorEastAsia"/>
                <w:b/>
                <w:kern w:val="20"/>
                <w:sz w:val="20"/>
                <w:szCs w:val="20"/>
                <w:u w:val="single"/>
              </w:rPr>
              <w:t>否</w:t>
            </w:r>
          </w:p>
        </w:tc>
      </w:tr>
    </w:tbl>
    <w:p>
      <w:pPr>
        <w:pStyle w:val="46"/>
        <w:spacing w:before="0" w:beforeAutospacing="0" w:after="0" w:afterAutospacing="0" w:line="360" w:lineRule="auto"/>
        <w:ind w:left="76"/>
        <w:jc w:val="both"/>
        <w:rPr>
          <w:rFonts w:ascii="Times New Roman" w:hAnsi="Times New Roman" w:cs="Times New Roman"/>
          <w:b/>
          <w:kern w:val="20"/>
          <w:u w:val="single"/>
        </w:rPr>
      </w:pPr>
      <w:r>
        <w:rPr>
          <w:rFonts w:hint="eastAsia" w:ascii="Times New Roman" w:hAnsi="Times New Roman" w:cs="Times New Roman"/>
          <w:kern w:val="20"/>
        </w:rPr>
        <w:t xml:space="preserve"> </w:t>
      </w:r>
      <w:r>
        <w:rPr>
          <w:rFonts w:hint="eastAsia" w:ascii="Times New Roman" w:hAnsi="Times New Roman" w:cs="Times New Roman"/>
          <w:b/>
          <w:kern w:val="20"/>
          <w:u w:val="single"/>
        </w:rPr>
        <w:t xml:space="preserve">  </w:t>
      </w:r>
      <w:r>
        <w:rPr>
          <w:rFonts w:ascii="Times New Roman" w:hAnsi="Times New Roman" w:cs="Times New Roman"/>
          <w:b/>
          <w:kern w:val="20"/>
          <w:u w:val="single"/>
        </w:rPr>
        <w:t xml:space="preserve"> 综上所述</w:t>
      </w:r>
      <w:r>
        <w:rPr>
          <w:rFonts w:hint="eastAsia" w:ascii="Times New Roman" w:hAnsi="Times New Roman" w:cs="Times New Roman"/>
          <w:b/>
          <w:kern w:val="20"/>
          <w:u w:val="single"/>
        </w:rPr>
        <w:t>，</w:t>
      </w:r>
      <w:r>
        <w:rPr>
          <w:rFonts w:ascii="Times New Roman" w:hAnsi="Times New Roman" w:cs="Times New Roman"/>
          <w:b/>
          <w:kern w:val="20"/>
          <w:u w:val="single"/>
        </w:rPr>
        <w:t>本项目井硐位置发生轻微变化，选矿和采矿生产规模缩减，增加磁选铁工艺、副产品增加铁精粉；总体来说</w:t>
      </w:r>
      <w:r>
        <w:rPr>
          <w:rFonts w:hint="eastAsia" w:ascii="Times New Roman" w:hAnsi="Times New Roman" w:cs="Times New Roman"/>
          <w:b/>
          <w:kern w:val="20"/>
          <w:u w:val="single"/>
        </w:rPr>
        <w:t>，</w:t>
      </w:r>
      <w:r>
        <w:rPr>
          <w:rFonts w:ascii="Times New Roman" w:hAnsi="Times New Roman" w:cs="Times New Roman"/>
          <w:b/>
          <w:kern w:val="20"/>
          <w:u w:val="single"/>
        </w:rPr>
        <w:t>因项目建设规模减半</w:t>
      </w:r>
      <w:r>
        <w:rPr>
          <w:rFonts w:hint="eastAsia" w:ascii="Times New Roman" w:hAnsi="Times New Roman" w:cs="Times New Roman"/>
          <w:b/>
          <w:kern w:val="20"/>
          <w:u w:val="single"/>
        </w:rPr>
        <w:t>，</w:t>
      </w:r>
      <w:r>
        <w:rPr>
          <w:rFonts w:ascii="Times New Roman" w:hAnsi="Times New Roman" w:cs="Times New Roman"/>
          <w:b/>
          <w:kern w:val="20"/>
          <w:u w:val="single"/>
        </w:rPr>
        <w:t>环境影响较原设计方案相应减轻，因此不属于重大变动，纳入本次验收一并处理。</w:t>
      </w:r>
    </w:p>
    <w:p>
      <w:pPr>
        <w:spacing w:line="520" w:lineRule="exact"/>
        <w:ind w:firstLine="480" w:firstLineChars="200"/>
        <w:rPr>
          <w:rFonts w:eastAsia="汉鼎简书宋"/>
          <w:sz w:val="24"/>
          <w:szCs w:val="22"/>
        </w:rPr>
      </w:pPr>
      <w:r>
        <w:rPr>
          <w:sz w:val="24"/>
        </w:rPr>
        <w:t xml:space="preserve"> </w:t>
      </w:r>
      <w:r>
        <w:rPr>
          <w:rFonts w:eastAsia="汉鼎简书宋"/>
          <w:sz w:val="24"/>
          <w:szCs w:val="22"/>
        </w:rPr>
        <w:t>受灵宝金源晨光有色矿冶有限公司的委托（附件1），我单位根据该项目情况和当地环境实际，确定验收工作的深度。在收集、分析工程有关的文件和资料、了解工程概况和项目建设区域</w:t>
      </w:r>
      <w:r>
        <w:rPr>
          <w:rFonts w:eastAsia="汉鼎简书宋"/>
          <w:sz w:val="24"/>
        </w:rPr>
        <w:t>的基本生态特征的基础上，结合实测数据，对该工程的环保设施建设情况、生态恢复情况、水土保持措施的建设情况以及环境敏感目标受影响情况</w:t>
      </w:r>
      <w:r>
        <w:rPr>
          <w:rFonts w:eastAsia="汉鼎简书宋"/>
          <w:sz w:val="24"/>
          <w:szCs w:val="22"/>
        </w:rPr>
        <w:t>进行调查分析，编写完成了《灵宝金源晨光有色矿冶有限公司银家沟硫铁矿综合回收扩建工程项目竣工环境保护验收调查报告》（送审稿）。201</w:t>
      </w:r>
      <w:r>
        <w:rPr>
          <w:rFonts w:hint="eastAsia" w:eastAsia="汉鼎简书宋"/>
          <w:sz w:val="24"/>
          <w:szCs w:val="22"/>
          <w:lang w:val="en-US" w:eastAsia="zh-CN"/>
        </w:rPr>
        <w:t>7</w:t>
      </w:r>
      <w:r>
        <w:rPr>
          <w:rFonts w:eastAsia="汉鼎简书宋"/>
          <w:sz w:val="24"/>
          <w:szCs w:val="22"/>
        </w:rPr>
        <w:t>年</w:t>
      </w:r>
      <w:r>
        <w:rPr>
          <w:rFonts w:hint="eastAsia" w:eastAsia="汉鼎简书宋"/>
          <w:sz w:val="24"/>
          <w:szCs w:val="22"/>
          <w:lang w:val="en-US" w:eastAsia="zh-CN"/>
        </w:rPr>
        <w:t>8</w:t>
      </w:r>
      <w:r>
        <w:rPr>
          <w:rFonts w:eastAsia="汉鼎简书宋"/>
          <w:sz w:val="24"/>
          <w:szCs w:val="22"/>
        </w:rPr>
        <w:t>月</w:t>
      </w:r>
      <w:r>
        <w:rPr>
          <w:rFonts w:hint="eastAsia" w:eastAsia="汉鼎简书宋"/>
          <w:sz w:val="24"/>
          <w:szCs w:val="22"/>
          <w:lang w:val="en-US" w:eastAsia="zh-CN"/>
        </w:rPr>
        <w:t>25</w:t>
      </w:r>
      <w:r>
        <w:rPr>
          <w:rFonts w:eastAsia="汉鼎简书宋"/>
          <w:sz w:val="24"/>
          <w:szCs w:val="22"/>
        </w:rPr>
        <w:t>日，三门峡市环境保护局会同灵宝市环境保护局对“灵宝金源晨光有色矿冶有限公司银家沟硫铁矿综合回收扩建工程项目”进行了竣工环境保护现场验收，根据验收组意见，我公司对验收调查报告进行了认真细致的修改，现呈上，请予以审批。</w:t>
      </w:r>
    </w:p>
    <w:p>
      <w:pPr>
        <w:pStyle w:val="177"/>
        <w:ind w:firstLine="482"/>
        <w:rPr>
          <w:rFonts w:ascii="Times New Roman" w:hAnsi="Times New Roman" w:eastAsia="宋体" w:cs="Times New Roman"/>
          <w:b/>
          <w:u w:val="single"/>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pStyle w:val="79"/>
        <w:spacing w:after="312"/>
      </w:pPr>
      <w:bookmarkStart w:id="25" w:name="_Toc173147921"/>
      <w:bookmarkStart w:id="26" w:name="_Toc173284070"/>
      <w:r>
        <w:rPr>
          <w:sz w:val="24"/>
        </w:rPr>
        <w:br w:type="page"/>
      </w:r>
      <w:bookmarkStart w:id="27" w:name="_Toc488578891"/>
      <w:bookmarkStart w:id="28" w:name="_Toc470358596"/>
      <w:bookmarkStart w:id="29" w:name="_Toc407217290"/>
      <w:bookmarkStart w:id="30" w:name="_Toc406504138"/>
      <w:bookmarkStart w:id="31" w:name="_Toc407153424"/>
      <w:bookmarkStart w:id="32" w:name="_Toc370112102"/>
      <w:bookmarkStart w:id="33" w:name="_Toc420663611"/>
      <w:r>
        <w:t>第一章  总论</w:t>
      </w:r>
      <w:bookmarkEnd w:id="25"/>
      <w:bookmarkEnd w:id="26"/>
      <w:bookmarkEnd w:id="27"/>
      <w:bookmarkEnd w:id="28"/>
      <w:bookmarkEnd w:id="29"/>
      <w:bookmarkEnd w:id="30"/>
      <w:bookmarkEnd w:id="31"/>
      <w:bookmarkEnd w:id="32"/>
      <w:bookmarkEnd w:id="33"/>
    </w:p>
    <w:p>
      <w:pPr>
        <w:pStyle w:val="3"/>
        <w:rPr>
          <w:rFonts w:ascii="Times New Roman" w:hAnsi="Times New Roman"/>
        </w:rPr>
      </w:pPr>
      <w:bookmarkStart w:id="34" w:name="_Toc488578892"/>
      <w:bookmarkStart w:id="35" w:name="_Toc470358597"/>
      <w:bookmarkStart w:id="36" w:name="_Toc173284071"/>
      <w:bookmarkStart w:id="37" w:name="_Toc407153425"/>
      <w:bookmarkStart w:id="38" w:name="_Toc406504139"/>
      <w:bookmarkStart w:id="39" w:name="_Toc407217291"/>
      <w:bookmarkStart w:id="40" w:name="_Toc370112103"/>
      <w:bookmarkStart w:id="41" w:name="_Toc420663612"/>
      <w:bookmarkStart w:id="42" w:name="_Toc173147922"/>
      <w:r>
        <w:rPr>
          <w:rFonts w:ascii="Times New Roman" w:hAnsi="Times New Roman"/>
        </w:rPr>
        <w:t>1.1 编制依据</w:t>
      </w:r>
      <w:bookmarkEnd w:id="34"/>
      <w:bookmarkEnd w:id="35"/>
      <w:bookmarkEnd w:id="36"/>
      <w:bookmarkEnd w:id="37"/>
      <w:bookmarkEnd w:id="38"/>
      <w:bookmarkEnd w:id="39"/>
      <w:bookmarkEnd w:id="40"/>
      <w:bookmarkEnd w:id="41"/>
      <w:bookmarkEnd w:id="42"/>
    </w:p>
    <w:p>
      <w:pPr>
        <w:pStyle w:val="10"/>
        <w:rPr>
          <w:rFonts w:ascii="Times New Roman" w:hAnsi="Times New Roman"/>
        </w:rPr>
      </w:pPr>
      <w:bookmarkStart w:id="43" w:name="_Toc420663613"/>
      <w:bookmarkStart w:id="44" w:name="_Toc407153426"/>
      <w:bookmarkStart w:id="45" w:name="_Toc407217292"/>
      <w:bookmarkStart w:id="46" w:name="_Toc406504140"/>
      <w:r>
        <w:rPr>
          <w:rFonts w:ascii="Times New Roman" w:hAnsi="Times New Roman"/>
        </w:rPr>
        <w:t>1.1.1 法律法规</w:t>
      </w:r>
      <w:bookmarkEnd w:id="43"/>
      <w:bookmarkEnd w:id="44"/>
      <w:bookmarkEnd w:id="45"/>
      <w:bookmarkEnd w:id="46"/>
    </w:p>
    <w:p>
      <w:pPr>
        <w:spacing w:line="500" w:lineRule="exact"/>
        <w:ind w:firstLine="488" w:firstLineChars="200"/>
        <w:rPr>
          <w:spacing w:val="2"/>
          <w:sz w:val="24"/>
        </w:rPr>
      </w:pPr>
      <w:r>
        <w:rPr>
          <w:spacing w:val="2"/>
          <w:sz w:val="24"/>
        </w:rPr>
        <w:t>（</w:t>
      </w:r>
      <w:r>
        <w:rPr>
          <w:rFonts w:hint="eastAsia"/>
          <w:spacing w:val="2"/>
          <w:sz w:val="24"/>
        </w:rPr>
        <w:t>1</w:t>
      </w:r>
      <w:r>
        <w:rPr>
          <w:spacing w:val="2"/>
          <w:sz w:val="24"/>
        </w:rPr>
        <w:t>）《中华人民共和国环境保护法》</w:t>
      </w:r>
      <w:r>
        <w:rPr>
          <w:kern w:val="0"/>
          <w:sz w:val="24"/>
        </w:rPr>
        <w:t>（</w:t>
      </w:r>
      <w:r>
        <w:rPr>
          <w:spacing w:val="2"/>
          <w:sz w:val="24"/>
        </w:rPr>
        <w:t>2014.4.24日修订）；</w:t>
      </w:r>
    </w:p>
    <w:p>
      <w:pPr>
        <w:spacing w:line="500" w:lineRule="exact"/>
        <w:ind w:firstLine="488" w:firstLineChars="200"/>
        <w:rPr>
          <w:spacing w:val="2"/>
          <w:sz w:val="24"/>
        </w:rPr>
      </w:pPr>
      <w:r>
        <w:rPr>
          <w:spacing w:val="2"/>
          <w:sz w:val="24"/>
        </w:rPr>
        <w:t>（</w:t>
      </w:r>
      <w:r>
        <w:rPr>
          <w:rFonts w:hint="eastAsia"/>
          <w:spacing w:val="2"/>
          <w:sz w:val="24"/>
        </w:rPr>
        <w:t>2</w:t>
      </w:r>
      <w:r>
        <w:rPr>
          <w:spacing w:val="2"/>
          <w:sz w:val="24"/>
        </w:rPr>
        <w:t>）《中华人民共和国水污染环境防治法》（2008.6.1）；</w:t>
      </w:r>
    </w:p>
    <w:p>
      <w:pPr>
        <w:spacing w:line="500" w:lineRule="exact"/>
        <w:ind w:firstLine="488" w:firstLineChars="200"/>
        <w:rPr>
          <w:spacing w:val="2"/>
          <w:sz w:val="24"/>
        </w:rPr>
      </w:pPr>
      <w:r>
        <w:rPr>
          <w:spacing w:val="2"/>
          <w:sz w:val="24"/>
        </w:rPr>
        <w:t>（</w:t>
      </w:r>
      <w:r>
        <w:rPr>
          <w:rFonts w:hint="eastAsia"/>
          <w:spacing w:val="2"/>
          <w:sz w:val="24"/>
        </w:rPr>
        <w:t>3</w:t>
      </w:r>
      <w:r>
        <w:rPr>
          <w:spacing w:val="2"/>
          <w:sz w:val="24"/>
        </w:rPr>
        <w:t>）《中华人民共和国大气污染防治法》（2015.8.29.修订）；</w:t>
      </w:r>
    </w:p>
    <w:p>
      <w:pPr>
        <w:spacing w:line="500" w:lineRule="exact"/>
        <w:ind w:firstLine="488" w:firstLineChars="200"/>
        <w:rPr>
          <w:spacing w:val="2"/>
          <w:sz w:val="24"/>
        </w:rPr>
      </w:pPr>
      <w:r>
        <w:rPr>
          <w:spacing w:val="2"/>
          <w:sz w:val="24"/>
        </w:rPr>
        <w:t>（</w:t>
      </w:r>
      <w:r>
        <w:rPr>
          <w:rFonts w:hint="eastAsia"/>
          <w:spacing w:val="2"/>
          <w:sz w:val="24"/>
        </w:rPr>
        <w:t>4</w:t>
      </w:r>
      <w:r>
        <w:rPr>
          <w:spacing w:val="2"/>
          <w:sz w:val="24"/>
        </w:rPr>
        <w:t>）《中华人民共和国环境噪声污染防治法》</w:t>
      </w:r>
      <w:r>
        <w:rPr>
          <w:kern w:val="0"/>
          <w:sz w:val="24"/>
        </w:rPr>
        <w:t>（1996.10.29）</w:t>
      </w:r>
      <w:r>
        <w:rPr>
          <w:spacing w:val="2"/>
          <w:sz w:val="24"/>
        </w:rPr>
        <w:t>；</w:t>
      </w:r>
    </w:p>
    <w:p>
      <w:pPr>
        <w:spacing w:line="500" w:lineRule="exact"/>
        <w:ind w:firstLine="488" w:firstLineChars="200"/>
        <w:rPr>
          <w:spacing w:val="2"/>
          <w:sz w:val="24"/>
        </w:rPr>
      </w:pPr>
      <w:r>
        <w:rPr>
          <w:spacing w:val="2"/>
          <w:sz w:val="24"/>
        </w:rPr>
        <w:t>（</w:t>
      </w:r>
      <w:r>
        <w:rPr>
          <w:rFonts w:hint="eastAsia"/>
          <w:spacing w:val="2"/>
          <w:sz w:val="24"/>
        </w:rPr>
        <w:t>5</w:t>
      </w:r>
      <w:r>
        <w:rPr>
          <w:spacing w:val="2"/>
          <w:sz w:val="24"/>
        </w:rPr>
        <w:t>）《中华人民共和国固体废物污染环境防治法》</w:t>
      </w:r>
      <w:r>
        <w:rPr>
          <w:kern w:val="0"/>
          <w:sz w:val="24"/>
        </w:rPr>
        <w:t>（2005.4.1）</w:t>
      </w:r>
      <w:r>
        <w:rPr>
          <w:spacing w:val="2"/>
          <w:sz w:val="24"/>
        </w:rPr>
        <w:t>；</w:t>
      </w:r>
    </w:p>
    <w:p>
      <w:pPr>
        <w:spacing w:line="500" w:lineRule="exact"/>
        <w:ind w:firstLine="488" w:firstLineChars="200"/>
        <w:rPr>
          <w:spacing w:val="2"/>
          <w:sz w:val="24"/>
        </w:rPr>
      </w:pPr>
      <w:r>
        <w:rPr>
          <w:spacing w:val="2"/>
          <w:sz w:val="24"/>
        </w:rPr>
        <w:t>（</w:t>
      </w:r>
      <w:r>
        <w:rPr>
          <w:rFonts w:hint="eastAsia"/>
          <w:spacing w:val="2"/>
          <w:sz w:val="24"/>
        </w:rPr>
        <w:t>6</w:t>
      </w:r>
      <w:r>
        <w:rPr>
          <w:spacing w:val="2"/>
          <w:sz w:val="24"/>
        </w:rPr>
        <w:t>）《中华人民共和国环境影响评价法》</w:t>
      </w:r>
      <w:r>
        <w:rPr>
          <w:kern w:val="0"/>
          <w:sz w:val="24"/>
        </w:rPr>
        <w:t>（2016.7.2修订）</w:t>
      </w:r>
    </w:p>
    <w:p>
      <w:pPr>
        <w:spacing w:line="500" w:lineRule="exact"/>
        <w:ind w:firstLine="488" w:firstLineChars="200"/>
        <w:rPr>
          <w:spacing w:val="2"/>
          <w:sz w:val="24"/>
        </w:rPr>
      </w:pPr>
      <w:r>
        <w:rPr>
          <w:spacing w:val="2"/>
          <w:sz w:val="24"/>
        </w:rPr>
        <w:t>（</w:t>
      </w:r>
      <w:r>
        <w:rPr>
          <w:rFonts w:hint="eastAsia"/>
          <w:spacing w:val="2"/>
          <w:sz w:val="24"/>
        </w:rPr>
        <w:t>7</w:t>
      </w:r>
      <w:r>
        <w:rPr>
          <w:spacing w:val="2"/>
          <w:sz w:val="24"/>
        </w:rPr>
        <w:t>）《中华人民共和国清洁生产促进法》</w:t>
      </w:r>
      <w:r>
        <w:rPr>
          <w:kern w:val="0"/>
          <w:sz w:val="24"/>
        </w:rPr>
        <w:t>（2003.1.1）</w:t>
      </w:r>
      <w:r>
        <w:rPr>
          <w:spacing w:val="2"/>
          <w:sz w:val="24"/>
        </w:rPr>
        <w:t>；</w:t>
      </w:r>
    </w:p>
    <w:p>
      <w:pPr>
        <w:spacing w:line="500" w:lineRule="exact"/>
        <w:ind w:firstLine="488" w:firstLineChars="200"/>
        <w:rPr>
          <w:spacing w:val="2"/>
          <w:sz w:val="24"/>
        </w:rPr>
      </w:pPr>
      <w:r>
        <w:rPr>
          <w:spacing w:val="2"/>
          <w:sz w:val="24"/>
        </w:rPr>
        <w:t>（</w:t>
      </w:r>
      <w:r>
        <w:rPr>
          <w:rFonts w:hint="eastAsia"/>
          <w:spacing w:val="2"/>
          <w:sz w:val="24"/>
        </w:rPr>
        <w:t>8</w:t>
      </w:r>
      <w:r>
        <w:rPr>
          <w:spacing w:val="2"/>
          <w:sz w:val="24"/>
        </w:rPr>
        <w:t>）《中华人民共和国水土保持法》</w:t>
      </w:r>
      <w:r>
        <w:rPr>
          <w:kern w:val="0"/>
          <w:sz w:val="24"/>
        </w:rPr>
        <w:t>（2011.3.11）</w:t>
      </w:r>
      <w:r>
        <w:rPr>
          <w:spacing w:val="2"/>
          <w:sz w:val="24"/>
        </w:rPr>
        <w:t>；</w:t>
      </w:r>
    </w:p>
    <w:p>
      <w:pPr>
        <w:autoSpaceDE w:val="0"/>
        <w:autoSpaceDN w:val="0"/>
        <w:adjustRightInd w:val="0"/>
        <w:spacing w:line="500" w:lineRule="exact"/>
        <w:ind w:firstLine="488" w:firstLineChars="200"/>
        <w:jc w:val="left"/>
        <w:rPr>
          <w:spacing w:val="2"/>
          <w:sz w:val="24"/>
        </w:rPr>
      </w:pPr>
      <w:r>
        <w:rPr>
          <w:spacing w:val="2"/>
          <w:sz w:val="24"/>
        </w:rPr>
        <w:t>（</w:t>
      </w:r>
      <w:r>
        <w:rPr>
          <w:rFonts w:hint="eastAsia"/>
          <w:spacing w:val="2"/>
          <w:sz w:val="24"/>
        </w:rPr>
        <w:t>9</w:t>
      </w:r>
      <w:r>
        <w:rPr>
          <w:spacing w:val="2"/>
          <w:sz w:val="24"/>
        </w:rPr>
        <w:t>）《建设项目环境保护管理条例》（国务院令第253号）；</w:t>
      </w:r>
    </w:p>
    <w:p>
      <w:pPr>
        <w:spacing w:line="500" w:lineRule="exact"/>
        <w:ind w:firstLine="488" w:firstLineChars="200"/>
        <w:rPr>
          <w:spacing w:val="2"/>
          <w:sz w:val="24"/>
        </w:rPr>
      </w:pPr>
      <w:r>
        <w:rPr>
          <w:rFonts w:hint="eastAsia"/>
          <w:spacing w:val="2"/>
          <w:sz w:val="24"/>
        </w:rPr>
        <w:t>（10）</w:t>
      </w:r>
      <w:r>
        <w:rPr>
          <w:spacing w:val="2"/>
          <w:sz w:val="24"/>
        </w:rPr>
        <w:t>《河南省建设项目环境保护条例》</w:t>
      </w:r>
    </w:p>
    <w:p>
      <w:pPr>
        <w:autoSpaceDE w:val="0"/>
        <w:autoSpaceDN w:val="0"/>
        <w:adjustRightInd w:val="0"/>
        <w:spacing w:line="500" w:lineRule="exact"/>
        <w:ind w:firstLine="488" w:firstLineChars="200"/>
        <w:jc w:val="left"/>
        <w:rPr>
          <w:kern w:val="0"/>
          <w:sz w:val="24"/>
        </w:rPr>
      </w:pPr>
      <w:r>
        <w:rPr>
          <w:spacing w:val="2"/>
          <w:sz w:val="24"/>
        </w:rPr>
        <w:t>（1</w:t>
      </w:r>
      <w:r>
        <w:rPr>
          <w:rFonts w:hint="eastAsia"/>
          <w:spacing w:val="2"/>
          <w:sz w:val="24"/>
        </w:rPr>
        <w:t>1</w:t>
      </w:r>
      <w:r>
        <w:rPr>
          <w:spacing w:val="2"/>
          <w:sz w:val="24"/>
        </w:rPr>
        <w:t>）</w:t>
      </w:r>
      <w:r>
        <w:rPr>
          <w:sz w:val="24"/>
        </w:rPr>
        <w:t>《产业结构调整指导目录(2011年本)》(2013年修订)；</w:t>
      </w:r>
    </w:p>
    <w:p>
      <w:pPr>
        <w:spacing w:line="500" w:lineRule="exact"/>
        <w:ind w:firstLine="488" w:firstLineChars="200"/>
        <w:rPr>
          <w:spacing w:val="2"/>
          <w:sz w:val="24"/>
        </w:rPr>
      </w:pPr>
      <w:r>
        <w:rPr>
          <w:spacing w:val="2"/>
          <w:sz w:val="24"/>
        </w:rPr>
        <w:t>（1</w:t>
      </w:r>
      <w:r>
        <w:rPr>
          <w:rFonts w:hint="eastAsia"/>
          <w:spacing w:val="2"/>
          <w:sz w:val="24"/>
        </w:rPr>
        <w:t>2</w:t>
      </w:r>
      <w:r>
        <w:rPr>
          <w:spacing w:val="2"/>
          <w:sz w:val="24"/>
        </w:rPr>
        <w:t>）</w:t>
      </w:r>
      <w:r>
        <w:rPr>
          <w:sz w:val="24"/>
        </w:rPr>
        <w:t>《矿山生态环境保护与污染防治技术政策》（2005.9.7，环发[2005]109号）；</w:t>
      </w:r>
    </w:p>
    <w:p>
      <w:pPr>
        <w:autoSpaceDE w:val="0"/>
        <w:autoSpaceDN w:val="0"/>
        <w:adjustRightInd w:val="0"/>
        <w:spacing w:line="500" w:lineRule="exact"/>
        <w:ind w:firstLine="488" w:firstLineChars="200"/>
        <w:jc w:val="left"/>
        <w:rPr>
          <w:spacing w:val="2"/>
          <w:sz w:val="24"/>
        </w:rPr>
      </w:pPr>
      <w:r>
        <w:rPr>
          <w:spacing w:val="2"/>
          <w:sz w:val="24"/>
        </w:rPr>
        <w:t>（1</w:t>
      </w:r>
      <w:r>
        <w:rPr>
          <w:rFonts w:hint="eastAsia"/>
          <w:spacing w:val="2"/>
          <w:sz w:val="24"/>
        </w:rPr>
        <w:t>3</w:t>
      </w:r>
      <w:r>
        <w:rPr>
          <w:spacing w:val="2"/>
          <w:sz w:val="24"/>
        </w:rPr>
        <w:t>）《建设项目竣工环境保护验收管理办法》（国家环境保护总局第13号令，2001.12.27发布，2002.2.1起实施）；</w:t>
      </w:r>
    </w:p>
    <w:p>
      <w:pPr>
        <w:autoSpaceDE w:val="0"/>
        <w:autoSpaceDN w:val="0"/>
        <w:adjustRightInd w:val="0"/>
        <w:spacing w:line="500" w:lineRule="exact"/>
        <w:ind w:firstLine="488" w:firstLineChars="200"/>
        <w:jc w:val="left"/>
        <w:rPr>
          <w:sz w:val="24"/>
        </w:rPr>
      </w:pPr>
      <w:r>
        <w:rPr>
          <w:spacing w:val="2"/>
          <w:sz w:val="24"/>
        </w:rPr>
        <w:t>（</w:t>
      </w:r>
      <w:r>
        <w:rPr>
          <w:rFonts w:hint="eastAsia"/>
          <w:spacing w:val="2"/>
          <w:sz w:val="24"/>
        </w:rPr>
        <w:t>14</w:t>
      </w:r>
      <w:r>
        <w:rPr>
          <w:spacing w:val="2"/>
          <w:sz w:val="24"/>
        </w:rPr>
        <w:t>）</w:t>
      </w:r>
      <w:r>
        <w:rPr>
          <w:sz w:val="24"/>
        </w:rPr>
        <w:t>《关于印发〈环境应急管理工作指南（试行）〉的通知》，环办[2010]138号；</w:t>
      </w:r>
    </w:p>
    <w:p>
      <w:pPr>
        <w:pStyle w:val="68"/>
        <w:ind w:firstLine="480"/>
        <w:jc w:val="both"/>
        <w:rPr>
          <w:sz w:val="24"/>
          <w:szCs w:val="24"/>
        </w:rPr>
      </w:pPr>
      <w:r>
        <w:rPr>
          <w:sz w:val="24"/>
          <w:szCs w:val="24"/>
        </w:rPr>
        <w:t>（</w:t>
      </w:r>
      <w:r>
        <w:rPr>
          <w:rFonts w:hint="eastAsia"/>
          <w:sz w:val="24"/>
          <w:szCs w:val="24"/>
        </w:rPr>
        <w:t>15</w:t>
      </w:r>
      <w:r>
        <w:rPr>
          <w:sz w:val="24"/>
          <w:szCs w:val="24"/>
        </w:rPr>
        <w:t>）</w:t>
      </w:r>
      <w:r>
        <w:rPr>
          <w:sz w:val="24"/>
        </w:rPr>
        <w:t>《国家安全监管总局 国家发展改革委 工业和信息化部 国土资源部 环境保护部关于进一步加强监督管理工作的指导意见》安监总管一[2012]32号；</w:t>
      </w:r>
    </w:p>
    <w:p>
      <w:pPr>
        <w:autoSpaceDE w:val="0"/>
        <w:autoSpaceDN w:val="0"/>
        <w:adjustRightInd w:val="0"/>
        <w:spacing w:line="500" w:lineRule="exact"/>
        <w:ind w:firstLine="360" w:firstLineChars="150"/>
        <w:jc w:val="left"/>
        <w:rPr>
          <w:sz w:val="24"/>
        </w:rPr>
      </w:pPr>
      <w:r>
        <w:rPr>
          <w:sz w:val="24"/>
        </w:rPr>
        <w:t>（</w:t>
      </w:r>
      <w:r>
        <w:rPr>
          <w:rFonts w:hint="eastAsia"/>
          <w:sz w:val="24"/>
        </w:rPr>
        <w:t>16</w:t>
      </w:r>
      <w:r>
        <w:rPr>
          <w:sz w:val="24"/>
        </w:rPr>
        <w:t>）河南省环境保护厅关于进一步加强和规范建设项目竣工环保验收公众参与工作的通知，豫环文[2014]79号。</w:t>
      </w:r>
    </w:p>
    <w:p>
      <w:pPr>
        <w:autoSpaceDE w:val="0"/>
        <w:autoSpaceDN w:val="0"/>
        <w:adjustRightInd w:val="0"/>
        <w:spacing w:line="500" w:lineRule="exact"/>
        <w:ind w:firstLine="360" w:firstLineChars="150"/>
        <w:jc w:val="left"/>
        <w:rPr>
          <w:sz w:val="24"/>
        </w:rPr>
      </w:pPr>
      <w:r>
        <w:rPr>
          <w:sz w:val="24"/>
        </w:rPr>
        <w:t>（</w:t>
      </w:r>
      <w:r>
        <w:rPr>
          <w:rFonts w:hint="eastAsia"/>
          <w:sz w:val="24"/>
        </w:rPr>
        <w:t>17</w:t>
      </w:r>
      <w:r>
        <w:rPr>
          <w:sz w:val="24"/>
        </w:rPr>
        <w:t>）《关于印发〈尾矿库环境应急管理工作指南（试行）〉的通知》，环办[2010]138号</w:t>
      </w:r>
    </w:p>
    <w:p>
      <w:pPr>
        <w:spacing w:line="500" w:lineRule="exact"/>
        <w:ind w:firstLine="488" w:firstLineChars="200"/>
        <w:rPr>
          <w:spacing w:val="2"/>
          <w:sz w:val="24"/>
        </w:rPr>
      </w:pPr>
      <w:r>
        <w:rPr>
          <w:spacing w:val="2"/>
          <w:sz w:val="24"/>
        </w:rPr>
        <w:t>（</w:t>
      </w:r>
      <w:r>
        <w:rPr>
          <w:rFonts w:hint="eastAsia"/>
          <w:spacing w:val="2"/>
          <w:sz w:val="24"/>
        </w:rPr>
        <w:t>18</w:t>
      </w:r>
      <w:r>
        <w:rPr>
          <w:spacing w:val="2"/>
          <w:sz w:val="24"/>
        </w:rPr>
        <w:t>）</w:t>
      </w:r>
      <w:r>
        <w:rPr>
          <w:kern w:val="0"/>
          <w:sz w:val="24"/>
        </w:rPr>
        <w:t>《关于建设项目环境保护设施竣工验收监测管理有关问题的通知》（国家环境保护总局环发{2000}38号，2000.2.22）；</w:t>
      </w:r>
    </w:p>
    <w:p>
      <w:pPr>
        <w:pStyle w:val="10"/>
        <w:spacing w:line="360" w:lineRule="auto"/>
        <w:rPr>
          <w:rFonts w:ascii="Times New Roman" w:hAnsi="Times New Roman"/>
          <w:szCs w:val="30"/>
        </w:rPr>
      </w:pPr>
      <w:bookmarkStart w:id="47" w:name="_Toc407153427"/>
      <w:bookmarkStart w:id="48" w:name="_Toc406504141"/>
      <w:bookmarkStart w:id="49" w:name="_Toc420663614"/>
      <w:bookmarkStart w:id="50" w:name="_Toc407217293"/>
      <w:r>
        <w:rPr>
          <w:rFonts w:ascii="Times New Roman" w:hAnsi="Times New Roman"/>
          <w:szCs w:val="30"/>
        </w:rPr>
        <w:t>1.1.2 相关资料</w:t>
      </w:r>
      <w:bookmarkEnd w:id="47"/>
      <w:bookmarkEnd w:id="48"/>
      <w:bookmarkEnd w:id="49"/>
      <w:bookmarkEnd w:id="50"/>
    </w:p>
    <w:p>
      <w:pPr>
        <w:spacing w:line="360" w:lineRule="auto"/>
        <w:rPr>
          <w:kern w:val="20"/>
          <w:sz w:val="24"/>
        </w:rPr>
      </w:pPr>
      <w:r>
        <w:rPr>
          <w:sz w:val="24"/>
        </w:rPr>
        <w:t xml:space="preserve">    （1）</w:t>
      </w:r>
      <w:r>
        <w:rPr>
          <w:kern w:val="20"/>
          <w:sz w:val="24"/>
        </w:rPr>
        <w:t>河南环境保护局以豫环监（1997）47号文《河南省灵宝银家沟硫铁矿采选扩建工程环境影响报告书》；</w:t>
      </w:r>
    </w:p>
    <w:p>
      <w:pPr>
        <w:spacing w:line="360" w:lineRule="auto"/>
        <w:rPr>
          <w:sz w:val="24"/>
        </w:rPr>
      </w:pPr>
      <w:r>
        <w:rPr>
          <w:kern w:val="20"/>
          <w:sz w:val="24"/>
        </w:rPr>
        <w:t xml:space="preserve">    （2）</w:t>
      </w:r>
      <w:r>
        <w:rPr>
          <w:sz w:val="24"/>
        </w:rPr>
        <w:t>原河南环境保护局以豫环监（1997）47号文件对</w:t>
      </w:r>
      <w:r>
        <w:rPr>
          <w:kern w:val="20"/>
          <w:sz w:val="24"/>
        </w:rPr>
        <w:t>《河南省灵宝银家沟硫铁矿采选扩建工程环境影响报告书》的</w:t>
      </w:r>
      <w:r>
        <w:rPr>
          <w:sz w:val="24"/>
        </w:rPr>
        <w:t>批复；</w:t>
      </w:r>
    </w:p>
    <w:p>
      <w:pPr>
        <w:spacing w:line="360" w:lineRule="auto"/>
        <w:rPr>
          <w:sz w:val="24"/>
        </w:rPr>
      </w:pPr>
      <w:r>
        <w:rPr>
          <w:sz w:val="24"/>
        </w:rPr>
        <w:t xml:space="preserve">    （3）河南省环境保护厅豫环审【2013】124号文《关于灵宝金源晨光有色矿业有限公司矿业分公司硫磷分公司硫铁矿分公司环境综合治理项目的验收意见》；</w:t>
      </w:r>
    </w:p>
    <w:p>
      <w:pPr>
        <w:spacing w:line="360" w:lineRule="auto"/>
        <w:rPr>
          <w:sz w:val="24"/>
        </w:rPr>
      </w:pPr>
      <w:r>
        <w:rPr>
          <w:sz w:val="24"/>
        </w:rPr>
        <w:t xml:space="preserve">    （4）河南省环境保护厅豫环审</w:t>
      </w:r>
      <w:r>
        <w:rPr>
          <w:rFonts w:eastAsia="汉鼎简书宋"/>
          <w:sz w:val="24"/>
        </w:rPr>
        <w:t>【2013】250</w:t>
      </w:r>
      <w:r>
        <w:rPr>
          <w:sz w:val="24"/>
        </w:rPr>
        <w:t>号文《关于灵宝金源晨光有色矿冶有限公司银家沟硫铁矿综合回收扩建工程项目环境影响报告书的批复》；</w:t>
      </w:r>
    </w:p>
    <w:p>
      <w:pPr>
        <w:autoSpaceDE w:val="0"/>
        <w:autoSpaceDN w:val="0"/>
        <w:spacing w:line="360" w:lineRule="auto"/>
        <w:ind w:firstLine="480" w:firstLineChars="200"/>
        <w:jc w:val="left"/>
        <w:rPr>
          <w:sz w:val="24"/>
        </w:rPr>
      </w:pPr>
      <w:r>
        <w:rPr>
          <w:sz w:val="24"/>
        </w:rPr>
        <w:t>（5）山东省煤田地质规划勘察研究院《灵宝金源晨光有色矿冶有限公司银家沟硫铁矿综合回收扩建工程项目环境影响报告书》（报批版2013年）；</w:t>
      </w:r>
    </w:p>
    <w:p>
      <w:pPr>
        <w:autoSpaceDE w:val="0"/>
        <w:autoSpaceDN w:val="0"/>
        <w:spacing w:line="360" w:lineRule="auto"/>
        <w:ind w:firstLine="480" w:firstLineChars="200"/>
        <w:jc w:val="left"/>
        <w:rPr>
          <w:spacing w:val="2"/>
          <w:sz w:val="24"/>
        </w:rPr>
      </w:pPr>
      <w:r>
        <w:rPr>
          <w:sz w:val="24"/>
        </w:rPr>
        <w:t>（6）《关于灵宝金源晨光有色矿冶有限公司银家沟硫铁矿综合回收扩建工程</w:t>
      </w:r>
      <w:r>
        <w:rPr>
          <w:spacing w:val="2"/>
          <w:sz w:val="24"/>
        </w:rPr>
        <w:t>监测报告</w:t>
      </w:r>
      <w:r>
        <w:rPr>
          <w:sz w:val="24"/>
        </w:rPr>
        <w:t>》(2016-YSDC-12)，灵宝市环境监测站，2016年10月</w:t>
      </w:r>
      <w:r>
        <w:rPr>
          <w:spacing w:val="2"/>
          <w:sz w:val="24"/>
        </w:rPr>
        <w:t>；</w:t>
      </w:r>
    </w:p>
    <w:p>
      <w:pPr>
        <w:autoSpaceDE w:val="0"/>
        <w:autoSpaceDN w:val="0"/>
        <w:spacing w:line="360" w:lineRule="auto"/>
        <w:ind w:firstLine="488" w:firstLineChars="200"/>
        <w:jc w:val="left"/>
        <w:rPr>
          <w:sz w:val="24"/>
        </w:rPr>
      </w:pPr>
      <w:r>
        <w:rPr>
          <w:spacing w:val="2"/>
          <w:sz w:val="24"/>
        </w:rPr>
        <w:t>（7）</w:t>
      </w:r>
      <w:r>
        <w:rPr>
          <w:sz w:val="24"/>
        </w:rPr>
        <w:t>《关于灵宝金源晨光有色矿冶有限公司银家沟硫铁矿综合回收扩建工程</w:t>
      </w:r>
      <w:r>
        <w:rPr>
          <w:spacing w:val="2"/>
          <w:sz w:val="24"/>
        </w:rPr>
        <w:t>监测报告·土壤</w:t>
      </w:r>
      <w:r>
        <w:rPr>
          <w:sz w:val="24"/>
        </w:rPr>
        <w:t>》（GDB7F0op69245606Z），谱尼测试，2016年9月；</w:t>
      </w:r>
    </w:p>
    <w:p>
      <w:pPr>
        <w:autoSpaceDE w:val="0"/>
        <w:autoSpaceDN w:val="0"/>
        <w:spacing w:line="360" w:lineRule="auto"/>
        <w:ind w:firstLine="480" w:firstLineChars="200"/>
        <w:jc w:val="left"/>
        <w:rPr>
          <w:sz w:val="24"/>
        </w:rPr>
      </w:pPr>
      <w:r>
        <w:rPr>
          <w:sz w:val="24"/>
        </w:rPr>
        <w:t>（8）《关于灵宝金源晨光有色矿冶有限公司银家沟硫铁矿综合回收扩建工程</w:t>
      </w:r>
      <w:r>
        <w:rPr>
          <w:spacing w:val="2"/>
          <w:sz w:val="24"/>
        </w:rPr>
        <w:t>监测报告·土壤</w:t>
      </w:r>
      <w:r>
        <w:rPr>
          <w:sz w:val="24"/>
        </w:rPr>
        <w:t>》（GDB7F0 OP 69245606Z），谱尼测试，2016年9月；</w:t>
      </w:r>
    </w:p>
    <w:p>
      <w:pPr>
        <w:autoSpaceDE w:val="0"/>
        <w:autoSpaceDN w:val="0"/>
        <w:spacing w:line="360" w:lineRule="auto"/>
        <w:ind w:firstLine="480" w:firstLineChars="200"/>
        <w:jc w:val="left"/>
        <w:rPr>
          <w:sz w:val="24"/>
        </w:rPr>
      </w:pPr>
      <w:r>
        <w:rPr>
          <w:sz w:val="24"/>
        </w:rPr>
        <w:t>（9）《关于灵宝金源晨光有色矿冶有限公司银家沟硫铁矿综合回收扩建工程</w:t>
      </w:r>
      <w:r>
        <w:rPr>
          <w:spacing w:val="2"/>
          <w:sz w:val="24"/>
        </w:rPr>
        <w:t>监测报告·尾矿、废石</w:t>
      </w:r>
      <w:r>
        <w:rPr>
          <w:sz w:val="24"/>
        </w:rPr>
        <w:t>》（GDB7F0OP69249606Z），谱尼测试，2016年9月；</w:t>
      </w:r>
    </w:p>
    <w:p>
      <w:pPr>
        <w:autoSpaceDE w:val="0"/>
        <w:autoSpaceDN w:val="0"/>
        <w:adjustRightInd w:val="0"/>
        <w:spacing w:line="500" w:lineRule="exact"/>
        <w:ind w:firstLine="488" w:firstLineChars="200"/>
        <w:jc w:val="left"/>
        <w:rPr>
          <w:spacing w:val="2"/>
          <w:sz w:val="24"/>
        </w:rPr>
      </w:pPr>
      <w:r>
        <w:rPr>
          <w:spacing w:val="2"/>
          <w:sz w:val="24"/>
        </w:rPr>
        <w:t>（10）</w:t>
      </w:r>
      <w:r>
        <w:rPr>
          <w:sz w:val="24"/>
        </w:rPr>
        <w:t>《关于灵宝金源晨光有色矿冶有限公司银家沟硫铁矿综合回收扩建工程项目环境影响评价执行标准的函》（三环建函〔2012〕71号），三门峡市环境保护局。</w:t>
      </w:r>
    </w:p>
    <w:p>
      <w:pPr>
        <w:autoSpaceDE w:val="0"/>
        <w:autoSpaceDN w:val="0"/>
        <w:adjustRightInd w:val="0"/>
        <w:spacing w:line="500" w:lineRule="exact"/>
        <w:ind w:firstLine="488" w:firstLineChars="200"/>
        <w:jc w:val="left"/>
        <w:rPr>
          <w:spacing w:val="2"/>
          <w:sz w:val="24"/>
        </w:rPr>
      </w:pPr>
      <w:r>
        <w:rPr>
          <w:spacing w:val="2"/>
          <w:sz w:val="24"/>
        </w:rPr>
        <w:t>（11）环境保护设施竣工验收调查委托书；</w:t>
      </w:r>
    </w:p>
    <w:p>
      <w:pPr>
        <w:pStyle w:val="10"/>
        <w:rPr>
          <w:rFonts w:ascii="Times New Roman" w:hAnsi="Times New Roman"/>
        </w:rPr>
      </w:pPr>
      <w:bookmarkStart w:id="51" w:name="_Toc406504142"/>
      <w:bookmarkStart w:id="52" w:name="_Toc407217294"/>
      <w:bookmarkStart w:id="53" w:name="_Toc420663615"/>
      <w:bookmarkStart w:id="54" w:name="_Toc407153428"/>
      <w:r>
        <w:rPr>
          <w:rFonts w:ascii="Times New Roman" w:hAnsi="Times New Roman"/>
        </w:rPr>
        <w:t>1.1.3 技术规范</w:t>
      </w:r>
      <w:bookmarkEnd w:id="51"/>
      <w:bookmarkEnd w:id="52"/>
      <w:bookmarkEnd w:id="53"/>
      <w:bookmarkEnd w:id="54"/>
    </w:p>
    <w:p>
      <w:pPr>
        <w:tabs>
          <w:tab w:val="left" w:pos="1050"/>
        </w:tabs>
        <w:spacing w:line="360" w:lineRule="auto"/>
        <w:ind w:firstLine="480" w:firstLineChars="200"/>
        <w:rPr>
          <w:sz w:val="24"/>
        </w:rPr>
      </w:pPr>
      <w:r>
        <w:rPr>
          <w:sz w:val="24"/>
        </w:rPr>
        <w:t>（1）《环境影响评价技术导则·总则》（HJ2.1-2011）；</w:t>
      </w:r>
    </w:p>
    <w:p>
      <w:pPr>
        <w:tabs>
          <w:tab w:val="left" w:pos="1050"/>
        </w:tabs>
        <w:spacing w:line="360" w:lineRule="auto"/>
        <w:ind w:firstLine="480" w:firstLineChars="200"/>
        <w:rPr>
          <w:bCs/>
          <w:sz w:val="24"/>
        </w:rPr>
      </w:pPr>
      <w:r>
        <w:rPr>
          <w:sz w:val="24"/>
        </w:rPr>
        <w:t>（2）《环境影响评价技术导则·大气环境》（HJ2.2-2008）；</w:t>
      </w:r>
    </w:p>
    <w:p>
      <w:pPr>
        <w:spacing w:line="360" w:lineRule="auto"/>
        <w:ind w:firstLine="480" w:firstLineChars="200"/>
        <w:rPr>
          <w:bCs/>
          <w:sz w:val="24"/>
        </w:rPr>
      </w:pPr>
      <w:r>
        <w:rPr>
          <w:bCs/>
          <w:sz w:val="24"/>
        </w:rPr>
        <w:t>（3）《环境影响评价技术导则·地面水环境》（HJ/T2.3-93）；</w:t>
      </w:r>
    </w:p>
    <w:p>
      <w:pPr>
        <w:spacing w:line="360" w:lineRule="auto"/>
        <w:ind w:firstLine="480" w:firstLineChars="200"/>
        <w:rPr>
          <w:sz w:val="24"/>
        </w:rPr>
      </w:pPr>
      <w:r>
        <w:rPr>
          <w:bCs/>
          <w:sz w:val="24"/>
        </w:rPr>
        <w:t>（4）《环境影响评价技术导则·地下水环境（HJ610-2016）</w:t>
      </w:r>
    </w:p>
    <w:p>
      <w:pPr>
        <w:spacing w:line="360" w:lineRule="auto"/>
        <w:ind w:firstLine="480" w:firstLineChars="200"/>
        <w:rPr>
          <w:bCs/>
          <w:sz w:val="24"/>
        </w:rPr>
      </w:pPr>
      <w:r>
        <w:rPr>
          <w:bCs/>
          <w:sz w:val="24"/>
        </w:rPr>
        <w:t>（5）《环境影响评价技术导则·声环境》（HJ2.4-2009）；</w:t>
      </w:r>
    </w:p>
    <w:p>
      <w:pPr>
        <w:spacing w:line="360" w:lineRule="auto"/>
        <w:ind w:firstLine="480" w:firstLineChars="200"/>
        <w:rPr>
          <w:sz w:val="24"/>
        </w:rPr>
      </w:pPr>
      <w:r>
        <w:rPr>
          <w:bCs/>
          <w:sz w:val="24"/>
        </w:rPr>
        <w:t>（6）《环境影响评价技术导则·生态影响》（HJ19-2011）；</w:t>
      </w:r>
    </w:p>
    <w:p>
      <w:pPr>
        <w:spacing w:line="360" w:lineRule="auto"/>
        <w:ind w:firstLine="480" w:firstLineChars="200"/>
        <w:rPr>
          <w:bCs/>
          <w:sz w:val="24"/>
        </w:rPr>
      </w:pPr>
      <w:r>
        <w:rPr>
          <w:bCs/>
          <w:sz w:val="24"/>
        </w:rPr>
        <w:t>（7）《建设项目环境风险评价技术导则》（HJ/T169-2004）；</w:t>
      </w:r>
    </w:p>
    <w:p>
      <w:pPr>
        <w:spacing w:line="360" w:lineRule="auto"/>
        <w:ind w:firstLine="480" w:firstLineChars="200"/>
        <w:rPr>
          <w:bCs/>
          <w:sz w:val="24"/>
        </w:rPr>
      </w:pPr>
      <w:r>
        <w:rPr>
          <w:bCs/>
          <w:sz w:val="24"/>
        </w:rPr>
        <w:t>（8）《开发建设项目水土保持技术规范》（GB50433-2008）；</w:t>
      </w:r>
    </w:p>
    <w:p>
      <w:pPr>
        <w:spacing w:line="360" w:lineRule="auto"/>
        <w:ind w:firstLine="480" w:firstLineChars="200"/>
        <w:rPr>
          <w:bCs/>
          <w:sz w:val="24"/>
        </w:rPr>
      </w:pPr>
      <w:r>
        <w:rPr>
          <w:bCs/>
          <w:sz w:val="24"/>
        </w:rPr>
        <w:t>（9）《建设项目竣工环境保护验收技术规范（生态影响类）》（HJ/T397-2007）。</w:t>
      </w:r>
      <w:bookmarkStart w:id="55" w:name="_Toc173284072"/>
      <w:bookmarkStart w:id="56" w:name="_Toc173147923"/>
    </w:p>
    <w:p>
      <w:pPr>
        <w:pStyle w:val="10"/>
        <w:spacing w:line="360" w:lineRule="auto"/>
        <w:rPr>
          <w:rFonts w:ascii="Times New Roman" w:hAnsi="Times New Roman"/>
        </w:rPr>
      </w:pPr>
      <w:r>
        <w:rPr>
          <w:rFonts w:ascii="Times New Roman" w:hAnsi="Times New Roman"/>
        </w:rPr>
        <w:t>1.1.4 监测规范</w:t>
      </w:r>
    </w:p>
    <w:p>
      <w:pPr>
        <w:spacing w:line="360" w:lineRule="auto"/>
        <w:ind w:firstLine="240" w:firstLineChars="100"/>
        <w:rPr>
          <w:bCs/>
          <w:sz w:val="24"/>
        </w:rPr>
      </w:pPr>
      <w:r>
        <w:rPr>
          <w:bCs/>
          <w:sz w:val="24"/>
        </w:rPr>
        <w:t xml:space="preserve">  （1）地表水和污水监测技术规范；</w:t>
      </w:r>
    </w:p>
    <w:p>
      <w:pPr>
        <w:spacing w:line="360" w:lineRule="auto"/>
        <w:ind w:firstLine="480" w:firstLineChars="200"/>
        <w:rPr>
          <w:bCs/>
          <w:sz w:val="24"/>
        </w:rPr>
      </w:pPr>
      <w:r>
        <w:rPr>
          <w:bCs/>
          <w:sz w:val="24"/>
        </w:rPr>
        <w:t>（2）环境空气质量监测点位布设技术规范；</w:t>
      </w:r>
    </w:p>
    <w:p>
      <w:pPr>
        <w:spacing w:line="360" w:lineRule="auto"/>
        <w:ind w:firstLine="480" w:firstLineChars="200"/>
        <w:rPr>
          <w:bCs/>
          <w:sz w:val="24"/>
        </w:rPr>
      </w:pPr>
      <w:r>
        <w:rPr>
          <w:bCs/>
          <w:sz w:val="24"/>
        </w:rPr>
        <w:t>（3）工业企业厂界噪声测量方法；</w:t>
      </w:r>
    </w:p>
    <w:p>
      <w:pPr>
        <w:spacing w:line="360" w:lineRule="auto"/>
        <w:ind w:firstLine="480" w:firstLineChars="200"/>
        <w:rPr>
          <w:bCs/>
          <w:sz w:val="24"/>
        </w:rPr>
      </w:pPr>
      <w:r>
        <w:rPr>
          <w:bCs/>
          <w:sz w:val="24"/>
        </w:rPr>
        <w:t>（4）固定源废气监测技术规范。</w:t>
      </w:r>
    </w:p>
    <w:p>
      <w:pPr>
        <w:pStyle w:val="3"/>
        <w:spacing w:before="0" w:after="0"/>
        <w:rPr>
          <w:rFonts w:ascii="Times New Roman" w:hAnsi="Times New Roman"/>
          <w:szCs w:val="20"/>
        </w:rPr>
      </w:pPr>
      <w:bookmarkStart w:id="57" w:name="_Toc370112104"/>
      <w:bookmarkStart w:id="58" w:name="_Toc406504143"/>
      <w:bookmarkStart w:id="59" w:name="_Toc407153429"/>
      <w:bookmarkStart w:id="60" w:name="_Toc420663616"/>
      <w:bookmarkStart w:id="61" w:name="_Toc407217295"/>
      <w:bookmarkStart w:id="62" w:name="_Toc470358598"/>
      <w:bookmarkStart w:id="63" w:name="_Toc488578893"/>
      <w:r>
        <w:rPr>
          <w:rFonts w:ascii="Times New Roman" w:hAnsi="Times New Roman"/>
          <w:szCs w:val="20"/>
        </w:rPr>
        <w:t>1.2 调查目的及原则</w:t>
      </w:r>
      <w:bookmarkEnd w:id="55"/>
      <w:bookmarkEnd w:id="56"/>
      <w:bookmarkEnd w:id="57"/>
      <w:bookmarkEnd w:id="58"/>
      <w:bookmarkEnd w:id="59"/>
      <w:bookmarkEnd w:id="60"/>
      <w:bookmarkEnd w:id="61"/>
      <w:bookmarkEnd w:id="62"/>
      <w:bookmarkEnd w:id="63"/>
    </w:p>
    <w:p>
      <w:pPr>
        <w:pStyle w:val="10"/>
        <w:spacing w:line="360" w:lineRule="auto"/>
        <w:rPr>
          <w:rFonts w:ascii="Times New Roman" w:hAnsi="Times New Roman"/>
          <w:szCs w:val="30"/>
        </w:rPr>
      </w:pPr>
      <w:bookmarkStart w:id="64" w:name="_Toc420663617"/>
      <w:bookmarkStart w:id="65" w:name="_Toc406504144"/>
      <w:bookmarkStart w:id="66" w:name="_Toc407217296"/>
      <w:bookmarkStart w:id="67" w:name="_Toc407153430"/>
      <w:r>
        <w:rPr>
          <w:rFonts w:ascii="Times New Roman" w:hAnsi="Times New Roman"/>
          <w:szCs w:val="30"/>
        </w:rPr>
        <w:t>1.2.1 调查目的</w:t>
      </w:r>
      <w:bookmarkEnd w:id="64"/>
      <w:bookmarkEnd w:id="65"/>
      <w:bookmarkEnd w:id="66"/>
      <w:bookmarkEnd w:id="67"/>
    </w:p>
    <w:p>
      <w:pPr>
        <w:autoSpaceDE w:val="0"/>
        <w:autoSpaceDN w:val="0"/>
        <w:spacing w:line="360" w:lineRule="auto"/>
        <w:ind w:firstLine="366" w:firstLineChars="150"/>
        <w:jc w:val="left"/>
        <w:rPr>
          <w:spacing w:val="2"/>
          <w:sz w:val="24"/>
        </w:rPr>
      </w:pPr>
      <w:r>
        <w:rPr>
          <w:spacing w:val="2"/>
          <w:sz w:val="24"/>
        </w:rPr>
        <w:t>（1）</w:t>
      </w:r>
      <w:r>
        <w:rPr>
          <w:sz w:val="24"/>
        </w:rPr>
        <w:t>调查目的是为了贯彻《中华人民共和国环境保护法》、《中华人民共和国环境影响评价法》、《建设项目环境保护管理条例》，落实《建设项目竣工环境保护验收管理办法》（国家环境保护总局第13号令），保证生态影响建设项目竣工环境保护验收调查的工作质量，加强和规范生态影响建设项目的“三同时”检查工作，为“三同时”跟踪检查与管理提供技术支持。加强项目工程竣工环境保护验收管理，监督落实采矿项目工程环境保护设施与建设项目主体工程同时投产或者使用，以及落实其他需配套采取的环境保护措施。</w:t>
      </w:r>
    </w:p>
    <w:p>
      <w:pPr>
        <w:pStyle w:val="39"/>
        <w:spacing w:line="500" w:lineRule="exact"/>
        <w:ind w:firstLine="488" w:firstLineChars="200"/>
        <w:rPr>
          <w:sz w:val="24"/>
          <w:szCs w:val="24"/>
        </w:rPr>
      </w:pPr>
      <w:r>
        <w:rPr>
          <w:spacing w:val="2"/>
          <w:sz w:val="24"/>
          <w:szCs w:val="24"/>
        </w:rPr>
        <w:t>（2）调查本</w:t>
      </w:r>
      <w:r>
        <w:rPr>
          <w:sz w:val="24"/>
        </w:rPr>
        <w:t>项目工程</w:t>
      </w:r>
      <w:r>
        <w:rPr>
          <w:spacing w:val="2"/>
          <w:sz w:val="24"/>
          <w:szCs w:val="24"/>
        </w:rPr>
        <w:t>建设对周围环境造成的影响，目前周围环境存在的主要问题，调查初步设计及环境影响报告书提出的环境保护治理措施的落实情况和实际效果。</w:t>
      </w:r>
    </w:p>
    <w:p>
      <w:pPr>
        <w:autoSpaceDE w:val="0"/>
        <w:autoSpaceDN w:val="0"/>
        <w:adjustRightInd w:val="0"/>
        <w:spacing w:line="500" w:lineRule="exact"/>
        <w:ind w:firstLine="488" w:firstLineChars="200"/>
        <w:jc w:val="left"/>
        <w:rPr>
          <w:spacing w:val="2"/>
          <w:sz w:val="24"/>
        </w:rPr>
      </w:pPr>
      <w:r>
        <w:rPr>
          <w:spacing w:val="2"/>
          <w:sz w:val="24"/>
        </w:rPr>
        <w:t>对不完善的污染防治措施提出改进意见，并对目前存在的环境问题及潜在的环境影响，提出环境保护整改和补救措施。</w:t>
      </w:r>
    </w:p>
    <w:p>
      <w:pPr>
        <w:autoSpaceDE w:val="0"/>
        <w:autoSpaceDN w:val="0"/>
        <w:spacing w:line="360" w:lineRule="auto"/>
        <w:ind w:firstLine="488" w:firstLineChars="200"/>
        <w:jc w:val="left"/>
        <w:rPr>
          <w:spacing w:val="2"/>
          <w:sz w:val="24"/>
        </w:rPr>
      </w:pPr>
      <w:r>
        <w:rPr>
          <w:spacing w:val="2"/>
          <w:sz w:val="24"/>
        </w:rPr>
        <w:t>（3）调查工程建设的环境保护设施运行效果及环境管理和环境监控情况，收集该工程建设及投入试生产后的公众意见，提出相应的环境管理要求。</w:t>
      </w:r>
    </w:p>
    <w:p>
      <w:pPr>
        <w:autoSpaceDE w:val="0"/>
        <w:autoSpaceDN w:val="0"/>
        <w:spacing w:line="360" w:lineRule="auto"/>
        <w:ind w:firstLine="488" w:firstLineChars="200"/>
        <w:jc w:val="left"/>
        <w:rPr>
          <w:spacing w:val="2"/>
          <w:sz w:val="24"/>
        </w:rPr>
      </w:pPr>
      <w:r>
        <w:rPr>
          <w:spacing w:val="2"/>
          <w:sz w:val="24"/>
        </w:rPr>
        <w:t>（4）根据该工程环境保护情况的调查，从技术上论证是否满足环境保护竣工验收条件。</w:t>
      </w:r>
    </w:p>
    <w:p>
      <w:pPr>
        <w:pStyle w:val="10"/>
        <w:spacing w:line="360" w:lineRule="auto"/>
        <w:rPr>
          <w:rFonts w:ascii="Times New Roman" w:hAnsi="Times New Roman"/>
          <w:szCs w:val="30"/>
        </w:rPr>
      </w:pPr>
      <w:bookmarkStart w:id="68" w:name="_Toc407153431"/>
      <w:bookmarkStart w:id="69" w:name="_Toc407217297"/>
      <w:bookmarkStart w:id="70" w:name="_Toc420663618"/>
      <w:bookmarkStart w:id="71" w:name="_Toc406504145"/>
      <w:r>
        <w:rPr>
          <w:rFonts w:ascii="Times New Roman" w:hAnsi="Times New Roman"/>
          <w:szCs w:val="30"/>
        </w:rPr>
        <w:t>1.2.2 调查原则</w:t>
      </w:r>
      <w:bookmarkEnd w:id="68"/>
      <w:bookmarkEnd w:id="69"/>
      <w:bookmarkEnd w:id="70"/>
      <w:bookmarkEnd w:id="71"/>
    </w:p>
    <w:p>
      <w:pPr>
        <w:autoSpaceDE w:val="0"/>
        <w:autoSpaceDN w:val="0"/>
        <w:spacing w:line="360" w:lineRule="auto"/>
        <w:ind w:firstLine="488" w:firstLineChars="200"/>
        <w:jc w:val="left"/>
        <w:rPr>
          <w:spacing w:val="2"/>
          <w:sz w:val="24"/>
        </w:rPr>
      </w:pPr>
      <w:r>
        <w:rPr>
          <w:spacing w:val="2"/>
          <w:sz w:val="24"/>
        </w:rPr>
        <w:t>（1）认真贯彻国家和地方的环境保护法律、法规及规定；</w:t>
      </w:r>
    </w:p>
    <w:p>
      <w:pPr>
        <w:autoSpaceDE w:val="0"/>
        <w:autoSpaceDN w:val="0"/>
        <w:spacing w:line="360" w:lineRule="auto"/>
        <w:ind w:firstLine="488" w:firstLineChars="200"/>
        <w:jc w:val="left"/>
        <w:rPr>
          <w:spacing w:val="2"/>
          <w:sz w:val="24"/>
        </w:rPr>
      </w:pPr>
      <w:r>
        <w:rPr>
          <w:spacing w:val="2"/>
          <w:sz w:val="24"/>
        </w:rPr>
        <w:t>（2）</w:t>
      </w:r>
      <w:r>
        <w:rPr>
          <w:kern w:val="0"/>
          <w:sz w:val="24"/>
        </w:rPr>
        <w:t>充分利用已有资料，并与现场勘察、现场调研、现状监测相结合，</w:t>
      </w:r>
      <w:r>
        <w:rPr>
          <w:spacing w:val="2"/>
          <w:sz w:val="24"/>
        </w:rPr>
        <w:t>坚持污染防治与生态环境并重的原则；</w:t>
      </w:r>
    </w:p>
    <w:p>
      <w:pPr>
        <w:autoSpaceDE w:val="0"/>
        <w:autoSpaceDN w:val="0"/>
        <w:spacing w:line="360" w:lineRule="auto"/>
        <w:ind w:firstLine="488" w:firstLineChars="200"/>
        <w:jc w:val="left"/>
        <w:rPr>
          <w:spacing w:val="2"/>
          <w:sz w:val="24"/>
        </w:rPr>
      </w:pPr>
      <w:r>
        <w:rPr>
          <w:spacing w:val="2"/>
          <w:sz w:val="24"/>
        </w:rPr>
        <w:t>（3）坚持客观、公正、科学、实用的原则；</w:t>
      </w:r>
    </w:p>
    <w:p>
      <w:pPr>
        <w:autoSpaceDE w:val="0"/>
        <w:autoSpaceDN w:val="0"/>
        <w:spacing w:line="360" w:lineRule="auto"/>
        <w:ind w:firstLine="488" w:firstLineChars="200"/>
        <w:jc w:val="left"/>
        <w:rPr>
          <w:spacing w:val="2"/>
          <w:sz w:val="24"/>
        </w:rPr>
      </w:pPr>
      <w:r>
        <w:rPr>
          <w:spacing w:val="2"/>
          <w:sz w:val="24"/>
        </w:rPr>
        <w:t>（4）坚持现场监测、实地调查与理论分析相结合的原则；</w:t>
      </w:r>
    </w:p>
    <w:p>
      <w:pPr>
        <w:autoSpaceDE w:val="0"/>
        <w:autoSpaceDN w:val="0"/>
        <w:spacing w:line="360" w:lineRule="auto"/>
        <w:ind w:firstLine="488" w:firstLineChars="200"/>
        <w:jc w:val="left"/>
        <w:rPr>
          <w:kern w:val="0"/>
          <w:sz w:val="24"/>
        </w:rPr>
      </w:pPr>
      <w:r>
        <w:rPr>
          <w:spacing w:val="2"/>
          <w:sz w:val="24"/>
        </w:rPr>
        <w:t>（5）坚持对</w:t>
      </w:r>
      <w:r>
        <w:rPr>
          <w:kern w:val="0"/>
          <w:sz w:val="24"/>
        </w:rPr>
        <w:t>工程施工期、运行期全过程调查，根据项目特征，突出重点、兼顾一般。</w:t>
      </w:r>
      <w:bookmarkStart w:id="72" w:name="_Toc173147924"/>
      <w:bookmarkStart w:id="73" w:name="_Toc173284073"/>
    </w:p>
    <w:p>
      <w:pPr>
        <w:pStyle w:val="3"/>
        <w:spacing w:before="0" w:after="0"/>
        <w:rPr>
          <w:rFonts w:ascii="Times New Roman" w:hAnsi="Times New Roman"/>
        </w:rPr>
      </w:pPr>
      <w:bookmarkStart w:id="74" w:name="_Toc322621473"/>
      <w:bookmarkStart w:id="75" w:name="_Toc420663619"/>
      <w:bookmarkStart w:id="76" w:name="_Toc319591156"/>
      <w:bookmarkStart w:id="77" w:name="_Toc319592634"/>
      <w:bookmarkStart w:id="78" w:name="_Toc406504146"/>
      <w:bookmarkStart w:id="79" w:name="_Toc322624627"/>
      <w:bookmarkStart w:id="80" w:name="_Toc322624380"/>
      <w:bookmarkStart w:id="81" w:name="_Toc407153432"/>
      <w:bookmarkStart w:id="82" w:name="_Toc407217298"/>
      <w:bookmarkStart w:id="83" w:name="_Toc470358599"/>
      <w:bookmarkStart w:id="84" w:name="_Toc488578894"/>
      <w:r>
        <w:rPr>
          <w:rFonts w:ascii="Times New Roman" w:hAnsi="Times New Roman"/>
        </w:rPr>
        <w:t>1.3 调查方法</w:t>
      </w:r>
      <w:bookmarkEnd w:id="74"/>
      <w:bookmarkEnd w:id="75"/>
      <w:bookmarkEnd w:id="76"/>
      <w:bookmarkEnd w:id="77"/>
      <w:bookmarkEnd w:id="78"/>
      <w:bookmarkEnd w:id="79"/>
      <w:bookmarkEnd w:id="80"/>
      <w:bookmarkEnd w:id="81"/>
      <w:bookmarkEnd w:id="82"/>
      <w:bookmarkEnd w:id="83"/>
      <w:bookmarkEnd w:id="84"/>
    </w:p>
    <w:p>
      <w:pPr>
        <w:autoSpaceDE w:val="0"/>
        <w:autoSpaceDN w:val="0"/>
        <w:spacing w:line="360" w:lineRule="auto"/>
        <w:ind w:firstLine="360" w:firstLineChars="150"/>
        <w:jc w:val="left"/>
        <w:rPr>
          <w:kern w:val="0"/>
          <w:sz w:val="24"/>
        </w:rPr>
      </w:pPr>
      <w:r>
        <w:rPr>
          <w:kern w:val="0"/>
          <w:sz w:val="24"/>
        </w:rPr>
        <w:t>（1）本次调查的技术方法，按照《建设项目竣工环境保护验收管理办法》（国家环境保护总局令第13号令）和《关于建设项目环境保护设施竣工验收监测管理有关问题的通知》（国家环境保护总局环发[2000]38号文）中的要求执行，并参照《环境影响评价技术导则》规定的方法；</w:t>
      </w:r>
    </w:p>
    <w:p>
      <w:pPr>
        <w:autoSpaceDE w:val="0"/>
        <w:autoSpaceDN w:val="0"/>
        <w:spacing w:line="360" w:lineRule="auto"/>
        <w:ind w:firstLine="360" w:firstLineChars="150"/>
        <w:jc w:val="left"/>
        <w:rPr>
          <w:kern w:val="0"/>
          <w:sz w:val="24"/>
        </w:rPr>
      </w:pPr>
      <w:r>
        <w:rPr>
          <w:kern w:val="0"/>
          <w:sz w:val="24"/>
        </w:rPr>
        <w:t>（2）施工期的环境影响调查以公众意见调查为主，现场调查为辅。主要通过走访、咨询项目区受影响的意见，现场调查本工程施工期造成的环境影响，并核查有关设计施工文件，确定工程建设过程的环境影响和公众意见。</w:t>
      </w:r>
    </w:p>
    <w:p>
      <w:pPr>
        <w:autoSpaceDE w:val="0"/>
        <w:autoSpaceDN w:val="0"/>
        <w:spacing w:line="360" w:lineRule="auto"/>
        <w:ind w:firstLine="360" w:firstLineChars="150"/>
        <w:jc w:val="left"/>
        <w:rPr>
          <w:kern w:val="0"/>
          <w:sz w:val="24"/>
        </w:rPr>
      </w:pPr>
      <w:r>
        <w:rPr>
          <w:kern w:val="0"/>
          <w:sz w:val="24"/>
        </w:rPr>
        <w:t>（3）运营期的环境影响调查以现场勘探和环境监测为主，通过现场调查、监测和查阅施工设计文件来分析该工程造成的环境影响。</w:t>
      </w:r>
    </w:p>
    <w:p>
      <w:pPr>
        <w:autoSpaceDE w:val="0"/>
        <w:autoSpaceDN w:val="0"/>
        <w:spacing w:line="360" w:lineRule="auto"/>
        <w:ind w:firstLine="360" w:firstLineChars="150"/>
        <w:jc w:val="left"/>
        <w:rPr>
          <w:kern w:val="0"/>
          <w:sz w:val="24"/>
        </w:rPr>
      </w:pPr>
      <w:r>
        <w:rPr>
          <w:kern w:val="0"/>
          <w:sz w:val="24"/>
        </w:rPr>
        <w:t>（4）项目环境保护措施落实情况调查采取如下方式：根据环评及其批复内容逐项检查落实执行情况，凡要求有环境保护工程设施的均采取现场调查核实的方法，对未采取或有所调整的环境保护措施及其理由也要进行核实，重点调查工程已采取的生态恢复和污染控制措施，并分析其有效性，对不完善的污染防治措施提出改进意见，并对目前存在的环境问题及潜在的环境影响提出环保补偿措施。</w:t>
      </w:r>
      <w:bookmarkStart w:id="85" w:name="_Toc370112105"/>
      <w:bookmarkStart w:id="86" w:name="_Toc407153433"/>
      <w:bookmarkStart w:id="87" w:name="_Toc420663620"/>
      <w:bookmarkStart w:id="88" w:name="_Toc406504147"/>
      <w:bookmarkStart w:id="89" w:name="_Toc407217299"/>
    </w:p>
    <w:p>
      <w:pPr>
        <w:autoSpaceDE w:val="0"/>
        <w:autoSpaceDN w:val="0"/>
        <w:spacing w:line="360" w:lineRule="auto"/>
        <w:ind w:firstLine="360" w:firstLineChars="150"/>
        <w:jc w:val="left"/>
        <w:rPr>
          <w:kern w:val="0"/>
          <w:sz w:val="24"/>
        </w:rPr>
      </w:pPr>
    </w:p>
    <w:p>
      <w:pPr>
        <w:autoSpaceDE w:val="0"/>
        <w:autoSpaceDN w:val="0"/>
        <w:spacing w:line="360" w:lineRule="auto"/>
        <w:ind w:firstLine="360" w:firstLineChars="150"/>
        <w:jc w:val="left"/>
        <w:rPr>
          <w:kern w:val="0"/>
          <w:sz w:val="24"/>
        </w:rPr>
      </w:pPr>
    </w:p>
    <w:p>
      <w:pPr>
        <w:autoSpaceDE w:val="0"/>
        <w:autoSpaceDN w:val="0"/>
        <w:spacing w:line="360" w:lineRule="auto"/>
        <w:ind w:firstLine="360" w:firstLineChars="150"/>
        <w:jc w:val="left"/>
        <w:rPr>
          <w:kern w:val="0"/>
          <w:sz w:val="24"/>
        </w:rPr>
      </w:pPr>
    </w:p>
    <w:p>
      <w:pPr>
        <w:autoSpaceDE w:val="0"/>
        <w:autoSpaceDN w:val="0"/>
        <w:spacing w:line="360" w:lineRule="auto"/>
        <w:ind w:firstLine="360" w:firstLineChars="150"/>
        <w:jc w:val="left"/>
        <w:rPr>
          <w:kern w:val="0"/>
          <w:sz w:val="24"/>
        </w:rPr>
      </w:pPr>
    </w:p>
    <w:p>
      <w:pPr>
        <w:autoSpaceDE w:val="0"/>
        <w:autoSpaceDN w:val="0"/>
        <w:spacing w:line="360" w:lineRule="auto"/>
        <w:ind w:firstLine="360" w:firstLineChars="150"/>
        <w:jc w:val="left"/>
        <w:rPr>
          <w:kern w:val="0"/>
          <w:sz w:val="24"/>
        </w:rPr>
      </w:pPr>
    </w:p>
    <w:p>
      <w:pPr>
        <w:autoSpaceDE w:val="0"/>
        <w:autoSpaceDN w:val="0"/>
        <w:spacing w:line="360" w:lineRule="auto"/>
        <w:jc w:val="left"/>
      </w:pPr>
      <w:bookmarkStart w:id="90" w:name="_Toc488578895"/>
      <w:bookmarkStart w:id="91" w:name="_Toc470358600"/>
      <w:r>
        <w:rPr>
          <w:rStyle w:val="71"/>
          <w:rFonts w:ascii="Times New Roman" w:hAnsi="Times New Roman"/>
        </w:rPr>
        <w:t>1.4 调查工作程序</w:t>
      </w:r>
      <w:bookmarkEnd w:id="72"/>
      <w:bookmarkEnd w:id="73"/>
      <w:bookmarkEnd w:id="85"/>
      <w:bookmarkEnd w:id="86"/>
      <w:bookmarkEnd w:id="87"/>
      <w:bookmarkEnd w:id="88"/>
      <w:bookmarkEnd w:id="89"/>
      <w:bookmarkEnd w:id="90"/>
      <w:bookmarkEnd w:id="91"/>
    </w:p>
    <w:p>
      <w:pPr>
        <w:autoSpaceDE w:val="0"/>
        <w:autoSpaceDN w:val="0"/>
        <w:adjustRightInd w:val="0"/>
        <w:spacing w:line="360" w:lineRule="auto"/>
        <w:ind w:firstLine="488" w:firstLineChars="200"/>
        <w:jc w:val="left"/>
        <w:rPr>
          <w:spacing w:val="2"/>
          <w:sz w:val="24"/>
        </w:rPr>
      </w:pPr>
      <w:r>
        <w:rPr>
          <w:spacing w:val="2"/>
          <w:sz w:val="24"/>
        </w:rPr>
        <w:drawing>
          <wp:inline distT="0" distB="0" distL="0" distR="0">
            <wp:extent cx="4449445" cy="4406265"/>
            <wp:effectExtent l="19050" t="0" r="8117" b="0"/>
            <wp:docPr id="7" name="图片 7" descr="C:\Users\SEELE\Desktop\QQ截图2016120921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SEELE\Desktop\QQ截图20161209210354.png"/>
                    <pic:cNvPicPr>
                      <a:picLocks noChangeAspect="1" noChangeArrowheads="1"/>
                    </pic:cNvPicPr>
                  </pic:nvPicPr>
                  <pic:blipFill>
                    <a:blip r:embed="rId16"/>
                    <a:srcRect/>
                    <a:stretch>
                      <a:fillRect/>
                    </a:stretch>
                  </pic:blipFill>
                  <pic:spPr>
                    <a:xfrm>
                      <a:off x="0" y="0"/>
                      <a:ext cx="4451499" cy="4408480"/>
                    </a:xfrm>
                    <a:prstGeom prst="rect">
                      <a:avLst/>
                    </a:prstGeom>
                    <a:noFill/>
                    <a:ln w="9525">
                      <a:noFill/>
                      <a:miter lim="800000"/>
                      <a:headEnd/>
                      <a:tailEnd/>
                    </a:ln>
                  </pic:spPr>
                </pic:pic>
              </a:graphicData>
            </a:graphic>
          </wp:inline>
        </w:drawing>
      </w:r>
    </w:p>
    <w:p>
      <w:pPr>
        <w:pStyle w:val="77"/>
      </w:pPr>
      <w:bookmarkStart w:id="92" w:name="_Toc470358601"/>
      <w:bookmarkStart w:id="93" w:name="_Toc488578896"/>
      <w:bookmarkStart w:id="94" w:name="_Toc370112106"/>
      <w:bookmarkStart w:id="95" w:name="_Toc407153434"/>
      <w:bookmarkStart w:id="96" w:name="_Toc420663621"/>
      <w:bookmarkStart w:id="97" w:name="_Toc407217300"/>
      <w:bookmarkStart w:id="98" w:name="_Toc406504148"/>
      <w:r>
        <w:t>1.5验收对象</w:t>
      </w:r>
      <w:bookmarkEnd w:id="92"/>
      <w:bookmarkEnd w:id="93"/>
    </w:p>
    <w:p>
      <w:pPr>
        <w:spacing w:line="360" w:lineRule="auto"/>
        <w:ind w:firstLine="573"/>
        <w:rPr>
          <w:spacing w:val="2"/>
          <w:sz w:val="24"/>
        </w:rPr>
      </w:pPr>
      <w:r>
        <w:rPr>
          <w:spacing w:val="2"/>
          <w:sz w:val="24"/>
        </w:rPr>
        <w:t>验收对象为“灵宝金源晨光有色矿冶有限公司银家沟硫铁矿综合回收扩建工程项目”，包括15万t/a采矿扩建工程及配套设施、新增500t/d选矿生产线及配套设施、依托设施（原有废石场、生活区及运输道路）；现有650t/d选矿生产线、20万t/a采矿工程及银家沟尾矿库环保设施复核。</w:t>
      </w:r>
    </w:p>
    <w:p>
      <w:pPr>
        <w:pStyle w:val="3"/>
        <w:rPr>
          <w:rFonts w:ascii="Times New Roman" w:hAnsi="Times New Roman"/>
        </w:rPr>
      </w:pPr>
      <w:bookmarkStart w:id="99" w:name="_Toc488578897"/>
      <w:bookmarkStart w:id="100" w:name="_Toc470358602"/>
      <w:r>
        <w:rPr>
          <w:rFonts w:ascii="Times New Roman" w:hAnsi="Times New Roman"/>
        </w:rPr>
        <w:t>1.6验收调查的重点</w:t>
      </w:r>
      <w:bookmarkEnd w:id="94"/>
      <w:bookmarkEnd w:id="95"/>
      <w:bookmarkEnd w:id="96"/>
      <w:bookmarkEnd w:id="97"/>
      <w:bookmarkEnd w:id="98"/>
      <w:bookmarkEnd w:id="99"/>
      <w:bookmarkEnd w:id="100"/>
    </w:p>
    <w:p>
      <w:pPr>
        <w:autoSpaceDE w:val="0"/>
        <w:autoSpaceDN w:val="0"/>
        <w:adjustRightInd w:val="0"/>
        <w:spacing w:line="500" w:lineRule="exact"/>
        <w:ind w:firstLine="360" w:firstLineChars="150"/>
        <w:jc w:val="left"/>
        <w:rPr>
          <w:kern w:val="0"/>
          <w:sz w:val="24"/>
        </w:rPr>
      </w:pPr>
      <w:r>
        <w:rPr>
          <w:kern w:val="0"/>
          <w:sz w:val="24"/>
        </w:rPr>
        <w:t>（1） 核查实际工程内容及方案设计变更情况。</w:t>
      </w:r>
    </w:p>
    <w:p>
      <w:pPr>
        <w:autoSpaceDE w:val="0"/>
        <w:autoSpaceDN w:val="0"/>
        <w:adjustRightInd w:val="0"/>
        <w:spacing w:line="500" w:lineRule="exact"/>
        <w:ind w:firstLine="360" w:firstLineChars="150"/>
        <w:jc w:val="left"/>
        <w:rPr>
          <w:kern w:val="0"/>
          <w:sz w:val="24"/>
        </w:rPr>
      </w:pPr>
      <w:r>
        <w:rPr>
          <w:kern w:val="0"/>
          <w:sz w:val="24"/>
        </w:rPr>
        <w:t>（2） 环境敏感目标基本情况及变更情况。</w:t>
      </w:r>
    </w:p>
    <w:p>
      <w:pPr>
        <w:autoSpaceDE w:val="0"/>
        <w:autoSpaceDN w:val="0"/>
        <w:adjustRightInd w:val="0"/>
        <w:spacing w:line="500" w:lineRule="exact"/>
        <w:ind w:firstLine="360" w:firstLineChars="150"/>
        <w:jc w:val="left"/>
        <w:rPr>
          <w:kern w:val="0"/>
          <w:sz w:val="24"/>
        </w:rPr>
      </w:pPr>
      <w:r>
        <w:rPr>
          <w:kern w:val="0"/>
          <w:sz w:val="24"/>
        </w:rPr>
        <w:t>（3） 实际工程内容及方案设计变更造成的环境影响变化情况。</w:t>
      </w:r>
    </w:p>
    <w:p>
      <w:pPr>
        <w:autoSpaceDE w:val="0"/>
        <w:autoSpaceDN w:val="0"/>
        <w:adjustRightInd w:val="0"/>
        <w:spacing w:line="500" w:lineRule="exact"/>
        <w:ind w:firstLine="360" w:firstLineChars="150"/>
        <w:jc w:val="left"/>
        <w:rPr>
          <w:kern w:val="0"/>
          <w:sz w:val="24"/>
        </w:rPr>
      </w:pPr>
      <w:r>
        <w:rPr>
          <w:kern w:val="0"/>
          <w:sz w:val="24"/>
        </w:rPr>
        <w:t>（4） 环境影响评价制度及其他环境保护规章制度执行情况。</w:t>
      </w:r>
    </w:p>
    <w:p>
      <w:pPr>
        <w:autoSpaceDE w:val="0"/>
        <w:autoSpaceDN w:val="0"/>
        <w:adjustRightInd w:val="0"/>
        <w:spacing w:line="500" w:lineRule="exact"/>
        <w:ind w:firstLine="360" w:firstLineChars="150"/>
        <w:jc w:val="left"/>
        <w:rPr>
          <w:kern w:val="0"/>
          <w:sz w:val="24"/>
        </w:rPr>
      </w:pPr>
      <w:r>
        <w:rPr>
          <w:kern w:val="0"/>
          <w:sz w:val="24"/>
        </w:rPr>
        <w:t>（5） 环境影响评价文件及环境影响评价审批文件中提出的主要环境影响。</w:t>
      </w:r>
    </w:p>
    <w:p>
      <w:pPr>
        <w:autoSpaceDE w:val="0"/>
        <w:autoSpaceDN w:val="0"/>
        <w:adjustRightInd w:val="0"/>
        <w:spacing w:line="500" w:lineRule="exact"/>
        <w:ind w:firstLine="360" w:firstLineChars="150"/>
        <w:jc w:val="left"/>
        <w:rPr>
          <w:kern w:val="0"/>
          <w:sz w:val="24"/>
        </w:rPr>
      </w:pPr>
      <w:r>
        <w:rPr>
          <w:kern w:val="0"/>
          <w:sz w:val="24"/>
        </w:rPr>
        <w:t>（6） 环境质量和主要污染因子达标情况。</w:t>
      </w:r>
    </w:p>
    <w:p>
      <w:pPr>
        <w:autoSpaceDE w:val="0"/>
        <w:autoSpaceDN w:val="0"/>
        <w:adjustRightInd w:val="0"/>
        <w:spacing w:line="500" w:lineRule="exact"/>
        <w:ind w:firstLine="360" w:firstLineChars="150"/>
        <w:jc w:val="left"/>
        <w:rPr>
          <w:kern w:val="0"/>
          <w:sz w:val="24"/>
        </w:rPr>
      </w:pPr>
      <w:r>
        <w:rPr>
          <w:kern w:val="0"/>
          <w:sz w:val="24"/>
        </w:rPr>
        <w:t>（7） 环境保护设计文件、环境影响评价文件及环境影响评价审批文件中提出的环境保护措施落实情况及其效果、污染物排放总量控制要求落实情况、环境风险防范与应急措施落实情况及有效性。</w:t>
      </w:r>
    </w:p>
    <w:p>
      <w:pPr>
        <w:autoSpaceDE w:val="0"/>
        <w:autoSpaceDN w:val="0"/>
        <w:adjustRightInd w:val="0"/>
        <w:spacing w:line="500" w:lineRule="exact"/>
        <w:ind w:firstLine="360" w:firstLineChars="150"/>
        <w:jc w:val="left"/>
        <w:rPr>
          <w:kern w:val="0"/>
          <w:sz w:val="24"/>
        </w:rPr>
      </w:pPr>
      <w:r>
        <w:rPr>
          <w:kern w:val="0"/>
          <w:sz w:val="24"/>
        </w:rPr>
        <w:t>（8） 工程施工期和试运行期实际存在的及公众反映强烈的环境问题。</w:t>
      </w:r>
    </w:p>
    <w:p>
      <w:pPr>
        <w:autoSpaceDE w:val="0"/>
        <w:autoSpaceDN w:val="0"/>
        <w:adjustRightInd w:val="0"/>
        <w:spacing w:line="500" w:lineRule="exact"/>
        <w:ind w:firstLine="360" w:firstLineChars="150"/>
        <w:jc w:val="left"/>
        <w:rPr>
          <w:kern w:val="0"/>
          <w:sz w:val="24"/>
        </w:rPr>
      </w:pPr>
      <w:r>
        <w:rPr>
          <w:kern w:val="0"/>
          <w:sz w:val="24"/>
        </w:rPr>
        <w:t>（9） 验证环境影响评价文件对污染因子达标情况的预测结果。</w:t>
      </w:r>
    </w:p>
    <w:p>
      <w:pPr>
        <w:autoSpaceDE w:val="0"/>
        <w:autoSpaceDN w:val="0"/>
        <w:adjustRightInd w:val="0"/>
        <w:spacing w:line="520" w:lineRule="exact"/>
        <w:ind w:firstLine="360" w:firstLineChars="150"/>
        <w:jc w:val="left"/>
        <w:rPr>
          <w:kern w:val="0"/>
          <w:sz w:val="24"/>
        </w:rPr>
      </w:pPr>
      <w:r>
        <w:rPr>
          <w:kern w:val="0"/>
          <w:sz w:val="24"/>
        </w:rPr>
        <w:t>（10）工程环境保护投资情况。</w:t>
      </w:r>
    </w:p>
    <w:p>
      <w:pPr>
        <w:pStyle w:val="3"/>
        <w:rPr>
          <w:rFonts w:ascii="Times New Roman" w:hAnsi="Times New Roman"/>
        </w:rPr>
      </w:pPr>
      <w:bookmarkStart w:id="101" w:name="_Toc173284074"/>
      <w:bookmarkStart w:id="102" w:name="_Toc407217301"/>
      <w:bookmarkStart w:id="103" w:name="_Toc173147925"/>
      <w:bookmarkStart w:id="104" w:name="_Toc407153435"/>
      <w:bookmarkStart w:id="105" w:name="_Toc370112107"/>
      <w:bookmarkStart w:id="106" w:name="_Toc406504149"/>
      <w:bookmarkStart w:id="107" w:name="_Toc420663622"/>
      <w:bookmarkStart w:id="108" w:name="_Toc470358603"/>
      <w:bookmarkStart w:id="109" w:name="_Toc488578898"/>
      <w:r>
        <w:rPr>
          <w:rFonts w:ascii="Times New Roman" w:hAnsi="Times New Roman"/>
        </w:rPr>
        <w:t>1.7 调查范围、因子</w:t>
      </w:r>
      <w:bookmarkEnd w:id="101"/>
      <w:bookmarkEnd w:id="102"/>
      <w:bookmarkEnd w:id="103"/>
      <w:bookmarkEnd w:id="104"/>
      <w:bookmarkEnd w:id="105"/>
      <w:bookmarkEnd w:id="106"/>
      <w:bookmarkEnd w:id="107"/>
      <w:bookmarkEnd w:id="108"/>
      <w:bookmarkEnd w:id="109"/>
    </w:p>
    <w:p>
      <w:pPr>
        <w:autoSpaceDE w:val="0"/>
        <w:autoSpaceDN w:val="0"/>
        <w:spacing w:line="360" w:lineRule="auto"/>
        <w:ind w:firstLine="488" w:firstLineChars="200"/>
        <w:jc w:val="left"/>
        <w:rPr>
          <w:spacing w:val="2"/>
          <w:sz w:val="24"/>
        </w:rPr>
      </w:pPr>
      <w:r>
        <w:rPr>
          <w:spacing w:val="2"/>
          <w:sz w:val="24"/>
        </w:rPr>
        <w:t>根据工程环境影响的范围、工程建设的实际情况及环境保护竣工调查的有关要求，确定各环境要素的调查范围及调查项目。</w:t>
      </w:r>
    </w:p>
    <w:p>
      <w:pPr>
        <w:pStyle w:val="10"/>
        <w:spacing w:line="360" w:lineRule="auto"/>
        <w:rPr>
          <w:rFonts w:ascii="Times New Roman" w:hAnsi="Times New Roman"/>
          <w:bCs/>
        </w:rPr>
      </w:pPr>
      <w:bookmarkStart w:id="110" w:name="_Toc407217302"/>
      <w:bookmarkStart w:id="111" w:name="_Toc406504150"/>
      <w:bookmarkStart w:id="112" w:name="_Toc464290361"/>
      <w:bookmarkStart w:id="113" w:name="_Toc407153436"/>
      <w:bookmarkStart w:id="114" w:name="_Toc420663623"/>
      <w:r>
        <w:rPr>
          <w:rFonts w:ascii="Times New Roman" w:hAnsi="Times New Roman"/>
        </w:rPr>
        <w:t>1.7.1 调查范围</w:t>
      </w:r>
      <w:bookmarkEnd w:id="110"/>
      <w:bookmarkEnd w:id="111"/>
      <w:bookmarkEnd w:id="112"/>
      <w:bookmarkEnd w:id="113"/>
      <w:bookmarkEnd w:id="114"/>
    </w:p>
    <w:p>
      <w:pPr>
        <w:autoSpaceDE w:val="0"/>
        <w:autoSpaceDN w:val="0"/>
        <w:spacing w:line="360" w:lineRule="auto"/>
        <w:ind w:firstLine="488" w:firstLineChars="200"/>
        <w:jc w:val="left"/>
        <w:rPr>
          <w:spacing w:val="2"/>
          <w:sz w:val="24"/>
        </w:rPr>
      </w:pPr>
      <w:r>
        <w:rPr>
          <w:spacing w:val="2"/>
          <w:sz w:val="24"/>
        </w:rPr>
        <w:t>本次竣工验收调查的范围与原环评评价范围一致</w:t>
      </w:r>
      <w:r>
        <w:rPr>
          <w:sz w:val="24"/>
        </w:rPr>
        <w:t>具体验收调查范围见表1.7-1</w:t>
      </w:r>
      <w:r>
        <w:rPr>
          <w:spacing w:val="2"/>
          <w:sz w:val="24"/>
        </w:rPr>
        <w:t>。</w:t>
      </w:r>
    </w:p>
    <w:p>
      <w:pPr>
        <w:adjustRightInd w:val="0"/>
        <w:snapToGrid w:val="0"/>
        <w:spacing w:beforeLines="50"/>
        <w:ind w:firstLine="448" w:firstLineChars="200"/>
        <w:jc w:val="left"/>
        <w:rPr>
          <w:rFonts w:eastAsia="黑体"/>
          <w:bCs/>
          <w:sz w:val="22"/>
          <w:szCs w:val="22"/>
        </w:rPr>
      </w:pPr>
      <w:r>
        <w:rPr>
          <w:rFonts w:eastAsia="黑体"/>
          <w:bCs/>
          <w:spacing w:val="2"/>
          <w:sz w:val="22"/>
          <w:szCs w:val="22"/>
        </w:rPr>
        <w:t>表1.7-1                 验收调查范围一览表</w:t>
      </w:r>
      <w:bookmarkStart w:id="115" w:name="_Toc407217303"/>
      <w:bookmarkStart w:id="116" w:name="_Toc420663624"/>
      <w:bookmarkStart w:id="117" w:name="_Toc407153437"/>
      <w:bookmarkStart w:id="118" w:name="_Toc406504151"/>
    </w:p>
    <w:tbl>
      <w:tblPr>
        <w:tblStyle w:val="54"/>
        <w:tblW w:w="84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283"/>
        <w:gridCol w:w="1189"/>
        <w:gridCol w:w="5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2472" w:type="dxa"/>
            <w:gridSpan w:val="2"/>
            <w:vAlign w:val="center"/>
          </w:tcPr>
          <w:p>
            <w:pPr>
              <w:adjustRightInd w:val="0"/>
              <w:snapToGrid w:val="0"/>
              <w:jc w:val="center"/>
              <w:rPr>
                <w:b/>
                <w:sz w:val="20"/>
                <w:szCs w:val="20"/>
              </w:rPr>
            </w:pPr>
            <w:r>
              <w:rPr>
                <w:b/>
                <w:sz w:val="20"/>
                <w:szCs w:val="20"/>
              </w:rPr>
              <w:t>调查内容</w:t>
            </w:r>
          </w:p>
        </w:tc>
        <w:tc>
          <w:tcPr>
            <w:tcW w:w="5948" w:type="dxa"/>
            <w:vAlign w:val="center"/>
          </w:tcPr>
          <w:p>
            <w:pPr>
              <w:adjustRightInd w:val="0"/>
              <w:snapToGrid w:val="0"/>
              <w:jc w:val="center"/>
              <w:rPr>
                <w:b/>
                <w:sz w:val="20"/>
                <w:szCs w:val="20"/>
              </w:rPr>
            </w:pPr>
            <w:r>
              <w:rPr>
                <w:b/>
                <w:sz w:val="20"/>
                <w:szCs w:val="20"/>
              </w:rP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2472" w:type="dxa"/>
            <w:gridSpan w:val="2"/>
            <w:vAlign w:val="center"/>
          </w:tcPr>
          <w:p>
            <w:pPr>
              <w:pStyle w:val="22"/>
              <w:adjustRightInd w:val="0"/>
              <w:spacing w:line="240" w:lineRule="auto"/>
              <w:ind w:left="0" w:right="0" w:firstLine="0"/>
              <w:jc w:val="center"/>
              <w:rPr>
                <w:sz w:val="20"/>
              </w:rPr>
            </w:pPr>
            <w:r>
              <w:rPr>
                <w:sz w:val="20"/>
              </w:rPr>
              <w:t>工程概况</w:t>
            </w:r>
          </w:p>
        </w:tc>
        <w:tc>
          <w:tcPr>
            <w:tcW w:w="5948" w:type="dxa"/>
            <w:vAlign w:val="center"/>
          </w:tcPr>
          <w:p>
            <w:pPr>
              <w:pStyle w:val="22"/>
              <w:adjustRightInd w:val="0"/>
              <w:spacing w:line="240" w:lineRule="auto"/>
              <w:ind w:left="0" w:right="0" w:firstLine="0"/>
              <w:jc w:val="left"/>
              <w:rPr>
                <w:sz w:val="20"/>
              </w:rPr>
            </w:pPr>
            <w:r>
              <w:rPr>
                <w:sz w:val="20"/>
              </w:rPr>
              <w:t>矿山及选厂的选址、规模、工艺、设备；</w:t>
            </w:r>
          </w:p>
          <w:p>
            <w:pPr>
              <w:pStyle w:val="22"/>
              <w:adjustRightInd w:val="0"/>
              <w:spacing w:line="240" w:lineRule="auto"/>
              <w:ind w:left="0" w:right="0" w:firstLine="0"/>
              <w:jc w:val="left"/>
              <w:rPr>
                <w:sz w:val="20"/>
              </w:rPr>
            </w:pPr>
            <w:r>
              <w:rPr>
                <w:sz w:val="20"/>
              </w:rPr>
              <w:t>尾矿库选址、库容、堆存工艺、服务年限。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restart"/>
            <w:vAlign w:val="center"/>
          </w:tcPr>
          <w:p>
            <w:pPr>
              <w:adjustRightInd w:val="0"/>
              <w:snapToGrid w:val="0"/>
              <w:jc w:val="center"/>
              <w:rPr>
                <w:sz w:val="20"/>
                <w:szCs w:val="20"/>
              </w:rPr>
            </w:pPr>
            <w:r>
              <w:rPr>
                <w:sz w:val="20"/>
                <w:szCs w:val="20"/>
              </w:rPr>
              <w:t>生态环境</w:t>
            </w:r>
          </w:p>
        </w:tc>
        <w:tc>
          <w:tcPr>
            <w:tcW w:w="1189" w:type="dxa"/>
            <w:vAlign w:val="center"/>
          </w:tcPr>
          <w:p>
            <w:pPr>
              <w:adjustRightInd w:val="0"/>
              <w:snapToGrid w:val="0"/>
              <w:jc w:val="center"/>
              <w:rPr>
                <w:sz w:val="20"/>
                <w:szCs w:val="20"/>
              </w:rPr>
            </w:pPr>
            <w:r>
              <w:rPr>
                <w:sz w:val="20"/>
                <w:szCs w:val="20"/>
              </w:rPr>
              <w:t>现状调查</w:t>
            </w:r>
          </w:p>
        </w:tc>
        <w:tc>
          <w:tcPr>
            <w:tcW w:w="5948" w:type="dxa"/>
            <w:vMerge w:val="restart"/>
            <w:vAlign w:val="center"/>
          </w:tcPr>
          <w:p>
            <w:pPr>
              <w:adjustRightInd w:val="0"/>
              <w:snapToGrid w:val="0"/>
              <w:jc w:val="left"/>
              <w:rPr>
                <w:sz w:val="20"/>
                <w:szCs w:val="20"/>
              </w:rPr>
            </w:pPr>
            <w:r>
              <w:rPr>
                <w:sz w:val="20"/>
                <w:szCs w:val="20"/>
              </w:rPr>
              <w:t>生态评价范围的以项目所在的银家沟两侧山脊线为界，圈定面积约为3.1km</w:t>
            </w:r>
            <w:r>
              <w:rPr>
                <w:sz w:val="20"/>
                <w:szCs w:val="20"/>
                <w:vertAlign w:val="superscript"/>
              </w:rPr>
              <w:t>2</w:t>
            </w: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continue"/>
            <w:vAlign w:val="center"/>
          </w:tcPr>
          <w:p>
            <w:pPr>
              <w:pStyle w:val="22"/>
              <w:snapToGrid/>
              <w:spacing w:line="240" w:lineRule="auto"/>
              <w:ind w:left="0" w:right="0" w:firstLine="0"/>
              <w:jc w:val="center"/>
              <w:rPr>
                <w:sz w:val="20"/>
              </w:rPr>
            </w:pPr>
          </w:p>
        </w:tc>
        <w:tc>
          <w:tcPr>
            <w:tcW w:w="1189" w:type="dxa"/>
            <w:vAlign w:val="center"/>
          </w:tcPr>
          <w:p>
            <w:pPr>
              <w:pStyle w:val="22"/>
              <w:snapToGrid/>
              <w:spacing w:line="240" w:lineRule="auto"/>
              <w:ind w:left="0" w:right="0" w:firstLine="0"/>
              <w:jc w:val="center"/>
              <w:rPr>
                <w:sz w:val="20"/>
              </w:rPr>
            </w:pPr>
            <w:r>
              <w:rPr>
                <w:sz w:val="20"/>
              </w:rPr>
              <w:t>影响调查</w:t>
            </w:r>
          </w:p>
        </w:tc>
        <w:tc>
          <w:tcPr>
            <w:tcW w:w="5948" w:type="dxa"/>
            <w:vMerge w:val="continue"/>
            <w:vAlign w:val="center"/>
          </w:tcPr>
          <w:p>
            <w:pPr>
              <w:pStyle w:val="22"/>
              <w:snapToGrid/>
              <w:spacing w:line="240" w:lineRule="auto"/>
              <w:ind w:left="0" w:right="0" w:firstLine="0"/>
              <w:jc w:val="left"/>
              <w:rPr>
                <w:sz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restart"/>
            <w:vAlign w:val="center"/>
          </w:tcPr>
          <w:p>
            <w:pPr>
              <w:jc w:val="center"/>
              <w:rPr>
                <w:sz w:val="20"/>
                <w:szCs w:val="20"/>
              </w:rPr>
            </w:pPr>
            <w:r>
              <w:rPr>
                <w:sz w:val="20"/>
                <w:szCs w:val="20"/>
              </w:rPr>
              <w:t>环境空气</w:t>
            </w:r>
          </w:p>
        </w:tc>
        <w:tc>
          <w:tcPr>
            <w:tcW w:w="1189" w:type="dxa"/>
            <w:vAlign w:val="center"/>
          </w:tcPr>
          <w:p>
            <w:pPr>
              <w:jc w:val="center"/>
              <w:rPr>
                <w:sz w:val="20"/>
                <w:szCs w:val="20"/>
              </w:rPr>
            </w:pPr>
            <w:r>
              <w:rPr>
                <w:sz w:val="20"/>
                <w:szCs w:val="20"/>
              </w:rPr>
              <w:t>现状调查</w:t>
            </w:r>
          </w:p>
        </w:tc>
        <w:tc>
          <w:tcPr>
            <w:tcW w:w="5948" w:type="dxa"/>
            <w:vMerge w:val="restart"/>
            <w:vAlign w:val="center"/>
          </w:tcPr>
          <w:p>
            <w:pPr>
              <w:pStyle w:val="22"/>
              <w:snapToGrid/>
              <w:spacing w:line="240" w:lineRule="auto"/>
              <w:ind w:left="0" w:right="0" w:firstLine="0"/>
              <w:jc w:val="left"/>
              <w:rPr>
                <w:sz w:val="20"/>
              </w:rPr>
            </w:pPr>
            <w:r>
              <w:rPr>
                <w:sz w:val="20"/>
              </w:rPr>
              <w:t>选矿厂、尾矿库周围扩边2.0km以及道路沿线200m内敏感点，评价范围24km</w:t>
            </w:r>
            <w:r>
              <w:rPr>
                <w:sz w:val="20"/>
                <w:vertAlign w:val="superscript"/>
              </w:rPr>
              <w:t>2</w:t>
            </w:r>
            <w:r>
              <w:rPr>
                <w:sz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continue"/>
            <w:vAlign w:val="center"/>
          </w:tcPr>
          <w:p>
            <w:pPr>
              <w:pStyle w:val="22"/>
              <w:snapToGrid/>
              <w:spacing w:line="240" w:lineRule="auto"/>
              <w:ind w:left="0" w:right="0" w:firstLine="0"/>
              <w:jc w:val="center"/>
              <w:rPr>
                <w:sz w:val="20"/>
              </w:rPr>
            </w:pPr>
          </w:p>
        </w:tc>
        <w:tc>
          <w:tcPr>
            <w:tcW w:w="1189" w:type="dxa"/>
            <w:vAlign w:val="center"/>
          </w:tcPr>
          <w:p>
            <w:pPr>
              <w:pStyle w:val="22"/>
              <w:snapToGrid/>
              <w:spacing w:line="240" w:lineRule="auto"/>
              <w:ind w:left="0" w:right="0" w:firstLine="0"/>
              <w:jc w:val="center"/>
              <w:rPr>
                <w:sz w:val="20"/>
              </w:rPr>
            </w:pPr>
            <w:r>
              <w:rPr>
                <w:sz w:val="20"/>
              </w:rPr>
              <w:t>现状监测</w:t>
            </w:r>
          </w:p>
        </w:tc>
        <w:tc>
          <w:tcPr>
            <w:tcW w:w="5948" w:type="dxa"/>
            <w:vMerge w:val="continue"/>
            <w:vAlign w:val="center"/>
          </w:tcPr>
          <w:p>
            <w:pPr>
              <w:pStyle w:val="22"/>
              <w:snapToGrid/>
              <w:spacing w:line="240" w:lineRule="auto"/>
              <w:ind w:left="0" w:right="0" w:firstLine="0"/>
              <w:jc w:val="left"/>
              <w:rPr>
                <w:sz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continue"/>
            <w:vAlign w:val="center"/>
          </w:tcPr>
          <w:p>
            <w:pPr>
              <w:pStyle w:val="22"/>
              <w:snapToGrid/>
              <w:spacing w:line="240" w:lineRule="auto"/>
              <w:ind w:left="0" w:right="0" w:firstLine="0"/>
              <w:jc w:val="center"/>
              <w:rPr>
                <w:sz w:val="20"/>
              </w:rPr>
            </w:pPr>
          </w:p>
        </w:tc>
        <w:tc>
          <w:tcPr>
            <w:tcW w:w="1189" w:type="dxa"/>
            <w:vAlign w:val="center"/>
          </w:tcPr>
          <w:p>
            <w:pPr>
              <w:pStyle w:val="22"/>
              <w:snapToGrid/>
              <w:spacing w:line="240" w:lineRule="auto"/>
              <w:ind w:left="0" w:right="0" w:firstLine="0"/>
              <w:jc w:val="center"/>
              <w:rPr>
                <w:sz w:val="20"/>
              </w:rPr>
            </w:pPr>
            <w:r>
              <w:rPr>
                <w:sz w:val="20"/>
              </w:rPr>
              <w:t>影响调查</w:t>
            </w:r>
          </w:p>
        </w:tc>
        <w:tc>
          <w:tcPr>
            <w:tcW w:w="5948" w:type="dxa"/>
            <w:vMerge w:val="continue"/>
            <w:vAlign w:val="center"/>
          </w:tcPr>
          <w:p>
            <w:pPr>
              <w:pStyle w:val="22"/>
              <w:snapToGrid/>
              <w:spacing w:line="240" w:lineRule="auto"/>
              <w:ind w:left="0" w:right="0" w:firstLine="0"/>
              <w:jc w:val="left"/>
              <w:rPr>
                <w:sz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restart"/>
            <w:vAlign w:val="center"/>
          </w:tcPr>
          <w:p>
            <w:pPr>
              <w:jc w:val="center"/>
              <w:rPr>
                <w:sz w:val="20"/>
                <w:szCs w:val="20"/>
              </w:rPr>
            </w:pPr>
            <w:r>
              <w:rPr>
                <w:sz w:val="20"/>
                <w:szCs w:val="20"/>
              </w:rPr>
              <w:t>地表水</w:t>
            </w:r>
          </w:p>
        </w:tc>
        <w:tc>
          <w:tcPr>
            <w:tcW w:w="1189" w:type="dxa"/>
            <w:vAlign w:val="center"/>
          </w:tcPr>
          <w:p>
            <w:pPr>
              <w:jc w:val="center"/>
              <w:rPr>
                <w:sz w:val="20"/>
                <w:szCs w:val="20"/>
              </w:rPr>
            </w:pPr>
            <w:r>
              <w:rPr>
                <w:sz w:val="20"/>
                <w:szCs w:val="20"/>
              </w:rPr>
              <w:t>现状调查</w:t>
            </w:r>
          </w:p>
        </w:tc>
        <w:tc>
          <w:tcPr>
            <w:tcW w:w="5948" w:type="dxa"/>
            <w:vMerge w:val="restart"/>
            <w:vAlign w:val="center"/>
          </w:tcPr>
          <w:p>
            <w:pPr>
              <w:jc w:val="left"/>
              <w:rPr>
                <w:sz w:val="20"/>
                <w:szCs w:val="20"/>
              </w:rPr>
            </w:pPr>
            <w:r>
              <w:rPr>
                <w:sz w:val="20"/>
                <w:szCs w:val="20"/>
              </w:rPr>
              <w:t>沟口河上游200m至干沟入麻家河下游500m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92" w:hRule="atLeast"/>
        </w:trPr>
        <w:tc>
          <w:tcPr>
            <w:tcW w:w="1283" w:type="dxa"/>
            <w:vMerge w:val="continue"/>
            <w:vAlign w:val="center"/>
          </w:tcPr>
          <w:p>
            <w:pPr>
              <w:pStyle w:val="22"/>
              <w:snapToGrid/>
              <w:spacing w:line="240" w:lineRule="auto"/>
              <w:ind w:left="0" w:right="0" w:firstLine="0"/>
              <w:jc w:val="center"/>
              <w:rPr>
                <w:sz w:val="20"/>
              </w:rPr>
            </w:pPr>
          </w:p>
        </w:tc>
        <w:tc>
          <w:tcPr>
            <w:tcW w:w="1189" w:type="dxa"/>
            <w:vAlign w:val="center"/>
          </w:tcPr>
          <w:p>
            <w:pPr>
              <w:pStyle w:val="22"/>
              <w:snapToGrid/>
              <w:spacing w:line="240" w:lineRule="auto"/>
              <w:ind w:left="0" w:right="0" w:firstLine="0"/>
              <w:jc w:val="center"/>
              <w:rPr>
                <w:sz w:val="20"/>
              </w:rPr>
            </w:pPr>
            <w:r>
              <w:rPr>
                <w:sz w:val="20"/>
              </w:rPr>
              <w:t>现状监测</w:t>
            </w:r>
          </w:p>
        </w:tc>
        <w:tc>
          <w:tcPr>
            <w:tcW w:w="5948" w:type="dxa"/>
            <w:vMerge w:val="continue"/>
            <w:vAlign w:val="center"/>
          </w:tcPr>
          <w:p>
            <w:pPr>
              <w:pStyle w:val="22"/>
              <w:snapToGrid/>
              <w:spacing w:line="240" w:lineRule="auto"/>
              <w:ind w:left="0" w:right="0" w:firstLine="0"/>
              <w:jc w:val="left"/>
              <w:rPr>
                <w:sz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continue"/>
            <w:vAlign w:val="center"/>
          </w:tcPr>
          <w:p>
            <w:pPr>
              <w:pStyle w:val="22"/>
              <w:snapToGrid/>
              <w:spacing w:line="240" w:lineRule="auto"/>
              <w:ind w:left="0" w:right="0" w:firstLine="0"/>
              <w:jc w:val="center"/>
              <w:rPr>
                <w:sz w:val="20"/>
              </w:rPr>
            </w:pPr>
          </w:p>
        </w:tc>
        <w:tc>
          <w:tcPr>
            <w:tcW w:w="1189" w:type="dxa"/>
            <w:vAlign w:val="center"/>
          </w:tcPr>
          <w:p>
            <w:pPr>
              <w:pStyle w:val="22"/>
              <w:snapToGrid/>
              <w:spacing w:line="240" w:lineRule="auto"/>
              <w:ind w:left="0" w:right="0" w:firstLine="0"/>
              <w:jc w:val="center"/>
              <w:rPr>
                <w:sz w:val="20"/>
              </w:rPr>
            </w:pPr>
            <w:r>
              <w:rPr>
                <w:sz w:val="20"/>
              </w:rPr>
              <w:t>影响调查</w:t>
            </w:r>
          </w:p>
        </w:tc>
        <w:tc>
          <w:tcPr>
            <w:tcW w:w="5948" w:type="dxa"/>
            <w:vAlign w:val="center"/>
          </w:tcPr>
          <w:p>
            <w:pPr>
              <w:jc w:val="left"/>
              <w:rPr>
                <w:sz w:val="20"/>
                <w:szCs w:val="20"/>
              </w:rPr>
            </w:pPr>
            <w:r>
              <w:rPr>
                <w:sz w:val="20"/>
                <w:szCs w:val="20"/>
              </w:rPr>
              <w:t>项目矿井涌水排放对麻家河水质影响情况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restart"/>
            <w:vAlign w:val="center"/>
          </w:tcPr>
          <w:p>
            <w:pPr>
              <w:pStyle w:val="22"/>
              <w:snapToGrid/>
              <w:spacing w:line="240" w:lineRule="auto"/>
              <w:ind w:left="0" w:right="0" w:firstLine="0"/>
              <w:jc w:val="center"/>
              <w:rPr>
                <w:sz w:val="20"/>
              </w:rPr>
            </w:pPr>
            <w:r>
              <w:rPr>
                <w:sz w:val="20"/>
              </w:rPr>
              <w:t>地下水</w:t>
            </w:r>
          </w:p>
        </w:tc>
        <w:tc>
          <w:tcPr>
            <w:tcW w:w="1189" w:type="dxa"/>
            <w:vAlign w:val="center"/>
          </w:tcPr>
          <w:p>
            <w:pPr>
              <w:jc w:val="center"/>
              <w:rPr>
                <w:sz w:val="20"/>
                <w:szCs w:val="20"/>
              </w:rPr>
            </w:pPr>
            <w:r>
              <w:rPr>
                <w:sz w:val="20"/>
                <w:szCs w:val="20"/>
              </w:rPr>
              <w:t>现状调查</w:t>
            </w:r>
          </w:p>
        </w:tc>
        <w:tc>
          <w:tcPr>
            <w:tcW w:w="5948" w:type="dxa"/>
            <w:vMerge w:val="restart"/>
            <w:vAlign w:val="center"/>
          </w:tcPr>
          <w:p>
            <w:pPr>
              <w:pStyle w:val="22"/>
              <w:snapToGrid/>
              <w:spacing w:line="240" w:lineRule="auto"/>
              <w:ind w:left="0" w:right="0" w:firstLine="0"/>
              <w:jc w:val="left"/>
              <w:rPr>
                <w:sz w:val="20"/>
              </w:rPr>
            </w:pPr>
            <w:r>
              <w:rPr>
                <w:sz w:val="20"/>
              </w:rPr>
              <w:t>采区内地下涌水及周边村庄饮用水井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continue"/>
            <w:vAlign w:val="center"/>
          </w:tcPr>
          <w:p>
            <w:pPr>
              <w:pStyle w:val="22"/>
              <w:snapToGrid/>
              <w:spacing w:line="240" w:lineRule="auto"/>
              <w:ind w:left="0" w:right="0" w:firstLine="0"/>
              <w:jc w:val="center"/>
              <w:rPr>
                <w:sz w:val="20"/>
              </w:rPr>
            </w:pPr>
          </w:p>
        </w:tc>
        <w:tc>
          <w:tcPr>
            <w:tcW w:w="1189" w:type="dxa"/>
            <w:vAlign w:val="center"/>
          </w:tcPr>
          <w:p>
            <w:pPr>
              <w:pStyle w:val="22"/>
              <w:snapToGrid/>
              <w:spacing w:line="240" w:lineRule="auto"/>
              <w:ind w:left="0" w:right="0" w:firstLine="0"/>
              <w:jc w:val="center"/>
              <w:rPr>
                <w:sz w:val="20"/>
              </w:rPr>
            </w:pPr>
            <w:r>
              <w:rPr>
                <w:sz w:val="20"/>
              </w:rPr>
              <w:t>现状监测</w:t>
            </w:r>
          </w:p>
        </w:tc>
        <w:tc>
          <w:tcPr>
            <w:tcW w:w="5948" w:type="dxa"/>
            <w:vMerge w:val="continue"/>
            <w:vAlign w:val="center"/>
          </w:tcPr>
          <w:p>
            <w:pPr>
              <w:pStyle w:val="22"/>
              <w:snapToGrid/>
              <w:spacing w:line="240" w:lineRule="auto"/>
              <w:ind w:left="0" w:right="0" w:firstLine="0"/>
              <w:jc w:val="left"/>
              <w:rPr>
                <w:sz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continue"/>
            <w:vAlign w:val="center"/>
          </w:tcPr>
          <w:p>
            <w:pPr>
              <w:pStyle w:val="22"/>
              <w:snapToGrid/>
              <w:spacing w:line="240" w:lineRule="auto"/>
              <w:ind w:left="0" w:right="0" w:firstLine="0"/>
              <w:jc w:val="center"/>
              <w:rPr>
                <w:sz w:val="20"/>
              </w:rPr>
            </w:pPr>
          </w:p>
        </w:tc>
        <w:tc>
          <w:tcPr>
            <w:tcW w:w="1189" w:type="dxa"/>
            <w:vAlign w:val="center"/>
          </w:tcPr>
          <w:p>
            <w:pPr>
              <w:pStyle w:val="22"/>
              <w:snapToGrid/>
              <w:spacing w:line="240" w:lineRule="auto"/>
              <w:ind w:left="0" w:right="0" w:firstLine="0"/>
              <w:jc w:val="center"/>
              <w:rPr>
                <w:sz w:val="20"/>
              </w:rPr>
            </w:pPr>
            <w:r>
              <w:rPr>
                <w:sz w:val="20"/>
              </w:rPr>
              <w:t>影响调查</w:t>
            </w:r>
          </w:p>
        </w:tc>
        <w:tc>
          <w:tcPr>
            <w:tcW w:w="5948" w:type="dxa"/>
            <w:vAlign w:val="center"/>
          </w:tcPr>
          <w:p>
            <w:pPr>
              <w:pStyle w:val="22"/>
              <w:snapToGrid/>
              <w:spacing w:line="240" w:lineRule="auto"/>
              <w:ind w:left="0" w:right="0" w:firstLine="0"/>
              <w:jc w:val="left"/>
              <w:rPr>
                <w:sz w:val="20"/>
              </w:rPr>
            </w:pPr>
            <w:r>
              <w:rPr>
                <w:sz w:val="20"/>
              </w:rPr>
              <w:t>矿区及周边附近地下水水质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restart"/>
            <w:vAlign w:val="center"/>
          </w:tcPr>
          <w:p>
            <w:pPr>
              <w:adjustRightInd w:val="0"/>
              <w:snapToGrid w:val="0"/>
              <w:jc w:val="center"/>
              <w:rPr>
                <w:sz w:val="20"/>
                <w:szCs w:val="20"/>
              </w:rPr>
            </w:pPr>
            <w:r>
              <w:rPr>
                <w:sz w:val="20"/>
                <w:szCs w:val="20"/>
              </w:rPr>
              <w:t>声环境</w:t>
            </w:r>
          </w:p>
        </w:tc>
        <w:tc>
          <w:tcPr>
            <w:tcW w:w="1189" w:type="dxa"/>
            <w:vAlign w:val="center"/>
          </w:tcPr>
          <w:p>
            <w:pPr>
              <w:adjustRightInd w:val="0"/>
              <w:snapToGrid w:val="0"/>
              <w:jc w:val="center"/>
              <w:rPr>
                <w:sz w:val="20"/>
                <w:szCs w:val="20"/>
              </w:rPr>
            </w:pPr>
            <w:r>
              <w:rPr>
                <w:sz w:val="20"/>
                <w:szCs w:val="20"/>
              </w:rPr>
              <w:t>现状调查</w:t>
            </w:r>
          </w:p>
        </w:tc>
        <w:tc>
          <w:tcPr>
            <w:tcW w:w="5948" w:type="dxa"/>
            <w:vAlign w:val="center"/>
          </w:tcPr>
          <w:p>
            <w:pPr>
              <w:adjustRightInd w:val="0"/>
              <w:snapToGrid w:val="0"/>
              <w:jc w:val="left"/>
              <w:rPr>
                <w:sz w:val="20"/>
                <w:szCs w:val="20"/>
              </w:rPr>
            </w:pPr>
            <w:r>
              <w:rPr>
                <w:sz w:val="20"/>
                <w:szCs w:val="20"/>
              </w:rPr>
              <w:t>厂界噪声及运输道路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continue"/>
            <w:vAlign w:val="center"/>
          </w:tcPr>
          <w:p>
            <w:pPr>
              <w:adjustRightInd w:val="0"/>
              <w:snapToGrid w:val="0"/>
              <w:jc w:val="center"/>
              <w:rPr>
                <w:sz w:val="20"/>
                <w:szCs w:val="20"/>
              </w:rPr>
            </w:pPr>
          </w:p>
        </w:tc>
        <w:tc>
          <w:tcPr>
            <w:tcW w:w="1189" w:type="dxa"/>
            <w:vAlign w:val="center"/>
          </w:tcPr>
          <w:p>
            <w:pPr>
              <w:adjustRightInd w:val="0"/>
              <w:snapToGrid w:val="0"/>
              <w:jc w:val="center"/>
              <w:rPr>
                <w:sz w:val="20"/>
                <w:szCs w:val="20"/>
              </w:rPr>
            </w:pPr>
            <w:r>
              <w:rPr>
                <w:sz w:val="20"/>
                <w:szCs w:val="20"/>
              </w:rPr>
              <w:t>现状监测</w:t>
            </w:r>
          </w:p>
        </w:tc>
        <w:tc>
          <w:tcPr>
            <w:tcW w:w="5948" w:type="dxa"/>
            <w:vMerge w:val="restart"/>
            <w:vAlign w:val="center"/>
          </w:tcPr>
          <w:p>
            <w:pPr>
              <w:pStyle w:val="22"/>
              <w:adjustRightInd w:val="0"/>
              <w:spacing w:line="240" w:lineRule="auto"/>
              <w:ind w:left="0" w:right="0" w:firstLine="0"/>
              <w:jc w:val="left"/>
              <w:rPr>
                <w:sz w:val="20"/>
              </w:rPr>
            </w:pPr>
            <w:r>
              <w:rPr>
                <w:sz w:val="20"/>
              </w:rPr>
              <w:t>采区工业场地及选矿厂界外1m，运矿道路沿线50m范围内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c>
          <w:tcPr>
            <w:tcW w:w="1283" w:type="dxa"/>
            <w:vMerge w:val="continue"/>
            <w:vAlign w:val="center"/>
          </w:tcPr>
          <w:p>
            <w:pPr>
              <w:pStyle w:val="22"/>
              <w:adjustRightInd w:val="0"/>
              <w:spacing w:line="240" w:lineRule="auto"/>
              <w:ind w:left="0" w:right="0" w:firstLine="0"/>
              <w:jc w:val="center"/>
              <w:rPr>
                <w:sz w:val="20"/>
              </w:rPr>
            </w:pPr>
          </w:p>
        </w:tc>
        <w:tc>
          <w:tcPr>
            <w:tcW w:w="1189" w:type="dxa"/>
            <w:vAlign w:val="center"/>
          </w:tcPr>
          <w:p>
            <w:pPr>
              <w:pStyle w:val="22"/>
              <w:adjustRightInd w:val="0"/>
              <w:spacing w:line="240" w:lineRule="auto"/>
              <w:ind w:left="0" w:right="0" w:firstLine="0"/>
              <w:jc w:val="center"/>
              <w:rPr>
                <w:sz w:val="20"/>
              </w:rPr>
            </w:pPr>
            <w:r>
              <w:rPr>
                <w:sz w:val="20"/>
              </w:rPr>
              <w:t>影响调查</w:t>
            </w:r>
          </w:p>
        </w:tc>
        <w:tc>
          <w:tcPr>
            <w:tcW w:w="5948" w:type="dxa"/>
            <w:vMerge w:val="continue"/>
            <w:vAlign w:val="center"/>
          </w:tcPr>
          <w:p>
            <w:pPr>
              <w:pStyle w:val="22"/>
              <w:adjustRightInd w:val="0"/>
              <w:spacing w:line="240" w:lineRule="auto"/>
              <w:ind w:left="0" w:right="0" w:firstLine="0"/>
              <w:jc w:val="left"/>
              <w:rPr>
                <w:sz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654" w:hRule="atLeast"/>
        </w:trPr>
        <w:tc>
          <w:tcPr>
            <w:tcW w:w="1283" w:type="dxa"/>
            <w:vAlign w:val="center"/>
          </w:tcPr>
          <w:p>
            <w:pPr>
              <w:pStyle w:val="22"/>
              <w:adjustRightInd w:val="0"/>
              <w:spacing w:line="240" w:lineRule="auto"/>
              <w:ind w:left="0" w:right="0" w:firstLine="0"/>
              <w:jc w:val="center"/>
              <w:rPr>
                <w:sz w:val="20"/>
              </w:rPr>
            </w:pPr>
            <w:r>
              <w:rPr>
                <w:sz w:val="20"/>
              </w:rPr>
              <w:t>环境风险</w:t>
            </w:r>
          </w:p>
        </w:tc>
        <w:tc>
          <w:tcPr>
            <w:tcW w:w="1189" w:type="dxa"/>
            <w:vAlign w:val="center"/>
          </w:tcPr>
          <w:p>
            <w:pPr>
              <w:pStyle w:val="22"/>
              <w:adjustRightInd w:val="0"/>
              <w:spacing w:line="240" w:lineRule="auto"/>
              <w:ind w:left="0" w:right="0" w:firstLine="0"/>
              <w:jc w:val="center"/>
              <w:rPr>
                <w:sz w:val="20"/>
              </w:rPr>
            </w:pPr>
            <w:r>
              <w:rPr>
                <w:sz w:val="20"/>
              </w:rPr>
              <w:t>固体废弃物</w:t>
            </w:r>
          </w:p>
        </w:tc>
        <w:tc>
          <w:tcPr>
            <w:tcW w:w="5948" w:type="dxa"/>
            <w:vAlign w:val="center"/>
          </w:tcPr>
          <w:p>
            <w:pPr>
              <w:pStyle w:val="22"/>
              <w:adjustRightInd w:val="0"/>
              <w:spacing w:line="240" w:lineRule="auto"/>
              <w:ind w:left="0" w:right="0" w:firstLine="0"/>
              <w:jc w:val="left"/>
              <w:rPr>
                <w:sz w:val="20"/>
              </w:rPr>
            </w:pPr>
            <w:r>
              <w:rPr>
                <w:sz w:val="20"/>
              </w:rPr>
              <w:t>尾矿、废石及生活垃圾的处置方式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109" w:hRule="atLeast"/>
        </w:trPr>
        <w:tc>
          <w:tcPr>
            <w:tcW w:w="2472" w:type="dxa"/>
            <w:gridSpan w:val="2"/>
            <w:vAlign w:val="center"/>
          </w:tcPr>
          <w:p>
            <w:pPr>
              <w:pStyle w:val="22"/>
              <w:adjustRightInd w:val="0"/>
              <w:spacing w:line="240" w:lineRule="auto"/>
              <w:ind w:left="0" w:right="0" w:firstLine="0"/>
              <w:jc w:val="center"/>
              <w:rPr>
                <w:sz w:val="20"/>
              </w:rPr>
            </w:pPr>
            <w:r>
              <w:rPr>
                <w:sz w:val="20"/>
              </w:rPr>
              <w:t>环保设施</w:t>
            </w:r>
          </w:p>
        </w:tc>
        <w:tc>
          <w:tcPr>
            <w:tcW w:w="5948" w:type="dxa"/>
            <w:vAlign w:val="center"/>
          </w:tcPr>
          <w:p>
            <w:pPr>
              <w:pStyle w:val="22"/>
              <w:adjustRightInd w:val="0"/>
              <w:spacing w:line="240" w:lineRule="auto"/>
              <w:ind w:left="0" w:right="0" w:firstLine="0"/>
              <w:jc w:val="left"/>
              <w:rPr>
                <w:sz w:val="20"/>
              </w:rPr>
            </w:pPr>
            <w:r>
              <w:rPr>
                <w:sz w:val="20"/>
              </w:rPr>
              <w:t>环保设施、装置</w:t>
            </w:r>
          </w:p>
        </w:tc>
      </w:tr>
    </w:tbl>
    <w:p>
      <w:pPr>
        <w:pStyle w:val="10"/>
        <w:rPr>
          <w:rFonts w:ascii="Times New Roman" w:hAnsi="Times New Roman" w:eastAsia="黑体"/>
          <w:szCs w:val="24"/>
        </w:rPr>
      </w:pPr>
      <w:r>
        <w:rPr>
          <w:rFonts w:ascii="Times New Roman" w:hAnsi="Times New Roman"/>
        </w:rPr>
        <w:t>1.7.2 调查因子</w:t>
      </w:r>
      <w:bookmarkEnd w:id="115"/>
      <w:bookmarkEnd w:id="116"/>
      <w:bookmarkEnd w:id="117"/>
      <w:bookmarkEnd w:id="118"/>
    </w:p>
    <w:p>
      <w:pPr>
        <w:pStyle w:val="5"/>
        <w:rPr>
          <w:rFonts w:ascii="Times New Roman" w:hAnsi="Times New Roman"/>
        </w:rPr>
      </w:pPr>
      <w:r>
        <w:rPr>
          <w:rFonts w:ascii="Times New Roman" w:hAnsi="Times New Roman"/>
        </w:rPr>
        <w:t>1.7.2.1 生态环境</w:t>
      </w:r>
    </w:p>
    <w:p>
      <w:pPr>
        <w:pStyle w:val="107"/>
        <w:rPr>
          <w:rFonts w:eastAsia="宋体"/>
        </w:rPr>
      </w:pPr>
      <w:r>
        <w:rPr>
          <w:rFonts w:eastAsia="宋体"/>
        </w:rPr>
        <w:t xml:space="preserve">    工程永久性占地对土地利用格局变化及对自然生态环境的影响；废石、尾矿的堆放的占地影响及水土流失情况等。</w:t>
      </w:r>
    </w:p>
    <w:p>
      <w:pPr>
        <w:pStyle w:val="107"/>
      </w:pPr>
      <w:r>
        <w:rPr>
          <w:rFonts w:eastAsia="宋体"/>
        </w:rPr>
        <w:t>土壤：</w:t>
      </w:r>
      <w:r>
        <w:rPr>
          <w:kern w:val="0"/>
        </w:rPr>
        <w:t>pH</w:t>
      </w:r>
      <w:r>
        <w:rPr>
          <w:rFonts w:eastAsia="宋体"/>
          <w:kern w:val="0"/>
        </w:rPr>
        <w:t>、</w:t>
      </w:r>
      <w:r>
        <w:rPr>
          <w:kern w:val="0"/>
        </w:rPr>
        <w:t>Cd</w:t>
      </w:r>
      <w:r>
        <w:rPr>
          <w:rFonts w:eastAsia="宋体"/>
          <w:kern w:val="0"/>
        </w:rPr>
        <w:t>、</w:t>
      </w:r>
      <w:r>
        <w:rPr>
          <w:kern w:val="0"/>
        </w:rPr>
        <w:t>Cr</w:t>
      </w:r>
      <w:r>
        <w:rPr>
          <w:rFonts w:eastAsia="宋体"/>
          <w:kern w:val="0"/>
        </w:rPr>
        <w:t>、</w:t>
      </w:r>
      <w:r>
        <w:rPr>
          <w:kern w:val="0"/>
        </w:rPr>
        <w:t>Hg</w:t>
      </w:r>
      <w:r>
        <w:rPr>
          <w:rFonts w:eastAsia="宋体"/>
          <w:kern w:val="0"/>
        </w:rPr>
        <w:t>、</w:t>
      </w:r>
      <w:r>
        <w:rPr>
          <w:kern w:val="0"/>
        </w:rPr>
        <w:t>As</w:t>
      </w:r>
      <w:r>
        <w:rPr>
          <w:rFonts w:eastAsia="宋体"/>
          <w:kern w:val="0"/>
        </w:rPr>
        <w:t>、</w:t>
      </w:r>
      <w:r>
        <w:rPr>
          <w:kern w:val="0"/>
        </w:rPr>
        <w:t>Cu</w:t>
      </w:r>
      <w:r>
        <w:rPr>
          <w:rFonts w:eastAsia="宋体"/>
          <w:kern w:val="0"/>
        </w:rPr>
        <w:t>、</w:t>
      </w:r>
      <w:r>
        <w:rPr>
          <w:kern w:val="0"/>
        </w:rPr>
        <w:t>Pb</w:t>
      </w:r>
      <w:r>
        <w:rPr>
          <w:rFonts w:eastAsia="宋体"/>
          <w:kern w:val="0"/>
        </w:rPr>
        <w:t>、</w:t>
      </w:r>
      <w:r>
        <w:rPr>
          <w:kern w:val="0"/>
        </w:rPr>
        <w:t>Zn</w:t>
      </w:r>
      <w:r>
        <w:rPr>
          <w:rFonts w:eastAsia="宋体"/>
        </w:rPr>
        <w:t>。</w:t>
      </w:r>
    </w:p>
    <w:p>
      <w:pPr>
        <w:pStyle w:val="5"/>
        <w:rPr>
          <w:rFonts w:ascii="Times New Roman" w:hAnsi="Times New Roman"/>
        </w:rPr>
      </w:pPr>
      <w:r>
        <w:rPr>
          <w:rFonts w:ascii="Times New Roman" w:hAnsi="Times New Roman"/>
        </w:rPr>
        <w:t xml:space="preserve">1.7.2.2 </w:t>
      </w:r>
      <w:r>
        <w:rPr>
          <w:rFonts w:ascii="Times New Roman" w:hAnsi="Times New Roman" w:eastAsia="宋体"/>
        </w:rPr>
        <w:t>水环境</w:t>
      </w:r>
    </w:p>
    <w:p>
      <w:pPr>
        <w:pStyle w:val="107"/>
        <w:rPr>
          <w:spacing w:val="2"/>
        </w:rPr>
      </w:pPr>
      <w:r>
        <w:rPr>
          <w:rFonts w:eastAsia="宋体"/>
          <w:spacing w:val="2"/>
        </w:rPr>
        <w:t xml:space="preserve">    地表水：</w:t>
      </w:r>
      <w:r>
        <w:rPr>
          <w:rFonts w:eastAsia="宋体"/>
          <w:snapToGrid w:val="0"/>
          <w:kern w:val="0"/>
        </w:rPr>
        <w:t>pH、SS、COD</w:t>
      </w:r>
      <w:r>
        <w:rPr>
          <w:rFonts w:eastAsia="宋体"/>
          <w:snapToGrid w:val="0"/>
          <w:kern w:val="0"/>
          <w:vertAlign w:val="subscript"/>
        </w:rPr>
        <w:t>Cr</w:t>
      </w:r>
      <w:r>
        <w:rPr>
          <w:rFonts w:eastAsia="宋体"/>
          <w:snapToGrid w:val="0"/>
          <w:kern w:val="0"/>
        </w:rPr>
        <w:t>、</w:t>
      </w:r>
      <w:r>
        <w:rPr>
          <w:rFonts w:eastAsia="宋体"/>
          <w:spacing w:val="2"/>
        </w:rPr>
        <w:t>BOD</w:t>
      </w:r>
      <w:r>
        <w:rPr>
          <w:rFonts w:eastAsia="宋体"/>
          <w:spacing w:val="2"/>
          <w:vertAlign w:val="subscript"/>
        </w:rPr>
        <w:t>5</w:t>
      </w:r>
      <w:r>
        <w:rPr>
          <w:rFonts w:eastAsia="宋体"/>
          <w:snapToGrid w:val="0"/>
          <w:kern w:val="0"/>
        </w:rPr>
        <w:t>、石油类、硫化物、</w:t>
      </w:r>
      <w:r>
        <w:rPr>
          <w:rFonts w:eastAsia="宋体"/>
          <w:kern w:val="0"/>
        </w:rPr>
        <w:t>氰化物</w:t>
      </w:r>
      <w:r>
        <w:rPr>
          <w:rFonts w:eastAsia="宋体"/>
          <w:snapToGrid w:val="0"/>
          <w:kern w:val="0"/>
        </w:rPr>
        <w:t>、氨氮、</w:t>
      </w:r>
      <w:r>
        <w:rPr>
          <w:rFonts w:eastAsia="宋体"/>
        </w:rPr>
        <w:t>Cr</w:t>
      </w:r>
      <w:r>
        <w:rPr>
          <w:rFonts w:eastAsia="宋体"/>
          <w:vertAlign w:val="superscript"/>
        </w:rPr>
        <w:t>6+</w:t>
      </w:r>
      <w:r>
        <w:rPr>
          <w:rFonts w:eastAsia="宋体"/>
          <w:snapToGrid w:val="0"/>
          <w:kern w:val="0"/>
        </w:rPr>
        <w:t>、As、Fe、Cd、Zn、Pb、Hg、Cu</w:t>
      </w:r>
      <w:r>
        <w:rPr>
          <w:rFonts w:eastAsia="宋体"/>
          <w:spacing w:val="2"/>
        </w:rPr>
        <w:t>等。</w:t>
      </w:r>
    </w:p>
    <w:p>
      <w:pPr>
        <w:pStyle w:val="107"/>
        <w:rPr>
          <w:snapToGrid w:val="0"/>
          <w:kern w:val="0"/>
        </w:rPr>
      </w:pPr>
      <w:r>
        <w:rPr>
          <w:rFonts w:eastAsia="宋体"/>
          <w:spacing w:val="2"/>
        </w:rPr>
        <w:t xml:space="preserve">    矿井涌水： </w:t>
      </w:r>
      <w:r>
        <w:rPr>
          <w:snapToGrid w:val="0"/>
          <w:kern w:val="0"/>
        </w:rPr>
        <w:t>pH、SS、COD</w:t>
      </w:r>
      <w:r>
        <w:rPr>
          <w:snapToGrid w:val="0"/>
          <w:kern w:val="0"/>
          <w:vertAlign w:val="subscript"/>
        </w:rPr>
        <w:t>Cr</w:t>
      </w:r>
      <w:r>
        <w:rPr>
          <w:snapToGrid w:val="0"/>
          <w:kern w:val="0"/>
        </w:rPr>
        <w:t>、</w:t>
      </w:r>
      <w:r>
        <w:rPr>
          <w:spacing w:val="2"/>
        </w:rPr>
        <w:t>BOD</w:t>
      </w:r>
      <w:r>
        <w:rPr>
          <w:spacing w:val="2"/>
          <w:vertAlign w:val="subscript"/>
        </w:rPr>
        <w:t>5</w:t>
      </w:r>
      <w:r>
        <w:rPr>
          <w:snapToGrid w:val="0"/>
          <w:kern w:val="0"/>
        </w:rPr>
        <w:t>、石油类、硫化物、氟化物、氨氮、</w:t>
      </w:r>
      <w:r>
        <w:t>Cr</w:t>
      </w:r>
      <w:r>
        <w:rPr>
          <w:vertAlign w:val="superscript"/>
        </w:rPr>
        <w:t>6+</w:t>
      </w:r>
      <w:r>
        <w:rPr>
          <w:snapToGrid w:val="0"/>
          <w:kern w:val="0"/>
        </w:rPr>
        <w:t>、As、Fe、Cd、Zn、Pb、Hg、Cu</w:t>
      </w:r>
    </w:p>
    <w:p>
      <w:pPr>
        <w:pStyle w:val="107"/>
        <w:rPr>
          <w:spacing w:val="2"/>
        </w:rPr>
      </w:pPr>
      <w:r>
        <w:rPr>
          <w:rFonts w:eastAsia="宋体"/>
          <w:spacing w:val="2"/>
        </w:rPr>
        <w:t xml:space="preserve">   地下水：</w:t>
      </w:r>
      <w:r>
        <w:rPr>
          <w:rFonts w:eastAsia="宋体"/>
        </w:rPr>
        <w:t>pH、氨氮、总硬度、高锰酸盐指数、</w:t>
      </w:r>
      <w:r>
        <w:rPr>
          <w:rFonts w:eastAsia="宋体"/>
          <w:snapToGrid w:val="0"/>
          <w:kern w:val="0"/>
        </w:rPr>
        <w:t>COD</w:t>
      </w:r>
      <w:r>
        <w:rPr>
          <w:rFonts w:eastAsia="宋体"/>
          <w:snapToGrid w:val="0"/>
          <w:kern w:val="0"/>
          <w:vertAlign w:val="subscript"/>
        </w:rPr>
        <w:t>Cr</w:t>
      </w:r>
      <w:r>
        <w:rPr>
          <w:rFonts w:eastAsia="宋体"/>
          <w:snapToGrid w:val="0"/>
          <w:kern w:val="0"/>
        </w:rPr>
        <w:t>、</w:t>
      </w:r>
      <w:r>
        <w:rPr>
          <w:rFonts w:eastAsia="宋体"/>
        </w:rPr>
        <w:t>溶解性总固体、Cr</w:t>
      </w:r>
      <w:r>
        <w:rPr>
          <w:rFonts w:eastAsia="宋体"/>
          <w:vertAlign w:val="superscript"/>
        </w:rPr>
        <w:t>6+</w:t>
      </w:r>
      <w:r>
        <w:rPr>
          <w:rFonts w:eastAsia="宋体"/>
        </w:rPr>
        <w:t>、F</w:t>
      </w:r>
      <w:r>
        <w:rPr>
          <w:rFonts w:eastAsia="宋体"/>
          <w:vertAlign w:val="superscript"/>
        </w:rPr>
        <w:t>-</w:t>
      </w:r>
      <w:r>
        <w:rPr>
          <w:rFonts w:eastAsia="宋体"/>
        </w:rPr>
        <w:t>、</w:t>
      </w:r>
      <w:r>
        <w:rPr>
          <w:rFonts w:eastAsia="宋体"/>
          <w:snapToGrid w:val="0"/>
          <w:kern w:val="0"/>
        </w:rPr>
        <w:t>Fe</w:t>
      </w:r>
      <w:r>
        <w:rPr>
          <w:rFonts w:eastAsia="宋体"/>
        </w:rPr>
        <w:t>、As、Cu、Zn、Cd、Pb、</w:t>
      </w:r>
      <w:r>
        <w:rPr>
          <w:rFonts w:eastAsia="宋体"/>
          <w:snapToGrid w:val="0"/>
          <w:kern w:val="0"/>
        </w:rPr>
        <w:t>Hg、</w:t>
      </w:r>
      <w:r>
        <w:rPr>
          <w:rFonts w:eastAsia="宋体"/>
        </w:rPr>
        <w:t>井深、地下水水位、</w:t>
      </w:r>
      <w:r>
        <w:rPr>
          <w:rFonts w:eastAsia="宋体"/>
          <w:snapToGrid w:val="0"/>
          <w:kern w:val="0"/>
        </w:rPr>
        <w:t>石油类、硫化物、</w:t>
      </w:r>
      <w:r>
        <w:rPr>
          <w:rFonts w:eastAsia="宋体"/>
          <w:kern w:val="0"/>
        </w:rPr>
        <w:t>氰化物</w:t>
      </w:r>
    </w:p>
    <w:p>
      <w:pPr>
        <w:pStyle w:val="5"/>
        <w:rPr>
          <w:rFonts w:ascii="Times New Roman" w:hAnsi="Times New Roman"/>
        </w:rPr>
      </w:pPr>
      <w:r>
        <w:rPr>
          <w:rFonts w:ascii="Times New Roman" w:hAnsi="Times New Roman"/>
        </w:rPr>
        <w:t>1.7.2.3 大气环境</w:t>
      </w:r>
    </w:p>
    <w:p>
      <w:pPr>
        <w:pStyle w:val="107"/>
        <w:rPr>
          <w:rFonts w:eastAsia="宋体"/>
        </w:rPr>
      </w:pPr>
      <w:r>
        <w:rPr>
          <w:rFonts w:eastAsia="宋体"/>
        </w:rPr>
        <w:t xml:space="preserve">    环境空气：</w:t>
      </w:r>
      <w:r>
        <w:t>TSP</w:t>
      </w:r>
      <w:r>
        <w:rPr>
          <w:rFonts w:eastAsia="宋体"/>
        </w:rPr>
        <w:t>、</w:t>
      </w:r>
      <w:r>
        <w:t>PM</w:t>
      </w:r>
      <w:r>
        <w:rPr>
          <w:vertAlign w:val="subscript"/>
        </w:rPr>
        <w:t>10</w:t>
      </w:r>
      <w:r>
        <w:rPr>
          <w:rFonts w:eastAsia="宋体"/>
        </w:rPr>
        <w:t>日均值、</w:t>
      </w:r>
      <w:r>
        <w:t>SO</w:t>
      </w:r>
      <w:r>
        <w:rPr>
          <w:vertAlign w:val="subscript"/>
        </w:rPr>
        <w:t>2</w:t>
      </w:r>
      <w:r>
        <w:rPr>
          <w:rFonts w:eastAsia="宋体"/>
        </w:rPr>
        <w:t>日均值及小时均值、</w:t>
      </w:r>
      <w:r>
        <w:t>NO</w:t>
      </w:r>
      <w:r>
        <w:rPr>
          <w:vertAlign w:val="subscript"/>
        </w:rPr>
        <w:t>2</w:t>
      </w:r>
      <w:r>
        <w:rPr>
          <w:rFonts w:eastAsia="宋体"/>
        </w:rPr>
        <w:t>日均值及小时均值；</w:t>
      </w:r>
    </w:p>
    <w:p>
      <w:pPr>
        <w:pStyle w:val="107"/>
        <w:rPr>
          <w:rFonts w:eastAsia="宋体"/>
        </w:rPr>
      </w:pPr>
      <w:r>
        <w:rPr>
          <w:rFonts w:eastAsia="宋体"/>
        </w:rPr>
        <w:t xml:space="preserve">    尾矿库、废石场、选厂原料堆场、斜井工业场地无组织排放上风向及下风向颗粒物浓度监测。</w:t>
      </w:r>
    </w:p>
    <w:p>
      <w:pPr>
        <w:pStyle w:val="107"/>
      </w:pPr>
      <w:r>
        <w:rPr>
          <w:rFonts w:eastAsia="宋体"/>
        </w:rPr>
        <w:t xml:space="preserve">    破碎、筛分车间排气筒：颗粒物。</w:t>
      </w:r>
    </w:p>
    <w:p>
      <w:pPr>
        <w:pStyle w:val="5"/>
        <w:rPr>
          <w:rFonts w:ascii="Times New Roman" w:hAnsi="Times New Roman"/>
        </w:rPr>
      </w:pPr>
      <w:r>
        <w:rPr>
          <w:rFonts w:ascii="Times New Roman" w:hAnsi="Times New Roman"/>
        </w:rPr>
        <w:t>1.7.2.4 声环境</w:t>
      </w:r>
    </w:p>
    <w:p>
      <w:pPr>
        <w:spacing w:line="360" w:lineRule="auto"/>
        <w:ind w:firstLine="488" w:firstLineChars="200"/>
        <w:rPr>
          <w:spacing w:val="2"/>
          <w:sz w:val="24"/>
        </w:rPr>
      </w:pPr>
      <w:r>
        <w:rPr>
          <w:spacing w:val="2"/>
          <w:sz w:val="24"/>
        </w:rPr>
        <w:t>选厂厂界四周、尾矿库四周、工业场地四周及敏感点声环境：等效连续A声级。</w:t>
      </w:r>
    </w:p>
    <w:p>
      <w:pPr>
        <w:pStyle w:val="3"/>
        <w:spacing w:before="0" w:after="0"/>
        <w:rPr>
          <w:rFonts w:ascii="Times New Roman" w:hAnsi="Times New Roman"/>
        </w:rPr>
      </w:pPr>
      <w:bookmarkStart w:id="119" w:name="_Toc406504152"/>
      <w:bookmarkStart w:id="120" w:name="_Toc407217304"/>
      <w:bookmarkStart w:id="121" w:name="_Toc407153438"/>
      <w:bookmarkStart w:id="122" w:name="_Toc470358604"/>
      <w:bookmarkStart w:id="123" w:name="_Toc488578899"/>
      <w:bookmarkStart w:id="124" w:name="_Toc420663625"/>
      <w:r>
        <w:rPr>
          <w:rFonts w:ascii="Times New Roman" w:hAnsi="Times New Roman"/>
        </w:rPr>
        <w:t>1.8 验收执行标准</w:t>
      </w:r>
      <w:bookmarkEnd w:id="119"/>
      <w:bookmarkEnd w:id="120"/>
      <w:bookmarkEnd w:id="121"/>
      <w:bookmarkEnd w:id="122"/>
      <w:bookmarkEnd w:id="123"/>
      <w:bookmarkEnd w:id="124"/>
    </w:p>
    <w:p>
      <w:pPr>
        <w:pStyle w:val="68"/>
        <w:spacing w:line="360" w:lineRule="auto"/>
        <w:ind w:firstLine="480"/>
        <w:jc w:val="both"/>
        <w:rPr>
          <w:sz w:val="24"/>
          <w:szCs w:val="24"/>
        </w:rPr>
      </w:pPr>
      <w:r>
        <w:rPr>
          <w:sz w:val="24"/>
          <w:szCs w:val="24"/>
        </w:rPr>
        <w:t>依据环评阶段三门峡市环境保护局“关于</w:t>
      </w:r>
      <w:r>
        <w:rPr>
          <w:sz w:val="24"/>
        </w:rPr>
        <w:t>灵宝金源晨光有色矿冶有限公司银家沟硫铁矿综合回收扩建工程项目</w:t>
      </w:r>
      <w:r>
        <w:rPr>
          <w:sz w:val="24"/>
          <w:szCs w:val="24"/>
        </w:rPr>
        <w:t>环境影响评价执行标准的意见”（</w:t>
      </w:r>
      <w:r>
        <w:rPr>
          <w:sz w:val="24"/>
        </w:rPr>
        <w:t xml:space="preserve"> 三环建函〔2012〕71号</w:t>
      </w:r>
      <w:r>
        <w:rPr>
          <w:sz w:val="24"/>
          <w:szCs w:val="24"/>
        </w:rPr>
        <w:t>）（见附件3）并参考现行标准，本次验收工作执行以下标准：</w:t>
      </w:r>
    </w:p>
    <w:p>
      <w:pPr>
        <w:pStyle w:val="10"/>
        <w:spacing w:line="360" w:lineRule="auto"/>
        <w:rPr>
          <w:rFonts w:ascii="Times New Roman" w:hAnsi="Times New Roman"/>
        </w:rPr>
      </w:pPr>
      <w:bookmarkStart w:id="125" w:name="_Toc406504153"/>
      <w:bookmarkStart w:id="126" w:name="_Toc407153439"/>
      <w:bookmarkStart w:id="127" w:name="_Toc407217305"/>
      <w:bookmarkStart w:id="128" w:name="_Toc420663626"/>
      <w:r>
        <w:rPr>
          <w:rFonts w:ascii="Times New Roman" w:hAnsi="Times New Roman"/>
        </w:rPr>
        <w:t>1.8.1 环境质量标准</w:t>
      </w:r>
      <w:bookmarkEnd w:id="125"/>
      <w:bookmarkEnd w:id="126"/>
      <w:bookmarkEnd w:id="127"/>
      <w:bookmarkEnd w:id="128"/>
    </w:p>
    <w:p>
      <w:pPr>
        <w:pStyle w:val="68"/>
        <w:spacing w:line="360" w:lineRule="auto"/>
        <w:ind w:firstLine="480"/>
        <w:jc w:val="both"/>
        <w:rPr>
          <w:sz w:val="24"/>
          <w:szCs w:val="24"/>
        </w:rPr>
      </w:pPr>
      <w:r>
        <w:rPr>
          <w:sz w:val="24"/>
          <w:szCs w:val="24"/>
        </w:rPr>
        <w:t>1、环境空气：执行《环境空气质量标准》（GB3095-2012）二级标准；</w:t>
      </w:r>
    </w:p>
    <w:p>
      <w:pPr>
        <w:pStyle w:val="107"/>
        <w:ind w:firstLine="480" w:firstLineChars="200"/>
      </w:pPr>
      <w:r>
        <w:t>2</w:t>
      </w:r>
      <w:r>
        <w:rPr>
          <w:rFonts w:eastAsia="宋体"/>
        </w:rPr>
        <w:t>、地表水：执行《地表水环境质量标准》（</w:t>
      </w:r>
      <w:r>
        <w:t>GB3838-2002</w:t>
      </w:r>
      <w:r>
        <w:rPr>
          <w:rFonts w:eastAsia="宋体"/>
        </w:rPr>
        <w:t>）Ⅲ类标准；</w:t>
      </w:r>
    </w:p>
    <w:p>
      <w:pPr>
        <w:pStyle w:val="107"/>
        <w:ind w:firstLine="480" w:firstLineChars="200"/>
      </w:pPr>
      <w:r>
        <w:t>3</w:t>
      </w:r>
      <w:r>
        <w:rPr>
          <w:rFonts w:eastAsia="宋体"/>
        </w:rPr>
        <w:t>、地下水：执行《地下水质量标准》（</w:t>
      </w:r>
      <w:r>
        <w:t>GB/T14848-93</w:t>
      </w:r>
      <w:r>
        <w:rPr>
          <w:rFonts w:eastAsia="宋体"/>
        </w:rPr>
        <w:t>）Ⅲ类标准；</w:t>
      </w:r>
    </w:p>
    <w:p>
      <w:pPr>
        <w:pStyle w:val="107"/>
        <w:ind w:firstLine="480" w:firstLineChars="200"/>
      </w:pPr>
      <w:r>
        <w:t>4</w:t>
      </w:r>
      <w:r>
        <w:rPr>
          <w:rFonts w:eastAsia="宋体"/>
        </w:rPr>
        <w:t>、环境噪声：执行《声环境质量标准》（</w:t>
      </w:r>
      <w:r>
        <w:t>GB3096-2008</w:t>
      </w:r>
      <w:r>
        <w:rPr>
          <w:rFonts w:eastAsia="宋体"/>
        </w:rPr>
        <w:t>）中</w:t>
      </w:r>
      <w:r>
        <w:t>2</w:t>
      </w:r>
      <w:r>
        <w:rPr>
          <w:rFonts w:eastAsia="宋体"/>
        </w:rPr>
        <w:t>类标准；</w:t>
      </w:r>
    </w:p>
    <w:p>
      <w:pPr>
        <w:pStyle w:val="107"/>
        <w:ind w:firstLine="480" w:firstLineChars="200"/>
      </w:pPr>
      <w:r>
        <w:t>5</w:t>
      </w:r>
      <w:r>
        <w:rPr>
          <w:rFonts w:eastAsia="宋体"/>
        </w:rPr>
        <w:t>、土壤环境：执行《土壤环境质量标准》（</w:t>
      </w:r>
      <w:r>
        <w:t>GB15618-1995</w:t>
      </w:r>
      <w:r>
        <w:rPr>
          <w:rFonts w:eastAsia="宋体"/>
        </w:rPr>
        <w:t>）中三级标准。</w:t>
      </w:r>
    </w:p>
    <w:p>
      <w:pPr>
        <w:pStyle w:val="107"/>
        <w:ind w:firstLine="480" w:firstLineChars="200"/>
        <w:rPr>
          <w:rFonts w:eastAsia="宋体"/>
        </w:rPr>
      </w:pPr>
      <w:r>
        <w:rPr>
          <w:rFonts w:eastAsia="宋体"/>
        </w:rPr>
        <w:t>环境质量标准详细指标见表</w:t>
      </w:r>
      <w:r>
        <w:t>1.8-1</w:t>
      </w:r>
      <w:r>
        <w:rPr>
          <w:rFonts w:eastAsia="宋体"/>
        </w:rPr>
        <w:t>。</w:t>
      </w:r>
    </w:p>
    <w:p>
      <w:pPr>
        <w:adjustRightInd w:val="0"/>
        <w:snapToGrid w:val="0"/>
        <w:spacing w:beforeLines="50"/>
        <w:ind w:firstLine="448" w:firstLineChars="200"/>
        <w:jc w:val="left"/>
        <w:rPr>
          <w:rFonts w:eastAsia="黑体"/>
          <w:bCs/>
          <w:spacing w:val="2"/>
          <w:sz w:val="22"/>
          <w:szCs w:val="22"/>
        </w:rPr>
      </w:pPr>
      <w:r>
        <w:rPr>
          <w:rFonts w:eastAsia="黑体"/>
          <w:bCs/>
          <w:spacing w:val="2"/>
          <w:sz w:val="22"/>
          <w:szCs w:val="22"/>
        </w:rPr>
        <w:t>表1.8-1                    环境质量标准</w:t>
      </w:r>
    </w:p>
    <w:tbl>
      <w:tblPr>
        <w:tblStyle w:val="54"/>
        <w:tblW w:w="830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09"/>
        <w:gridCol w:w="1854"/>
        <w:gridCol w:w="1394"/>
        <w:gridCol w:w="1161"/>
        <w:gridCol w:w="1595"/>
        <w:gridCol w:w="15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tblHeader/>
          <w:jc w:val="center"/>
        </w:trPr>
        <w:tc>
          <w:tcPr>
            <w:tcW w:w="709" w:type="dxa"/>
            <w:vMerge w:val="restart"/>
            <w:vAlign w:val="center"/>
          </w:tcPr>
          <w:p>
            <w:pPr>
              <w:adjustRightInd w:val="0"/>
              <w:snapToGrid w:val="0"/>
              <w:jc w:val="center"/>
              <w:rPr>
                <w:kern w:val="0"/>
                <w:sz w:val="20"/>
                <w:szCs w:val="20"/>
              </w:rPr>
            </w:pPr>
            <w:r>
              <w:rPr>
                <w:kern w:val="0"/>
                <w:sz w:val="20"/>
                <w:szCs w:val="20"/>
              </w:rPr>
              <w:t>环境</w:t>
            </w:r>
          </w:p>
          <w:p>
            <w:pPr>
              <w:adjustRightInd w:val="0"/>
              <w:snapToGrid w:val="0"/>
              <w:jc w:val="center"/>
              <w:rPr>
                <w:kern w:val="0"/>
                <w:sz w:val="20"/>
                <w:szCs w:val="20"/>
              </w:rPr>
            </w:pPr>
            <w:r>
              <w:rPr>
                <w:kern w:val="0"/>
                <w:sz w:val="20"/>
                <w:szCs w:val="20"/>
              </w:rPr>
              <w:t>要素</w:t>
            </w:r>
          </w:p>
        </w:tc>
        <w:tc>
          <w:tcPr>
            <w:tcW w:w="1854" w:type="dxa"/>
            <w:vMerge w:val="restart"/>
            <w:vAlign w:val="center"/>
          </w:tcPr>
          <w:p>
            <w:pPr>
              <w:adjustRightInd w:val="0"/>
              <w:snapToGrid w:val="0"/>
              <w:jc w:val="center"/>
              <w:rPr>
                <w:kern w:val="0"/>
                <w:sz w:val="20"/>
                <w:szCs w:val="20"/>
              </w:rPr>
            </w:pPr>
            <w:r>
              <w:rPr>
                <w:kern w:val="0"/>
                <w:sz w:val="20"/>
                <w:szCs w:val="20"/>
              </w:rPr>
              <w:t>标准名称及级</w:t>
            </w:r>
          </w:p>
          <w:p>
            <w:pPr>
              <w:adjustRightInd w:val="0"/>
              <w:snapToGrid w:val="0"/>
              <w:jc w:val="center"/>
              <w:rPr>
                <w:kern w:val="0"/>
                <w:sz w:val="20"/>
                <w:szCs w:val="20"/>
              </w:rPr>
            </w:pPr>
            <w:r>
              <w:rPr>
                <w:kern w:val="0"/>
                <w:sz w:val="20"/>
                <w:szCs w:val="20"/>
              </w:rPr>
              <w:t>（类）别</w:t>
            </w:r>
          </w:p>
        </w:tc>
        <w:tc>
          <w:tcPr>
            <w:tcW w:w="2555" w:type="dxa"/>
            <w:gridSpan w:val="2"/>
            <w:vMerge w:val="restart"/>
            <w:vAlign w:val="center"/>
          </w:tcPr>
          <w:p>
            <w:pPr>
              <w:adjustRightInd w:val="0"/>
              <w:snapToGrid w:val="0"/>
              <w:jc w:val="center"/>
              <w:rPr>
                <w:kern w:val="0"/>
                <w:sz w:val="20"/>
                <w:szCs w:val="20"/>
              </w:rPr>
            </w:pPr>
            <w:r>
              <w:rPr>
                <w:kern w:val="0"/>
                <w:sz w:val="20"/>
                <w:szCs w:val="20"/>
              </w:rPr>
              <w:t>项目因子</w:t>
            </w:r>
          </w:p>
        </w:tc>
        <w:tc>
          <w:tcPr>
            <w:tcW w:w="3188" w:type="dxa"/>
            <w:gridSpan w:val="2"/>
            <w:vAlign w:val="center"/>
          </w:tcPr>
          <w:p>
            <w:pPr>
              <w:adjustRightInd w:val="0"/>
              <w:snapToGrid w:val="0"/>
              <w:jc w:val="center"/>
              <w:rPr>
                <w:kern w:val="0"/>
                <w:sz w:val="20"/>
                <w:szCs w:val="20"/>
              </w:rPr>
            </w:pPr>
            <w:r>
              <w:rPr>
                <w:kern w:val="0"/>
                <w:sz w:val="20"/>
                <w:szCs w:val="20"/>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tblHeader/>
          <w:jc w:val="center"/>
        </w:trPr>
        <w:tc>
          <w:tcPr>
            <w:tcW w:w="709" w:type="dxa"/>
            <w:vMerge w:val="continue"/>
            <w:vAlign w:val="center"/>
          </w:tcPr>
          <w:p>
            <w:pPr>
              <w:adjustRightInd w:val="0"/>
              <w:snapToGrid w:val="0"/>
              <w:jc w:val="center"/>
              <w:rPr>
                <w:kern w:val="0"/>
                <w:sz w:val="20"/>
                <w:szCs w:val="20"/>
              </w:rPr>
            </w:pPr>
          </w:p>
        </w:tc>
        <w:tc>
          <w:tcPr>
            <w:tcW w:w="1854" w:type="dxa"/>
            <w:vMerge w:val="continue"/>
            <w:vAlign w:val="center"/>
          </w:tcPr>
          <w:p>
            <w:pPr>
              <w:adjustRightInd w:val="0"/>
              <w:snapToGrid w:val="0"/>
              <w:jc w:val="center"/>
              <w:rPr>
                <w:kern w:val="0"/>
                <w:sz w:val="20"/>
                <w:szCs w:val="20"/>
              </w:rPr>
            </w:pPr>
          </w:p>
        </w:tc>
        <w:tc>
          <w:tcPr>
            <w:tcW w:w="2555" w:type="dxa"/>
            <w:gridSpan w:val="2"/>
            <w:vMerge w:val="continue"/>
            <w:vAlign w:val="center"/>
          </w:tcPr>
          <w:p>
            <w:pPr>
              <w:adjustRightInd w:val="0"/>
              <w:snapToGrid w:val="0"/>
              <w:jc w:val="center"/>
              <w:rPr>
                <w:kern w:val="0"/>
                <w:sz w:val="20"/>
                <w:szCs w:val="20"/>
              </w:rPr>
            </w:pPr>
          </w:p>
        </w:tc>
        <w:tc>
          <w:tcPr>
            <w:tcW w:w="1595" w:type="dxa"/>
            <w:vAlign w:val="center"/>
          </w:tcPr>
          <w:p>
            <w:pPr>
              <w:adjustRightInd w:val="0"/>
              <w:snapToGrid w:val="0"/>
              <w:jc w:val="center"/>
              <w:rPr>
                <w:kern w:val="13"/>
                <w:sz w:val="20"/>
                <w:szCs w:val="20"/>
              </w:rPr>
            </w:pPr>
            <w:r>
              <w:rPr>
                <w:kern w:val="13"/>
                <w:sz w:val="20"/>
                <w:szCs w:val="20"/>
              </w:rPr>
              <w:t>单位</w:t>
            </w:r>
          </w:p>
        </w:tc>
        <w:tc>
          <w:tcPr>
            <w:tcW w:w="1593" w:type="dxa"/>
            <w:vAlign w:val="center"/>
          </w:tcPr>
          <w:p>
            <w:pPr>
              <w:adjustRightInd w:val="0"/>
              <w:snapToGrid w:val="0"/>
              <w:jc w:val="center"/>
              <w:rPr>
                <w:kern w:val="13"/>
                <w:sz w:val="20"/>
                <w:szCs w:val="20"/>
              </w:rPr>
            </w:pPr>
            <w:r>
              <w:rPr>
                <w:kern w:val="13"/>
                <w:sz w:val="20"/>
                <w:szCs w:val="20"/>
              </w:rPr>
              <w:t>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restart"/>
            <w:vAlign w:val="center"/>
          </w:tcPr>
          <w:p>
            <w:pPr>
              <w:adjustRightInd w:val="0"/>
              <w:snapToGrid w:val="0"/>
              <w:jc w:val="center"/>
              <w:rPr>
                <w:spacing w:val="2"/>
                <w:sz w:val="20"/>
                <w:szCs w:val="20"/>
              </w:rPr>
            </w:pPr>
            <w:r>
              <w:rPr>
                <w:spacing w:val="2"/>
                <w:sz w:val="20"/>
                <w:szCs w:val="20"/>
              </w:rPr>
              <w:t>地表水</w:t>
            </w:r>
          </w:p>
        </w:tc>
        <w:tc>
          <w:tcPr>
            <w:tcW w:w="1854" w:type="dxa"/>
            <w:vMerge w:val="restart"/>
            <w:vAlign w:val="center"/>
          </w:tcPr>
          <w:p>
            <w:pPr>
              <w:adjustRightInd w:val="0"/>
              <w:snapToGrid w:val="0"/>
              <w:jc w:val="center"/>
              <w:rPr>
                <w:spacing w:val="2"/>
                <w:sz w:val="20"/>
                <w:szCs w:val="20"/>
              </w:rPr>
            </w:pPr>
            <w:r>
              <w:rPr>
                <w:spacing w:val="2"/>
                <w:sz w:val="20"/>
                <w:szCs w:val="20"/>
              </w:rPr>
              <w:t>《地表水环境质量标准》（GB3838-2002）</w:t>
            </w:r>
            <w:r>
              <w:t>Ⅲ</w:t>
            </w:r>
            <w:r>
              <w:rPr>
                <w:spacing w:val="2"/>
                <w:sz w:val="20"/>
                <w:szCs w:val="20"/>
              </w:rPr>
              <w:t>类标准</w:t>
            </w:r>
          </w:p>
        </w:tc>
        <w:tc>
          <w:tcPr>
            <w:tcW w:w="1394" w:type="dxa"/>
            <w:vAlign w:val="center"/>
          </w:tcPr>
          <w:p>
            <w:pPr>
              <w:autoSpaceDE w:val="0"/>
              <w:autoSpaceDN w:val="0"/>
              <w:adjustRightInd w:val="0"/>
              <w:snapToGrid w:val="0"/>
              <w:jc w:val="center"/>
              <w:rPr>
                <w:kern w:val="0"/>
                <w:sz w:val="20"/>
                <w:szCs w:val="20"/>
              </w:rPr>
            </w:pPr>
            <w:r>
              <w:rPr>
                <w:kern w:val="0"/>
                <w:sz w:val="20"/>
                <w:szCs w:val="20"/>
              </w:rPr>
              <w:t>pH</w:t>
            </w:r>
          </w:p>
        </w:tc>
        <w:tc>
          <w:tcPr>
            <w:tcW w:w="1161" w:type="dxa"/>
            <w:vAlign w:val="center"/>
          </w:tcPr>
          <w:p>
            <w:pPr>
              <w:autoSpaceDE w:val="0"/>
              <w:autoSpaceDN w:val="0"/>
              <w:adjustRightInd w:val="0"/>
              <w:snapToGrid w:val="0"/>
              <w:jc w:val="center"/>
              <w:rPr>
                <w:kern w:val="0"/>
                <w:sz w:val="20"/>
                <w:szCs w:val="20"/>
              </w:rPr>
            </w:pPr>
          </w:p>
        </w:tc>
        <w:tc>
          <w:tcPr>
            <w:tcW w:w="1595" w:type="dxa"/>
            <w:vAlign w:val="center"/>
          </w:tcPr>
          <w:p>
            <w:pPr>
              <w:adjustRightInd w:val="0"/>
              <w:snapToGrid w:val="0"/>
              <w:jc w:val="center"/>
              <w:rPr>
                <w:kern w:val="13"/>
                <w:sz w:val="20"/>
                <w:szCs w:val="20"/>
              </w:rPr>
            </w:pPr>
            <w:r>
              <w:rPr>
                <w:kern w:val="13"/>
                <w:sz w:val="20"/>
                <w:szCs w:val="20"/>
              </w:rPr>
              <w:t>无量纲</w:t>
            </w:r>
          </w:p>
        </w:tc>
        <w:tc>
          <w:tcPr>
            <w:tcW w:w="1593" w:type="dxa"/>
            <w:vAlign w:val="center"/>
          </w:tcPr>
          <w:p>
            <w:pPr>
              <w:adjustRightInd w:val="0"/>
              <w:snapToGrid w:val="0"/>
              <w:jc w:val="center"/>
              <w:rPr>
                <w:kern w:val="13"/>
                <w:sz w:val="20"/>
                <w:szCs w:val="20"/>
              </w:rPr>
            </w:pPr>
            <w:r>
              <w:rPr>
                <w:kern w:val="13"/>
                <w:sz w:val="20"/>
                <w:szCs w:val="20"/>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COD</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utoSpaceDE w:val="0"/>
              <w:autoSpaceDN w:val="0"/>
              <w:adjustRightInd w:val="0"/>
              <w:snapToGrid w:val="0"/>
              <w:jc w:val="center"/>
              <w:rPr>
                <w:kern w:val="0"/>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氨氮</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utoSpaceDE w:val="0"/>
              <w:autoSpaceDN w:val="0"/>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生化需氧量</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utoSpaceDE w:val="0"/>
              <w:autoSpaceDN w:val="0"/>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石油类</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氰化物</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utoSpaceDE w:val="0"/>
              <w:autoSpaceDN w:val="0"/>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硫化物</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utoSpaceDE w:val="0"/>
              <w:autoSpaceDN w:val="0"/>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六价铬</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铅</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镉</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铜</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锌</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汞</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砷</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kern w:val="0"/>
                <w:sz w:val="20"/>
                <w:szCs w:val="20"/>
              </w:rPr>
            </w:pPr>
            <w:r>
              <w:rPr>
                <w:kern w:val="0"/>
                <w:sz w:val="20"/>
                <w:szCs w:val="20"/>
              </w:rPr>
              <w:t>铁</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utoSpaceDE w:val="0"/>
              <w:autoSpaceDN w:val="0"/>
              <w:adjustRightInd w:val="0"/>
              <w:snapToGrid w:val="0"/>
              <w:jc w:val="center"/>
              <w:rPr>
                <w:kern w:val="0"/>
                <w:sz w:val="20"/>
                <w:szCs w:val="20"/>
              </w:rPr>
            </w:pPr>
            <w:r>
              <w:rPr>
                <w:kern w:val="0"/>
                <w:sz w:val="20"/>
                <w:szCs w:val="20"/>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restart"/>
            <w:vAlign w:val="center"/>
          </w:tcPr>
          <w:p>
            <w:pPr>
              <w:adjustRightInd w:val="0"/>
              <w:snapToGrid w:val="0"/>
              <w:jc w:val="center"/>
              <w:rPr>
                <w:spacing w:val="2"/>
                <w:sz w:val="20"/>
                <w:szCs w:val="20"/>
              </w:rPr>
            </w:pPr>
            <w:r>
              <w:rPr>
                <w:spacing w:val="2"/>
                <w:sz w:val="20"/>
                <w:szCs w:val="20"/>
              </w:rPr>
              <w:t>环境</w:t>
            </w:r>
          </w:p>
          <w:p>
            <w:pPr>
              <w:adjustRightInd w:val="0"/>
              <w:snapToGrid w:val="0"/>
              <w:jc w:val="center"/>
              <w:rPr>
                <w:spacing w:val="2"/>
                <w:sz w:val="20"/>
                <w:szCs w:val="20"/>
              </w:rPr>
            </w:pPr>
            <w:r>
              <w:rPr>
                <w:spacing w:val="2"/>
                <w:sz w:val="20"/>
                <w:szCs w:val="20"/>
              </w:rPr>
              <w:t>空气</w:t>
            </w:r>
          </w:p>
        </w:tc>
        <w:tc>
          <w:tcPr>
            <w:tcW w:w="1854" w:type="dxa"/>
            <w:vMerge w:val="restart"/>
            <w:vAlign w:val="center"/>
          </w:tcPr>
          <w:p>
            <w:pPr>
              <w:adjustRightInd w:val="0"/>
              <w:snapToGrid w:val="0"/>
              <w:jc w:val="center"/>
              <w:rPr>
                <w:spacing w:val="2"/>
                <w:sz w:val="20"/>
                <w:szCs w:val="20"/>
              </w:rPr>
            </w:pPr>
            <w:r>
              <w:rPr>
                <w:spacing w:val="2"/>
                <w:sz w:val="20"/>
                <w:szCs w:val="20"/>
              </w:rPr>
              <w:t>《环境空气质量标准》（GB3095-2012）二级标准</w:t>
            </w:r>
          </w:p>
        </w:tc>
        <w:tc>
          <w:tcPr>
            <w:tcW w:w="1394" w:type="dxa"/>
            <w:vMerge w:val="restart"/>
            <w:vAlign w:val="center"/>
          </w:tcPr>
          <w:p>
            <w:pPr>
              <w:adjustRightInd w:val="0"/>
              <w:snapToGrid w:val="0"/>
              <w:jc w:val="center"/>
              <w:rPr>
                <w:spacing w:val="2"/>
                <w:sz w:val="20"/>
                <w:szCs w:val="20"/>
              </w:rPr>
            </w:pPr>
            <w:r>
              <w:rPr>
                <w:spacing w:val="2"/>
                <w:sz w:val="20"/>
                <w:szCs w:val="20"/>
              </w:rPr>
              <w:t>SO</w:t>
            </w:r>
            <w:r>
              <w:rPr>
                <w:spacing w:val="2"/>
                <w:sz w:val="20"/>
                <w:szCs w:val="20"/>
                <w:vertAlign w:val="subscript"/>
              </w:rPr>
              <w:t>2</w:t>
            </w:r>
          </w:p>
        </w:tc>
        <w:tc>
          <w:tcPr>
            <w:tcW w:w="1161" w:type="dxa"/>
            <w:vAlign w:val="center"/>
          </w:tcPr>
          <w:p>
            <w:pPr>
              <w:adjustRightInd w:val="0"/>
              <w:snapToGrid w:val="0"/>
              <w:jc w:val="center"/>
              <w:rPr>
                <w:spacing w:val="2"/>
                <w:sz w:val="20"/>
                <w:szCs w:val="20"/>
              </w:rPr>
            </w:pPr>
            <w:r>
              <w:rPr>
                <w:spacing w:val="2"/>
                <w:sz w:val="20"/>
                <w:szCs w:val="20"/>
              </w:rPr>
              <w:t>小时平均</w:t>
            </w:r>
          </w:p>
        </w:tc>
        <w:tc>
          <w:tcPr>
            <w:tcW w:w="1595" w:type="dxa"/>
            <w:vAlign w:val="center"/>
          </w:tcPr>
          <w:p>
            <w:pPr>
              <w:adjustRightInd w:val="0"/>
              <w:snapToGrid w:val="0"/>
              <w:jc w:val="center"/>
              <w:rPr>
                <w:spacing w:val="2"/>
                <w:sz w:val="20"/>
                <w:szCs w:val="20"/>
              </w:rPr>
            </w:pPr>
            <w:r>
              <w:rPr>
                <w:rFonts w:hint="eastAsia"/>
                <w:kern w:val="13"/>
                <w:sz w:val="20"/>
                <w:szCs w:val="20"/>
              </w:rPr>
              <w:t>μ</w:t>
            </w:r>
            <w:r>
              <w:rPr>
                <w:kern w:val="13"/>
                <w:sz w:val="20"/>
                <w:szCs w:val="20"/>
              </w:rPr>
              <w:t>g/Nm</w:t>
            </w:r>
            <w:r>
              <w:rPr>
                <w:kern w:val="13"/>
                <w:sz w:val="20"/>
                <w:szCs w:val="20"/>
                <w:vertAlign w:val="superscript"/>
              </w:rPr>
              <w:t>3</w:t>
            </w:r>
          </w:p>
        </w:tc>
        <w:tc>
          <w:tcPr>
            <w:tcW w:w="1593" w:type="dxa"/>
            <w:vAlign w:val="center"/>
          </w:tcPr>
          <w:p>
            <w:pPr>
              <w:adjustRightInd w:val="0"/>
              <w:snapToGrid w:val="0"/>
              <w:jc w:val="center"/>
              <w:rPr>
                <w:spacing w:val="2"/>
                <w:sz w:val="20"/>
                <w:szCs w:val="20"/>
              </w:rPr>
            </w:pPr>
            <w:r>
              <w:rPr>
                <w:rFonts w:hint="eastAsia"/>
                <w:spacing w:val="2"/>
                <w:sz w:val="20"/>
                <w:szCs w:val="20"/>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Merge w:val="continue"/>
            <w:vAlign w:val="center"/>
          </w:tcPr>
          <w:p>
            <w:pPr>
              <w:autoSpaceDE w:val="0"/>
              <w:autoSpaceDN w:val="0"/>
              <w:adjustRightInd w:val="0"/>
              <w:snapToGrid w:val="0"/>
              <w:jc w:val="center"/>
              <w:rPr>
                <w:spacing w:val="2"/>
                <w:sz w:val="20"/>
                <w:szCs w:val="20"/>
              </w:rPr>
            </w:pPr>
          </w:p>
        </w:tc>
        <w:tc>
          <w:tcPr>
            <w:tcW w:w="1161" w:type="dxa"/>
            <w:vAlign w:val="center"/>
          </w:tcPr>
          <w:p>
            <w:pPr>
              <w:autoSpaceDE w:val="0"/>
              <w:autoSpaceDN w:val="0"/>
              <w:adjustRightInd w:val="0"/>
              <w:snapToGrid w:val="0"/>
              <w:jc w:val="center"/>
              <w:rPr>
                <w:kern w:val="0"/>
                <w:sz w:val="20"/>
                <w:szCs w:val="20"/>
              </w:rPr>
            </w:pPr>
            <w:r>
              <w:rPr>
                <w:spacing w:val="2"/>
                <w:sz w:val="20"/>
                <w:szCs w:val="20"/>
              </w:rPr>
              <w:t>日平均</w:t>
            </w:r>
          </w:p>
        </w:tc>
        <w:tc>
          <w:tcPr>
            <w:tcW w:w="1595" w:type="dxa"/>
            <w:vAlign w:val="center"/>
          </w:tcPr>
          <w:p>
            <w:pPr>
              <w:autoSpaceDE w:val="0"/>
              <w:autoSpaceDN w:val="0"/>
              <w:adjustRightInd w:val="0"/>
              <w:snapToGrid w:val="0"/>
              <w:jc w:val="center"/>
              <w:rPr>
                <w:spacing w:val="2"/>
                <w:sz w:val="20"/>
                <w:szCs w:val="20"/>
              </w:rPr>
            </w:pPr>
            <w:r>
              <w:rPr>
                <w:rFonts w:hint="eastAsia"/>
                <w:kern w:val="13"/>
                <w:sz w:val="20"/>
                <w:szCs w:val="20"/>
              </w:rPr>
              <w:t>μ</w:t>
            </w:r>
            <w:r>
              <w:rPr>
                <w:kern w:val="13"/>
                <w:sz w:val="20"/>
                <w:szCs w:val="20"/>
              </w:rPr>
              <w:t>g/Nm</w:t>
            </w:r>
            <w:r>
              <w:rPr>
                <w:kern w:val="13"/>
                <w:sz w:val="20"/>
                <w:szCs w:val="20"/>
                <w:vertAlign w:val="superscript"/>
              </w:rPr>
              <w:t>3</w:t>
            </w:r>
          </w:p>
        </w:tc>
        <w:tc>
          <w:tcPr>
            <w:tcW w:w="1593" w:type="dxa"/>
            <w:vAlign w:val="center"/>
          </w:tcPr>
          <w:p>
            <w:pPr>
              <w:autoSpaceDE w:val="0"/>
              <w:autoSpaceDN w:val="0"/>
              <w:adjustRightInd w:val="0"/>
              <w:snapToGrid w:val="0"/>
              <w:jc w:val="center"/>
              <w:rPr>
                <w:kern w:val="0"/>
                <w:sz w:val="20"/>
                <w:szCs w:val="20"/>
              </w:rPr>
            </w:pPr>
            <w:r>
              <w:rPr>
                <w:rFonts w:hint="eastAsia"/>
                <w:spacing w:val="2"/>
                <w:sz w:val="20"/>
                <w:szCs w:val="20"/>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Merge w:val="restart"/>
            <w:vAlign w:val="center"/>
          </w:tcPr>
          <w:p>
            <w:pPr>
              <w:autoSpaceDE w:val="0"/>
              <w:autoSpaceDN w:val="0"/>
              <w:adjustRightInd w:val="0"/>
              <w:snapToGrid w:val="0"/>
              <w:jc w:val="center"/>
              <w:rPr>
                <w:spacing w:val="2"/>
                <w:sz w:val="20"/>
                <w:szCs w:val="20"/>
              </w:rPr>
            </w:pPr>
            <w:r>
              <w:rPr>
                <w:spacing w:val="2"/>
                <w:sz w:val="20"/>
                <w:szCs w:val="20"/>
              </w:rPr>
              <w:t>NO</w:t>
            </w:r>
            <w:r>
              <w:rPr>
                <w:spacing w:val="2"/>
                <w:sz w:val="20"/>
                <w:szCs w:val="20"/>
                <w:vertAlign w:val="subscript"/>
              </w:rPr>
              <w:t>2</w:t>
            </w:r>
          </w:p>
        </w:tc>
        <w:tc>
          <w:tcPr>
            <w:tcW w:w="1161" w:type="dxa"/>
            <w:vAlign w:val="center"/>
          </w:tcPr>
          <w:p>
            <w:pPr>
              <w:autoSpaceDE w:val="0"/>
              <w:autoSpaceDN w:val="0"/>
              <w:adjustRightInd w:val="0"/>
              <w:snapToGrid w:val="0"/>
              <w:jc w:val="center"/>
              <w:rPr>
                <w:kern w:val="0"/>
                <w:sz w:val="20"/>
                <w:szCs w:val="20"/>
              </w:rPr>
            </w:pPr>
            <w:r>
              <w:rPr>
                <w:spacing w:val="2"/>
                <w:sz w:val="20"/>
                <w:szCs w:val="20"/>
              </w:rPr>
              <w:t>小时平均</w:t>
            </w:r>
          </w:p>
        </w:tc>
        <w:tc>
          <w:tcPr>
            <w:tcW w:w="1595" w:type="dxa"/>
            <w:vAlign w:val="center"/>
          </w:tcPr>
          <w:p>
            <w:pPr>
              <w:autoSpaceDE w:val="0"/>
              <w:autoSpaceDN w:val="0"/>
              <w:adjustRightInd w:val="0"/>
              <w:snapToGrid w:val="0"/>
              <w:jc w:val="center"/>
              <w:rPr>
                <w:spacing w:val="2"/>
                <w:sz w:val="20"/>
                <w:szCs w:val="20"/>
              </w:rPr>
            </w:pPr>
            <w:r>
              <w:rPr>
                <w:rFonts w:hint="eastAsia"/>
                <w:kern w:val="13"/>
                <w:sz w:val="20"/>
                <w:szCs w:val="20"/>
              </w:rPr>
              <w:t>μ</w:t>
            </w:r>
            <w:r>
              <w:rPr>
                <w:kern w:val="13"/>
                <w:sz w:val="20"/>
                <w:szCs w:val="20"/>
              </w:rPr>
              <w:t>g/Nm</w:t>
            </w:r>
            <w:r>
              <w:rPr>
                <w:kern w:val="13"/>
                <w:sz w:val="20"/>
                <w:szCs w:val="20"/>
                <w:vertAlign w:val="superscript"/>
              </w:rPr>
              <w:t>3</w:t>
            </w:r>
          </w:p>
        </w:tc>
        <w:tc>
          <w:tcPr>
            <w:tcW w:w="1593" w:type="dxa"/>
            <w:vAlign w:val="center"/>
          </w:tcPr>
          <w:p>
            <w:pPr>
              <w:autoSpaceDE w:val="0"/>
              <w:autoSpaceDN w:val="0"/>
              <w:adjustRightInd w:val="0"/>
              <w:snapToGrid w:val="0"/>
              <w:jc w:val="center"/>
              <w:rPr>
                <w:kern w:val="0"/>
                <w:sz w:val="20"/>
                <w:szCs w:val="20"/>
              </w:rPr>
            </w:pPr>
            <w:r>
              <w:rPr>
                <w:rFonts w:hint="eastAsia"/>
                <w:spacing w:val="2"/>
                <w:sz w:val="20"/>
                <w:szCs w:val="20"/>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Merge w:val="continue"/>
            <w:vAlign w:val="center"/>
          </w:tcPr>
          <w:p>
            <w:pPr>
              <w:autoSpaceDE w:val="0"/>
              <w:autoSpaceDN w:val="0"/>
              <w:adjustRightInd w:val="0"/>
              <w:snapToGrid w:val="0"/>
              <w:jc w:val="center"/>
              <w:rPr>
                <w:spacing w:val="2"/>
                <w:sz w:val="20"/>
                <w:szCs w:val="20"/>
              </w:rPr>
            </w:pPr>
          </w:p>
        </w:tc>
        <w:tc>
          <w:tcPr>
            <w:tcW w:w="1161" w:type="dxa"/>
            <w:vAlign w:val="center"/>
          </w:tcPr>
          <w:p>
            <w:pPr>
              <w:autoSpaceDE w:val="0"/>
              <w:autoSpaceDN w:val="0"/>
              <w:adjustRightInd w:val="0"/>
              <w:snapToGrid w:val="0"/>
              <w:jc w:val="center"/>
              <w:rPr>
                <w:kern w:val="0"/>
                <w:sz w:val="20"/>
                <w:szCs w:val="20"/>
              </w:rPr>
            </w:pPr>
            <w:r>
              <w:rPr>
                <w:spacing w:val="2"/>
                <w:sz w:val="20"/>
                <w:szCs w:val="20"/>
              </w:rPr>
              <w:t>日平均</w:t>
            </w:r>
          </w:p>
        </w:tc>
        <w:tc>
          <w:tcPr>
            <w:tcW w:w="1595" w:type="dxa"/>
            <w:vAlign w:val="center"/>
          </w:tcPr>
          <w:p>
            <w:pPr>
              <w:autoSpaceDE w:val="0"/>
              <w:autoSpaceDN w:val="0"/>
              <w:adjustRightInd w:val="0"/>
              <w:snapToGrid w:val="0"/>
              <w:jc w:val="center"/>
              <w:rPr>
                <w:spacing w:val="2"/>
                <w:sz w:val="20"/>
                <w:szCs w:val="20"/>
              </w:rPr>
            </w:pPr>
            <w:r>
              <w:rPr>
                <w:rFonts w:hint="eastAsia"/>
                <w:kern w:val="13"/>
                <w:sz w:val="20"/>
                <w:szCs w:val="20"/>
              </w:rPr>
              <w:t>μ</w:t>
            </w:r>
            <w:r>
              <w:rPr>
                <w:kern w:val="13"/>
                <w:sz w:val="20"/>
                <w:szCs w:val="20"/>
              </w:rPr>
              <w:t>g/Nm</w:t>
            </w:r>
            <w:r>
              <w:rPr>
                <w:kern w:val="13"/>
                <w:sz w:val="20"/>
                <w:szCs w:val="20"/>
                <w:vertAlign w:val="superscript"/>
              </w:rPr>
              <w:t>3</w:t>
            </w:r>
          </w:p>
        </w:tc>
        <w:tc>
          <w:tcPr>
            <w:tcW w:w="1593" w:type="dxa"/>
            <w:vAlign w:val="center"/>
          </w:tcPr>
          <w:p>
            <w:pPr>
              <w:autoSpaceDE w:val="0"/>
              <w:autoSpaceDN w:val="0"/>
              <w:adjustRightInd w:val="0"/>
              <w:snapToGrid w:val="0"/>
              <w:jc w:val="center"/>
              <w:rPr>
                <w:kern w:val="0"/>
                <w:sz w:val="20"/>
                <w:szCs w:val="20"/>
              </w:rPr>
            </w:pPr>
            <w:r>
              <w:rPr>
                <w:rFonts w:hint="eastAsia"/>
                <w:spacing w:val="2"/>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spacing w:val="2"/>
                <w:sz w:val="20"/>
                <w:szCs w:val="20"/>
              </w:rPr>
            </w:pPr>
            <w:r>
              <w:rPr>
                <w:spacing w:val="2"/>
                <w:sz w:val="20"/>
                <w:szCs w:val="20"/>
              </w:rPr>
              <w:t>TSP</w:t>
            </w:r>
          </w:p>
        </w:tc>
        <w:tc>
          <w:tcPr>
            <w:tcW w:w="1161" w:type="dxa"/>
            <w:vAlign w:val="center"/>
          </w:tcPr>
          <w:p>
            <w:pPr>
              <w:autoSpaceDE w:val="0"/>
              <w:autoSpaceDN w:val="0"/>
              <w:adjustRightInd w:val="0"/>
              <w:snapToGrid w:val="0"/>
              <w:jc w:val="center"/>
              <w:rPr>
                <w:kern w:val="0"/>
                <w:sz w:val="20"/>
                <w:szCs w:val="20"/>
              </w:rPr>
            </w:pPr>
            <w:r>
              <w:rPr>
                <w:spacing w:val="2"/>
                <w:sz w:val="20"/>
                <w:szCs w:val="20"/>
              </w:rPr>
              <w:t>日平均</w:t>
            </w:r>
          </w:p>
        </w:tc>
        <w:tc>
          <w:tcPr>
            <w:tcW w:w="1595" w:type="dxa"/>
            <w:vAlign w:val="center"/>
          </w:tcPr>
          <w:p>
            <w:pPr>
              <w:autoSpaceDE w:val="0"/>
              <w:autoSpaceDN w:val="0"/>
              <w:adjustRightInd w:val="0"/>
              <w:snapToGrid w:val="0"/>
              <w:jc w:val="center"/>
              <w:rPr>
                <w:spacing w:val="2"/>
                <w:sz w:val="20"/>
                <w:szCs w:val="20"/>
              </w:rPr>
            </w:pPr>
            <w:r>
              <w:rPr>
                <w:rFonts w:hint="eastAsia"/>
                <w:kern w:val="13"/>
                <w:sz w:val="20"/>
                <w:szCs w:val="20"/>
              </w:rPr>
              <w:t>μ</w:t>
            </w:r>
            <w:r>
              <w:rPr>
                <w:kern w:val="13"/>
                <w:sz w:val="20"/>
                <w:szCs w:val="20"/>
              </w:rPr>
              <w:t>g/Nm</w:t>
            </w:r>
            <w:r>
              <w:rPr>
                <w:kern w:val="13"/>
                <w:sz w:val="20"/>
                <w:szCs w:val="20"/>
                <w:vertAlign w:val="superscript"/>
              </w:rPr>
              <w:t>3</w:t>
            </w:r>
          </w:p>
        </w:tc>
        <w:tc>
          <w:tcPr>
            <w:tcW w:w="1593" w:type="dxa"/>
            <w:vAlign w:val="center"/>
          </w:tcPr>
          <w:p>
            <w:pPr>
              <w:autoSpaceDE w:val="0"/>
              <w:autoSpaceDN w:val="0"/>
              <w:adjustRightInd w:val="0"/>
              <w:snapToGrid w:val="0"/>
              <w:jc w:val="center"/>
              <w:rPr>
                <w:kern w:val="0"/>
                <w:sz w:val="20"/>
                <w:szCs w:val="20"/>
              </w:rPr>
            </w:pPr>
            <w:r>
              <w:rPr>
                <w:rFonts w:hint="eastAsia"/>
                <w:spacing w:val="2"/>
                <w:sz w:val="20"/>
                <w:szCs w:val="20"/>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utoSpaceDE w:val="0"/>
              <w:autoSpaceDN w:val="0"/>
              <w:adjustRightInd w:val="0"/>
              <w:snapToGrid w:val="0"/>
              <w:jc w:val="center"/>
              <w:rPr>
                <w:spacing w:val="2"/>
                <w:sz w:val="20"/>
                <w:szCs w:val="20"/>
              </w:rPr>
            </w:pPr>
            <w:r>
              <w:rPr>
                <w:spacing w:val="2"/>
                <w:sz w:val="20"/>
                <w:szCs w:val="20"/>
              </w:rPr>
              <w:t>PM</w:t>
            </w:r>
            <w:r>
              <w:rPr>
                <w:spacing w:val="2"/>
                <w:sz w:val="20"/>
                <w:szCs w:val="20"/>
                <w:vertAlign w:val="subscript"/>
              </w:rPr>
              <w:t>10</w:t>
            </w:r>
          </w:p>
        </w:tc>
        <w:tc>
          <w:tcPr>
            <w:tcW w:w="1161" w:type="dxa"/>
            <w:vAlign w:val="center"/>
          </w:tcPr>
          <w:p>
            <w:pPr>
              <w:autoSpaceDE w:val="0"/>
              <w:autoSpaceDN w:val="0"/>
              <w:adjustRightInd w:val="0"/>
              <w:snapToGrid w:val="0"/>
              <w:jc w:val="center"/>
              <w:rPr>
                <w:spacing w:val="2"/>
                <w:sz w:val="20"/>
                <w:szCs w:val="20"/>
              </w:rPr>
            </w:pPr>
            <w:r>
              <w:rPr>
                <w:spacing w:val="2"/>
                <w:sz w:val="20"/>
                <w:szCs w:val="20"/>
              </w:rPr>
              <w:t>日平均</w:t>
            </w:r>
          </w:p>
        </w:tc>
        <w:tc>
          <w:tcPr>
            <w:tcW w:w="1595" w:type="dxa"/>
            <w:vAlign w:val="center"/>
          </w:tcPr>
          <w:p>
            <w:pPr>
              <w:autoSpaceDE w:val="0"/>
              <w:autoSpaceDN w:val="0"/>
              <w:adjustRightInd w:val="0"/>
              <w:snapToGrid w:val="0"/>
              <w:jc w:val="center"/>
              <w:rPr>
                <w:kern w:val="13"/>
                <w:sz w:val="20"/>
                <w:szCs w:val="20"/>
              </w:rPr>
            </w:pPr>
            <w:r>
              <w:rPr>
                <w:rFonts w:hint="eastAsia"/>
                <w:kern w:val="13"/>
                <w:sz w:val="20"/>
                <w:szCs w:val="20"/>
              </w:rPr>
              <w:t>μ</w:t>
            </w:r>
            <w:r>
              <w:rPr>
                <w:kern w:val="13"/>
                <w:sz w:val="20"/>
                <w:szCs w:val="20"/>
              </w:rPr>
              <w:t>g/Nm</w:t>
            </w:r>
            <w:r>
              <w:rPr>
                <w:kern w:val="13"/>
                <w:sz w:val="20"/>
                <w:szCs w:val="20"/>
                <w:vertAlign w:val="superscript"/>
              </w:rPr>
              <w:t>3</w:t>
            </w:r>
          </w:p>
        </w:tc>
        <w:tc>
          <w:tcPr>
            <w:tcW w:w="1593" w:type="dxa"/>
            <w:vAlign w:val="center"/>
          </w:tcPr>
          <w:p>
            <w:pPr>
              <w:autoSpaceDE w:val="0"/>
              <w:autoSpaceDN w:val="0"/>
              <w:adjustRightInd w:val="0"/>
              <w:snapToGrid w:val="0"/>
              <w:jc w:val="center"/>
              <w:rPr>
                <w:spacing w:val="2"/>
                <w:sz w:val="20"/>
                <w:szCs w:val="20"/>
              </w:rPr>
            </w:pPr>
            <w:r>
              <w:rPr>
                <w:rFonts w:hint="eastAsia"/>
                <w:spacing w:val="2"/>
                <w:sz w:val="20"/>
                <w:szCs w:val="20"/>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restart"/>
            <w:vAlign w:val="center"/>
          </w:tcPr>
          <w:p>
            <w:pPr>
              <w:adjustRightInd w:val="0"/>
              <w:snapToGrid w:val="0"/>
              <w:jc w:val="center"/>
              <w:rPr>
                <w:spacing w:val="2"/>
                <w:sz w:val="20"/>
                <w:szCs w:val="20"/>
              </w:rPr>
            </w:pPr>
            <w:r>
              <w:rPr>
                <w:spacing w:val="2"/>
                <w:sz w:val="20"/>
                <w:szCs w:val="20"/>
              </w:rPr>
              <w:t>地下水</w:t>
            </w:r>
          </w:p>
        </w:tc>
        <w:tc>
          <w:tcPr>
            <w:tcW w:w="1854" w:type="dxa"/>
            <w:vMerge w:val="restart"/>
            <w:vAlign w:val="center"/>
          </w:tcPr>
          <w:p>
            <w:pPr>
              <w:adjustRightInd w:val="0"/>
              <w:snapToGrid w:val="0"/>
              <w:jc w:val="center"/>
              <w:rPr>
                <w:spacing w:val="2"/>
                <w:sz w:val="20"/>
                <w:szCs w:val="20"/>
              </w:rPr>
            </w:pPr>
            <w:r>
              <w:rPr>
                <w:spacing w:val="2"/>
                <w:sz w:val="20"/>
                <w:szCs w:val="20"/>
              </w:rPr>
              <w:t>《地下水质量标准》</w:t>
            </w:r>
          </w:p>
          <w:p>
            <w:pPr>
              <w:adjustRightInd w:val="0"/>
              <w:snapToGrid w:val="0"/>
              <w:jc w:val="center"/>
              <w:rPr>
                <w:spacing w:val="2"/>
                <w:sz w:val="20"/>
                <w:szCs w:val="20"/>
              </w:rPr>
            </w:pPr>
            <w:r>
              <w:rPr>
                <w:spacing w:val="2"/>
                <w:sz w:val="20"/>
                <w:szCs w:val="20"/>
              </w:rPr>
              <w:t>（GB/T14848-93）Ⅲ类标准</w:t>
            </w:r>
          </w:p>
        </w:tc>
        <w:tc>
          <w:tcPr>
            <w:tcW w:w="1394" w:type="dxa"/>
            <w:vAlign w:val="center"/>
          </w:tcPr>
          <w:p>
            <w:pPr>
              <w:adjustRightInd w:val="0"/>
              <w:snapToGrid w:val="0"/>
              <w:jc w:val="center"/>
              <w:rPr>
                <w:spacing w:val="2"/>
                <w:sz w:val="20"/>
                <w:szCs w:val="20"/>
              </w:rPr>
            </w:pPr>
            <w:r>
              <w:rPr>
                <w:spacing w:val="2"/>
                <w:sz w:val="20"/>
                <w:szCs w:val="20"/>
              </w:rPr>
              <w:t>pH</w:t>
            </w:r>
          </w:p>
        </w:tc>
        <w:tc>
          <w:tcPr>
            <w:tcW w:w="1161" w:type="dxa"/>
            <w:vAlign w:val="center"/>
          </w:tcPr>
          <w:p>
            <w:pPr>
              <w:adjustRightInd w:val="0"/>
              <w:snapToGrid w:val="0"/>
              <w:jc w:val="center"/>
              <w:rPr>
                <w:spacing w:val="2"/>
                <w:sz w:val="20"/>
                <w:szCs w:val="20"/>
              </w:rPr>
            </w:pPr>
            <w:r>
              <w:rPr>
                <w:spacing w:val="2"/>
                <w:sz w:val="20"/>
                <w:szCs w:val="20"/>
              </w:rPr>
              <w:t>/</w:t>
            </w:r>
          </w:p>
        </w:tc>
        <w:tc>
          <w:tcPr>
            <w:tcW w:w="1595" w:type="dxa"/>
            <w:vAlign w:val="center"/>
          </w:tcPr>
          <w:p>
            <w:pPr>
              <w:adjustRightInd w:val="0"/>
              <w:snapToGrid w:val="0"/>
              <w:jc w:val="center"/>
              <w:rPr>
                <w:kern w:val="13"/>
                <w:sz w:val="20"/>
                <w:szCs w:val="20"/>
              </w:rPr>
            </w:pPr>
            <w:r>
              <w:rPr>
                <w:kern w:val="13"/>
                <w:sz w:val="20"/>
                <w:szCs w:val="20"/>
              </w:rPr>
              <w:t>无量纲</w:t>
            </w:r>
          </w:p>
        </w:tc>
        <w:tc>
          <w:tcPr>
            <w:tcW w:w="1593" w:type="dxa"/>
            <w:vAlign w:val="center"/>
          </w:tcPr>
          <w:p>
            <w:pPr>
              <w:adjustRightInd w:val="0"/>
              <w:snapToGrid w:val="0"/>
              <w:jc w:val="center"/>
              <w:rPr>
                <w:spacing w:val="2"/>
                <w:sz w:val="20"/>
                <w:szCs w:val="20"/>
              </w:rPr>
            </w:pPr>
            <w:r>
              <w:rPr>
                <w:spacing w:val="2"/>
                <w:sz w:val="20"/>
                <w:szCs w:val="20"/>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高锰酸盐指数</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utoSpaceDE w:val="0"/>
              <w:autoSpaceDN w:val="0"/>
              <w:adjustRightInd w:val="0"/>
              <w:snapToGrid w:val="0"/>
              <w:jc w:val="center"/>
              <w:rPr>
                <w:kern w:val="0"/>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氨氮</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utoSpaceDE w:val="0"/>
              <w:autoSpaceDN w:val="0"/>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总硬度</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utoSpaceDE w:val="0"/>
              <w:autoSpaceDN w:val="0"/>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溶解性总固体</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utoSpaceDE w:val="0"/>
              <w:autoSpaceDN w:val="0"/>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六价铬</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氟化物</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汞</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砷</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铅</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镉</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铜</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锌</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铁</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氰化物</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sz w:val="20"/>
                <w:szCs w:val="20"/>
              </w:rPr>
            </w:pPr>
            <w:r>
              <w:rPr>
                <w:sz w:val="20"/>
                <w:szCs w:val="20"/>
              </w:rPr>
              <w:t>mg/L</w:t>
            </w:r>
          </w:p>
        </w:tc>
        <w:tc>
          <w:tcPr>
            <w:tcW w:w="1593" w:type="dxa"/>
            <w:vAlign w:val="center"/>
          </w:tcPr>
          <w:p>
            <w:pPr>
              <w:adjustRightInd w:val="0"/>
              <w:snapToGrid w:val="0"/>
              <w:jc w:val="center"/>
              <w:rPr>
                <w:spacing w:val="2"/>
                <w:sz w:val="20"/>
                <w:szCs w:val="20"/>
              </w:rPr>
            </w:pPr>
            <w:r>
              <w:rPr>
                <w:spacing w:val="2"/>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restart"/>
            <w:vAlign w:val="center"/>
          </w:tcPr>
          <w:p>
            <w:pPr>
              <w:adjustRightInd w:val="0"/>
              <w:snapToGrid w:val="0"/>
              <w:jc w:val="center"/>
              <w:rPr>
                <w:spacing w:val="2"/>
                <w:sz w:val="20"/>
                <w:szCs w:val="20"/>
              </w:rPr>
            </w:pPr>
            <w:r>
              <w:rPr>
                <w:spacing w:val="2"/>
                <w:sz w:val="20"/>
                <w:szCs w:val="20"/>
              </w:rPr>
              <w:t>声环境</w:t>
            </w:r>
          </w:p>
        </w:tc>
        <w:tc>
          <w:tcPr>
            <w:tcW w:w="1854" w:type="dxa"/>
            <w:vMerge w:val="restart"/>
            <w:vAlign w:val="center"/>
          </w:tcPr>
          <w:p>
            <w:pPr>
              <w:adjustRightInd w:val="0"/>
              <w:snapToGrid w:val="0"/>
              <w:jc w:val="center"/>
              <w:rPr>
                <w:spacing w:val="2"/>
                <w:sz w:val="20"/>
                <w:szCs w:val="20"/>
              </w:rPr>
            </w:pPr>
            <w:r>
              <w:rPr>
                <w:spacing w:val="2"/>
                <w:sz w:val="20"/>
                <w:szCs w:val="20"/>
              </w:rPr>
              <w:t>《声环境质量标准》（GB3096-2008）2</w:t>
            </w:r>
            <w:r>
              <w:rPr>
                <w:kern w:val="13"/>
                <w:sz w:val="20"/>
                <w:szCs w:val="20"/>
              </w:rPr>
              <w:t>类</w:t>
            </w:r>
            <w:r>
              <w:rPr>
                <w:spacing w:val="2"/>
                <w:sz w:val="20"/>
                <w:szCs w:val="20"/>
              </w:rPr>
              <w:t>标准</w:t>
            </w:r>
          </w:p>
        </w:tc>
        <w:tc>
          <w:tcPr>
            <w:tcW w:w="1394" w:type="dxa"/>
            <w:vMerge w:val="restart"/>
            <w:vAlign w:val="center"/>
          </w:tcPr>
          <w:p>
            <w:pPr>
              <w:adjustRightInd w:val="0"/>
              <w:snapToGrid w:val="0"/>
              <w:jc w:val="center"/>
              <w:rPr>
                <w:spacing w:val="2"/>
                <w:sz w:val="20"/>
                <w:szCs w:val="20"/>
              </w:rPr>
            </w:pPr>
            <w:r>
              <w:rPr>
                <w:kern w:val="13"/>
                <w:sz w:val="20"/>
                <w:szCs w:val="20"/>
              </w:rPr>
              <w:t>Leq</w:t>
            </w:r>
          </w:p>
        </w:tc>
        <w:tc>
          <w:tcPr>
            <w:tcW w:w="1161" w:type="dxa"/>
            <w:vAlign w:val="center"/>
          </w:tcPr>
          <w:p>
            <w:pPr>
              <w:adjustRightInd w:val="0"/>
              <w:snapToGrid w:val="0"/>
              <w:jc w:val="center"/>
              <w:rPr>
                <w:spacing w:val="2"/>
                <w:sz w:val="20"/>
                <w:szCs w:val="20"/>
              </w:rPr>
            </w:pPr>
            <w:r>
              <w:rPr>
                <w:spacing w:val="2"/>
                <w:sz w:val="20"/>
                <w:szCs w:val="20"/>
              </w:rPr>
              <w:t>昼间</w:t>
            </w:r>
          </w:p>
        </w:tc>
        <w:tc>
          <w:tcPr>
            <w:tcW w:w="1595" w:type="dxa"/>
            <w:vAlign w:val="center"/>
          </w:tcPr>
          <w:p>
            <w:pPr>
              <w:adjustRightInd w:val="0"/>
              <w:snapToGrid w:val="0"/>
              <w:jc w:val="center"/>
              <w:rPr>
                <w:spacing w:val="2"/>
                <w:sz w:val="20"/>
                <w:szCs w:val="20"/>
              </w:rPr>
            </w:pPr>
            <w:r>
              <w:rPr>
                <w:spacing w:val="2"/>
                <w:sz w:val="20"/>
                <w:szCs w:val="20"/>
              </w:rPr>
              <w:t>dB(A)</w:t>
            </w:r>
          </w:p>
        </w:tc>
        <w:tc>
          <w:tcPr>
            <w:tcW w:w="1593" w:type="dxa"/>
            <w:vAlign w:val="center"/>
          </w:tcPr>
          <w:p>
            <w:pPr>
              <w:adjustRightInd w:val="0"/>
              <w:snapToGrid w:val="0"/>
              <w:jc w:val="center"/>
              <w:rPr>
                <w:spacing w:val="2"/>
                <w:sz w:val="20"/>
                <w:szCs w:val="20"/>
              </w:rPr>
            </w:pPr>
            <w:r>
              <w:rPr>
                <w:spacing w:val="2"/>
                <w:sz w:val="20"/>
                <w:szCs w:val="20"/>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Merge w:val="continue"/>
            <w:vAlign w:val="center"/>
          </w:tcPr>
          <w:p>
            <w:pPr>
              <w:adjustRightInd w:val="0"/>
              <w:snapToGrid w:val="0"/>
              <w:jc w:val="center"/>
              <w:rPr>
                <w:spacing w:val="2"/>
                <w:sz w:val="20"/>
                <w:szCs w:val="20"/>
              </w:rPr>
            </w:pPr>
          </w:p>
        </w:tc>
        <w:tc>
          <w:tcPr>
            <w:tcW w:w="1161" w:type="dxa"/>
            <w:vAlign w:val="center"/>
          </w:tcPr>
          <w:p>
            <w:pPr>
              <w:adjustRightInd w:val="0"/>
              <w:snapToGrid w:val="0"/>
              <w:jc w:val="center"/>
              <w:rPr>
                <w:spacing w:val="2"/>
                <w:sz w:val="20"/>
                <w:szCs w:val="20"/>
              </w:rPr>
            </w:pPr>
            <w:r>
              <w:rPr>
                <w:spacing w:val="2"/>
                <w:sz w:val="20"/>
                <w:szCs w:val="20"/>
              </w:rPr>
              <w:t>夜间</w:t>
            </w:r>
          </w:p>
        </w:tc>
        <w:tc>
          <w:tcPr>
            <w:tcW w:w="1595" w:type="dxa"/>
            <w:vAlign w:val="center"/>
          </w:tcPr>
          <w:p>
            <w:pPr>
              <w:adjustRightInd w:val="0"/>
              <w:snapToGrid w:val="0"/>
              <w:jc w:val="center"/>
              <w:rPr>
                <w:spacing w:val="2"/>
                <w:sz w:val="20"/>
                <w:szCs w:val="20"/>
              </w:rPr>
            </w:pPr>
            <w:r>
              <w:rPr>
                <w:spacing w:val="2"/>
                <w:sz w:val="20"/>
                <w:szCs w:val="20"/>
              </w:rPr>
              <w:t>dB(A)</w:t>
            </w:r>
          </w:p>
        </w:tc>
        <w:tc>
          <w:tcPr>
            <w:tcW w:w="1593" w:type="dxa"/>
            <w:vAlign w:val="center"/>
          </w:tcPr>
          <w:p>
            <w:pPr>
              <w:adjustRightInd w:val="0"/>
              <w:snapToGrid w:val="0"/>
              <w:jc w:val="center"/>
              <w:rPr>
                <w:spacing w:val="2"/>
                <w:sz w:val="20"/>
                <w:szCs w:val="20"/>
              </w:rPr>
            </w:pPr>
            <w:r>
              <w:rPr>
                <w:spacing w:val="2"/>
                <w:sz w:val="20"/>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restart"/>
            <w:vAlign w:val="center"/>
          </w:tcPr>
          <w:p>
            <w:pPr>
              <w:adjustRightInd w:val="0"/>
              <w:snapToGrid w:val="0"/>
              <w:jc w:val="center"/>
              <w:rPr>
                <w:spacing w:val="2"/>
                <w:sz w:val="20"/>
                <w:szCs w:val="20"/>
              </w:rPr>
            </w:pPr>
            <w:r>
              <w:rPr>
                <w:spacing w:val="2"/>
                <w:sz w:val="20"/>
                <w:szCs w:val="20"/>
              </w:rPr>
              <w:t>土壤</w:t>
            </w:r>
          </w:p>
        </w:tc>
        <w:tc>
          <w:tcPr>
            <w:tcW w:w="1854" w:type="dxa"/>
            <w:vMerge w:val="restart"/>
            <w:vAlign w:val="center"/>
          </w:tcPr>
          <w:p>
            <w:pPr>
              <w:adjustRightInd w:val="0"/>
              <w:snapToGrid w:val="0"/>
              <w:jc w:val="center"/>
              <w:rPr>
                <w:kern w:val="13"/>
                <w:sz w:val="20"/>
                <w:szCs w:val="20"/>
              </w:rPr>
            </w:pPr>
            <w:r>
              <w:rPr>
                <w:spacing w:val="2"/>
                <w:sz w:val="20"/>
                <w:szCs w:val="20"/>
              </w:rPr>
              <w:t>《土壤环境质量标准》（GB15618-1995）二</w:t>
            </w:r>
            <w:r>
              <w:rPr>
                <w:kern w:val="13"/>
                <w:sz w:val="20"/>
                <w:szCs w:val="20"/>
              </w:rPr>
              <w:t>级（pH〉7.5）</w:t>
            </w:r>
          </w:p>
        </w:tc>
        <w:tc>
          <w:tcPr>
            <w:tcW w:w="1394" w:type="dxa"/>
            <w:vAlign w:val="center"/>
          </w:tcPr>
          <w:p>
            <w:pPr>
              <w:adjustRightInd w:val="0"/>
              <w:snapToGrid w:val="0"/>
              <w:jc w:val="center"/>
              <w:rPr>
                <w:spacing w:val="2"/>
                <w:sz w:val="20"/>
                <w:szCs w:val="20"/>
              </w:rPr>
            </w:pPr>
            <w:r>
              <w:rPr>
                <w:spacing w:val="2"/>
                <w:sz w:val="20"/>
                <w:szCs w:val="20"/>
              </w:rPr>
              <w:t>镉</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kern w:val="13"/>
                <w:sz w:val="20"/>
                <w:szCs w:val="20"/>
              </w:rPr>
            </w:pPr>
            <w:r>
              <w:rPr>
                <w:kern w:val="13"/>
                <w:sz w:val="20"/>
                <w:szCs w:val="20"/>
              </w:rPr>
              <w:t>mg/kg</w:t>
            </w:r>
          </w:p>
        </w:tc>
        <w:tc>
          <w:tcPr>
            <w:tcW w:w="1593" w:type="dxa"/>
            <w:vAlign w:val="center"/>
          </w:tcPr>
          <w:p>
            <w:pPr>
              <w:adjustRightInd w:val="0"/>
              <w:snapToGrid w:val="0"/>
              <w:jc w:val="center"/>
              <w:rPr>
                <w:spacing w:val="2"/>
                <w:sz w:val="20"/>
                <w:szCs w:val="20"/>
              </w:rPr>
            </w:pPr>
            <w:r>
              <w:rPr>
                <w:spacing w:val="2"/>
                <w:sz w:val="20"/>
                <w:szCs w:val="20"/>
              </w:rPr>
              <w:t>0.60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汞</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kern w:val="13"/>
                <w:sz w:val="20"/>
                <w:szCs w:val="20"/>
              </w:rPr>
            </w:pPr>
            <w:r>
              <w:rPr>
                <w:kern w:val="13"/>
                <w:sz w:val="20"/>
                <w:szCs w:val="20"/>
              </w:rPr>
              <w:t>mg/kg</w:t>
            </w:r>
          </w:p>
        </w:tc>
        <w:tc>
          <w:tcPr>
            <w:tcW w:w="1593" w:type="dxa"/>
            <w:vAlign w:val="center"/>
          </w:tcPr>
          <w:p>
            <w:pPr>
              <w:adjustRightInd w:val="0"/>
              <w:snapToGrid w:val="0"/>
              <w:jc w:val="center"/>
              <w:rPr>
                <w:spacing w:val="2"/>
                <w:sz w:val="20"/>
                <w:szCs w:val="20"/>
              </w:rPr>
            </w:pPr>
            <w:r>
              <w:rPr>
                <w:spacing w:val="2"/>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砷</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kern w:val="13"/>
                <w:sz w:val="20"/>
                <w:szCs w:val="20"/>
              </w:rPr>
            </w:pPr>
            <w:r>
              <w:rPr>
                <w:kern w:val="13"/>
                <w:sz w:val="20"/>
                <w:szCs w:val="20"/>
              </w:rPr>
              <w:t>mg/kg</w:t>
            </w:r>
          </w:p>
        </w:tc>
        <w:tc>
          <w:tcPr>
            <w:tcW w:w="1593" w:type="dxa"/>
            <w:vAlign w:val="center"/>
          </w:tcPr>
          <w:p>
            <w:pPr>
              <w:adjustRightInd w:val="0"/>
              <w:snapToGrid w:val="0"/>
              <w:jc w:val="center"/>
              <w:rPr>
                <w:spacing w:val="2"/>
                <w:sz w:val="20"/>
                <w:szCs w:val="20"/>
              </w:rPr>
            </w:pPr>
            <w:r>
              <w:rPr>
                <w:spacing w:val="2"/>
                <w:sz w:val="20"/>
                <w:szCs w:val="20"/>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铜</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kern w:val="13"/>
                <w:sz w:val="20"/>
                <w:szCs w:val="20"/>
              </w:rPr>
            </w:pPr>
            <w:r>
              <w:rPr>
                <w:kern w:val="13"/>
                <w:sz w:val="20"/>
                <w:szCs w:val="20"/>
              </w:rPr>
              <w:t>mg/kg</w:t>
            </w:r>
          </w:p>
        </w:tc>
        <w:tc>
          <w:tcPr>
            <w:tcW w:w="1593" w:type="dxa"/>
            <w:vAlign w:val="center"/>
          </w:tcPr>
          <w:p>
            <w:pPr>
              <w:adjustRightInd w:val="0"/>
              <w:snapToGrid w:val="0"/>
              <w:jc w:val="center"/>
              <w:rPr>
                <w:spacing w:val="2"/>
                <w:sz w:val="20"/>
                <w:szCs w:val="20"/>
              </w:rPr>
            </w:pPr>
            <w:r>
              <w:rPr>
                <w:spacing w:val="2"/>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铅</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kern w:val="13"/>
                <w:sz w:val="20"/>
                <w:szCs w:val="20"/>
              </w:rPr>
            </w:pPr>
            <w:r>
              <w:rPr>
                <w:kern w:val="13"/>
                <w:sz w:val="20"/>
                <w:szCs w:val="20"/>
              </w:rPr>
              <w:t>mg/kg</w:t>
            </w:r>
          </w:p>
        </w:tc>
        <w:tc>
          <w:tcPr>
            <w:tcW w:w="1593" w:type="dxa"/>
            <w:vAlign w:val="center"/>
          </w:tcPr>
          <w:p>
            <w:pPr>
              <w:adjustRightInd w:val="0"/>
              <w:snapToGrid w:val="0"/>
              <w:jc w:val="center"/>
              <w:rPr>
                <w:spacing w:val="2"/>
                <w:sz w:val="20"/>
                <w:szCs w:val="20"/>
              </w:rPr>
            </w:pPr>
            <w:r>
              <w:rPr>
                <w:spacing w:val="2"/>
                <w:sz w:val="20"/>
                <w:szCs w:val="20"/>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27" w:hRule="atLeast"/>
          <w:jc w:val="center"/>
        </w:trPr>
        <w:tc>
          <w:tcPr>
            <w:tcW w:w="709" w:type="dxa"/>
            <w:vMerge w:val="continue"/>
            <w:vAlign w:val="center"/>
          </w:tcPr>
          <w:p>
            <w:pPr>
              <w:adjustRightInd w:val="0"/>
              <w:snapToGrid w:val="0"/>
              <w:jc w:val="center"/>
              <w:rPr>
                <w:spacing w:val="2"/>
                <w:sz w:val="20"/>
                <w:szCs w:val="20"/>
              </w:rPr>
            </w:pPr>
          </w:p>
        </w:tc>
        <w:tc>
          <w:tcPr>
            <w:tcW w:w="1854" w:type="dxa"/>
            <w:vMerge w:val="continue"/>
            <w:vAlign w:val="center"/>
          </w:tcPr>
          <w:p>
            <w:pPr>
              <w:adjustRightInd w:val="0"/>
              <w:snapToGrid w:val="0"/>
              <w:jc w:val="center"/>
              <w:rPr>
                <w:spacing w:val="2"/>
                <w:sz w:val="20"/>
                <w:szCs w:val="20"/>
              </w:rPr>
            </w:pPr>
          </w:p>
        </w:tc>
        <w:tc>
          <w:tcPr>
            <w:tcW w:w="1394" w:type="dxa"/>
            <w:vAlign w:val="center"/>
          </w:tcPr>
          <w:p>
            <w:pPr>
              <w:adjustRightInd w:val="0"/>
              <w:snapToGrid w:val="0"/>
              <w:jc w:val="center"/>
              <w:rPr>
                <w:spacing w:val="2"/>
                <w:sz w:val="20"/>
                <w:szCs w:val="20"/>
              </w:rPr>
            </w:pPr>
            <w:r>
              <w:rPr>
                <w:spacing w:val="2"/>
                <w:sz w:val="20"/>
                <w:szCs w:val="20"/>
              </w:rPr>
              <w:t>锌</w:t>
            </w:r>
          </w:p>
        </w:tc>
        <w:tc>
          <w:tcPr>
            <w:tcW w:w="1161" w:type="dxa"/>
            <w:vAlign w:val="center"/>
          </w:tcPr>
          <w:p>
            <w:pPr>
              <w:adjustRightInd w:val="0"/>
              <w:snapToGrid w:val="0"/>
              <w:jc w:val="center"/>
              <w:rPr>
                <w:kern w:val="13"/>
                <w:sz w:val="20"/>
                <w:szCs w:val="20"/>
              </w:rPr>
            </w:pPr>
            <w:r>
              <w:rPr>
                <w:kern w:val="13"/>
                <w:sz w:val="20"/>
                <w:szCs w:val="20"/>
              </w:rPr>
              <w:t>≤</w:t>
            </w:r>
          </w:p>
        </w:tc>
        <w:tc>
          <w:tcPr>
            <w:tcW w:w="1595" w:type="dxa"/>
            <w:vAlign w:val="center"/>
          </w:tcPr>
          <w:p>
            <w:pPr>
              <w:adjustRightInd w:val="0"/>
              <w:snapToGrid w:val="0"/>
              <w:jc w:val="center"/>
              <w:rPr>
                <w:kern w:val="13"/>
                <w:sz w:val="20"/>
                <w:szCs w:val="20"/>
              </w:rPr>
            </w:pPr>
            <w:r>
              <w:rPr>
                <w:kern w:val="13"/>
                <w:sz w:val="20"/>
                <w:szCs w:val="20"/>
              </w:rPr>
              <w:t>mg/kg</w:t>
            </w:r>
          </w:p>
        </w:tc>
        <w:tc>
          <w:tcPr>
            <w:tcW w:w="1593" w:type="dxa"/>
            <w:vAlign w:val="center"/>
          </w:tcPr>
          <w:p>
            <w:pPr>
              <w:adjustRightInd w:val="0"/>
              <w:snapToGrid w:val="0"/>
              <w:jc w:val="center"/>
              <w:rPr>
                <w:spacing w:val="2"/>
                <w:sz w:val="20"/>
                <w:szCs w:val="20"/>
              </w:rPr>
            </w:pPr>
            <w:r>
              <w:rPr>
                <w:spacing w:val="2"/>
                <w:sz w:val="20"/>
                <w:szCs w:val="20"/>
              </w:rPr>
              <w:t>300</w:t>
            </w:r>
          </w:p>
        </w:tc>
      </w:tr>
    </w:tbl>
    <w:p>
      <w:pPr>
        <w:pStyle w:val="10"/>
        <w:rPr>
          <w:rFonts w:ascii="Times New Roman" w:hAnsi="Times New Roman"/>
          <w:szCs w:val="30"/>
        </w:rPr>
      </w:pPr>
      <w:bookmarkStart w:id="129" w:name="_Toc420663627"/>
      <w:bookmarkStart w:id="130" w:name="_Toc407153440"/>
      <w:bookmarkStart w:id="131" w:name="_Toc202948391"/>
      <w:bookmarkStart w:id="132" w:name="_Toc181089013"/>
      <w:bookmarkStart w:id="133" w:name="_Toc180679848"/>
      <w:bookmarkStart w:id="134" w:name="_Toc183091234"/>
      <w:bookmarkStart w:id="135" w:name="_Toc181090292"/>
      <w:bookmarkStart w:id="136" w:name="_Toc181089837"/>
      <w:bookmarkStart w:id="137" w:name="_Toc180680269"/>
      <w:bookmarkStart w:id="138" w:name="_Toc407217306"/>
      <w:bookmarkStart w:id="139" w:name="_Toc181088607"/>
      <w:bookmarkStart w:id="140" w:name="_Toc406504154"/>
      <w:r>
        <w:rPr>
          <w:rFonts w:ascii="Times New Roman" w:hAnsi="Times New Roman"/>
          <w:szCs w:val="30"/>
        </w:rPr>
        <w:t>1.8.2 污染物排放标准</w:t>
      </w:r>
      <w:bookmarkEnd w:id="129"/>
      <w:bookmarkEnd w:id="130"/>
      <w:bookmarkEnd w:id="131"/>
      <w:bookmarkEnd w:id="132"/>
      <w:bookmarkEnd w:id="133"/>
      <w:bookmarkEnd w:id="134"/>
      <w:bookmarkEnd w:id="135"/>
      <w:bookmarkEnd w:id="136"/>
      <w:bookmarkEnd w:id="137"/>
      <w:bookmarkEnd w:id="138"/>
      <w:bookmarkEnd w:id="139"/>
      <w:bookmarkEnd w:id="140"/>
    </w:p>
    <w:p>
      <w:pPr>
        <w:pStyle w:val="107"/>
        <w:ind w:firstLine="480" w:firstLineChars="200"/>
      </w:pPr>
      <w:r>
        <w:t>1</w:t>
      </w:r>
      <w:r>
        <w:rPr>
          <w:rFonts w:eastAsia="宋体"/>
        </w:rPr>
        <w:t>、大气：《大气污染物综合排放标准》（</w:t>
      </w:r>
      <w:r>
        <w:t>GB16297-1996</w:t>
      </w:r>
      <w:r>
        <w:rPr>
          <w:rFonts w:eastAsia="宋体"/>
        </w:rPr>
        <w:t>）表</w:t>
      </w:r>
      <w:r>
        <w:t>2</w:t>
      </w:r>
      <w:r>
        <w:rPr>
          <w:rFonts w:eastAsia="宋体"/>
        </w:rPr>
        <w:t>二级标准；</w:t>
      </w:r>
    </w:p>
    <w:p>
      <w:pPr>
        <w:pStyle w:val="107"/>
        <w:ind w:firstLine="480" w:firstLineChars="200"/>
        <w:rPr>
          <w:rFonts w:eastAsia="宋体"/>
        </w:rPr>
      </w:pPr>
      <w:r>
        <w:t>2</w:t>
      </w:r>
      <w:r>
        <w:rPr>
          <w:rFonts w:eastAsia="宋体"/>
        </w:rPr>
        <w:t>、噪声：《工业企业厂界环境噪声排放标准》（</w:t>
      </w:r>
      <w:r>
        <w:t>GB12348-2008</w:t>
      </w:r>
      <w:r>
        <w:rPr>
          <w:rFonts w:eastAsia="宋体"/>
        </w:rPr>
        <w:t>）</w:t>
      </w:r>
      <w:r>
        <w:t>2</w:t>
      </w:r>
      <w:r>
        <w:rPr>
          <w:rFonts w:eastAsia="宋体"/>
        </w:rPr>
        <w:t>类标准；</w:t>
      </w:r>
    </w:p>
    <w:p>
      <w:pPr>
        <w:pStyle w:val="107"/>
        <w:ind w:firstLine="480" w:firstLineChars="200"/>
      </w:pPr>
      <w:r>
        <w:rPr>
          <w:rFonts w:eastAsia="宋体"/>
        </w:rPr>
        <w:t>3、废水：《污水综合排放标准》（GB8978-1996）一级标准；</w:t>
      </w:r>
    </w:p>
    <w:p>
      <w:pPr>
        <w:pStyle w:val="107"/>
        <w:ind w:firstLine="480" w:firstLineChars="200"/>
        <w:jc w:val="both"/>
        <w:rPr>
          <w:rFonts w:eastAsia="宋体"/>
        </w:rPr>
      </w:pPr>
      <w:r>
        <w:t>3</w:t>
      </w:r>
      <w:r>
        <w:rPr>
          <w:rFonts w:eastAsia="宋体"/>
        </w:rPr>
        <w:t>、固体废物：《一般工业固体废物贮存、处置场污染控制标准》（</w:t>
      </w:r>
      <w:r>
        <w:t>GB18599-2001</w:t>
      </w:r>
      <w:r>
        <w:rPr>
          <w:rFonts w:eastAsia="宋体"/>
        </w:rPr>
        <w:t>）及2013年修改单相关要求；</w:t>
      </w:r>
    </w:p>
    <w:p>
      <w:pPr>
        <w:pStyle w:val="107"/>
        <w:jc w:val="both"/>
        <w:rPr>
          <w:rFonts w:eastAsia="宋体"/>
        </w:rPr>
      </w:pPr>
      <w:r>
        <w:rPr>
          <w:rFonts w:eastAsia="宋体"/>
        </w:rPr>
        <w:t xml:space="preserve">    4、</w:t>
      </w:r>
      <w:r>
        <w:t>《危险废物贮存污染控制标准》（GB18597—2001）</w:t>
      </w:r>
      <w:r>
        <w:rPr>
          <w:spacing w:val="2"/>
        </w:rPr>
        <w:t>要求。</w:t>
      </w:r>
    </w:p>
    <w:p>
      <w:pPr>
        <w:pStyle w:val="107"/>
        <w:jc w:val="both"/>
      </w:pPr>
      <w:r>
        <w:rPr>
          <w:rFonts w:eastAsia="宋体"/>
        </w:rPr>
        <w:t xml:space="preserve">    污染物排放标准详细指标见表</w:t>
      </w:r>
      <w:r>
        <w:t>1.8-2</w:t>
      </w:r>
      <w:r>
        <w:rPr>
          <w:rFonts w:eastAsia="宋体"/>
        </w:rPr>
        <w:t>。</w:t>
      </w:r>
    </w:p>
    <w:p>
      <w:pPr>
        <w:spacing w:line="520" w:lineRule="exact"/>
        <w:ind w:firstLine="448" w:firstLineChars="200"/>
        <w:jc w:val="left"/>
        <w:rPr>
          <w:rFonts w:eastAsia="黑体"/>
          <w:spacing w:val="2"/>
          <w:sz w:val="22"/>
          <w:szCs w:val="22"/>
        </w:rPr>
      </w:pPr>
      <w:r>
        <w:rPr>
          <w:rFonts w:eastAsia="黑体"/>
          <w:spacing w:val="2"/>
          <w:sz w:val="22"/>
          <w:szCs w:val="22"/>
        </w:rPr>
        <w:t>表1.8-2                污染物排放标准详细指标</w:t>
      </w:r>
    </w:p>
    <w:tbl>
      <w:tblPr>
        <w:tblStyle w:val="54"/>
        <w:tblW w:w="8306"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134"/>
        <w:gridCol w:w="2977"/>
        <w:gridCol w:w="851"/>
        <w:gridCol w:w="1088"/>
        <w:gridCol w:w="225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blHeader/>
        </w:trPr>
        <w:tc>
          <w:tcPr>
            <w:tcW w:w="1134" w:type="dxa"/>
            <w:tcBorders>
              <w:top w:val="single" w:color="auto" w:sz="12" w:space="0"/>
              <w:left w:val="single" w:color="auto" w:sz="12" w:space="0"/>
              <w:bottom w:val="single" w:color="auto" w:sz="2" w:space="0"/>
            </w:tcBorders>
            <w:vAlign w:val="center"/>
          </w:tcPr>
          <w:p>
            <w:pPr>
              <w:snapToGrid w:val="0"/>
              <w:spacing w:line="320" w:lineRule="exact"/>
              <w:jc w:val="center"/>
              <w:rPr>
                <w:b/>
                <w:kern w:val="0"/>
                <w:sz w:val="20"/>
                <w:szCs w:val="20"/>
              </w:rPr>
            </w:pPr>
            <w:r>
              <w:rPr>
                <w:b/>
                <w:kern w:val="0"/>
                <w:sz w:val="20"/>
                <w:szCs w:val="20"/>
              </w:rPr>
              <w:t>污染类型</w:t>
            </w:r>
          </w:p>
        </w:tc>
        <w:tc>
          <w:tcPr>
            <w:tcW w:w="2977" w:type="dxa"/>
            <w:tcBorders>
              <w:top w:val="single" w:color="auto" w:sz="12" w:space="0"/>
              <w:bottom w:val="single" w:color="auto" w:sz="2" w:space="0"/>
            </w:tcBorders>
            <w:vAlign w:val="center"/>
          </w:tcPr>
          <w:p>
            <w:pPr>
              <w:snapToGrid w:val="0"/>
              <w:spacing w:line="320" w:lineRule="exact"/>
              <w:jc w:val="center"/>
              <w:rPr>
                <w:b/>
                <w:kern w:val="0"/>
                <w:sz w:val="20"/>
                <w:szCs w:val="20"/>
              </w:rPr>
            </w:pPr>
            <w:r>
              <w:rPr>
                <w:b/>
                <w:kern w:val="0"/>
                <w:sz w:val="20"/>
                <w:szCs w:val="20"/>
              </w:rPr>
              <w:t>标准名称及级（类）别</w:t>
            </w:r>
          </w:p>
        </w:tc>
        <w:tc>
          <w:tcPr>
            <w:tcW w:w="1939" w:type="dxa"/>
            <w:gridSpan w:val="2"/>
            <w:tcBorders>
              <w:top w:val="single" w:color="auto" w:sz="12" w:space="0"/>
              <w:bottom w:val="single" w:color="auto" w:sz="2" w:space="0"/>
            </w:tcBorders>
            <w:vAlign w:val="center"/>
          </w:tcPr>
          <w:p>
            <w:pPr>
              <w:snapToGrid w:val="0"/>
              <w:spacing w:line="320" w:lineRule="exact"/>
              <w:jc w:val="center"/>
              <w:rPr>
                <w:b/>
                <w:kern w:val="0"/>
                <w:sz w:val="20"/>
                <w:szCs w:val="20"/>
              </w:rPr>
            </w:pPr>
            <w:r>
              <w:rPr>
                <w:b/>
                <w:kern w:val="0"/>
                <w:sz w:val="20"/>
                <w:szCs w:val="20"/>
              </w:rPr>
              <w:t>污染因子</w:t>
            </w:r>
          </w:p>
        </w:tc>
        <w:tc>
          <w:tcPr>
            <w:tcW w:w="2256" w:type="dxa"/>
            <w:tcBorders>
              <w:top w:val="single" w:color="auto" w:sz="12" w:space="0"/>
              <w:bottom w:val="single" w:color="auto" w:sz="2" w:space="0"/>
              <w:right w:val="single" w:color="auto" w:sz="12" w:space="0"/>
            </w:tcBorders>
            <w:vAlign w:val="center"/>
          </w:tcPr>
          <w:p>
            <w:pPr>
              <w:snapToGrid w:val="0"/>
              <w:spacing w:line="320" w:lineRule="exact"/>
              <w:jc w:val="center"/>
              <w:rPr>
                <w:b/>
                <w:kern w:val="0"/>
                <w:sz w:val="20"/>
                <w:szCs w:val="20"/>
              </w:rPr>
            </w:pPr>
            <w:r>
              <w:rPr>
                <w:b/>
                <w:kern w:val="0"/>
                <w:sz w:val="20"/>
                <w:szCs w:val="20"/>
              </w:rPr>
              <w:t>标准限值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134" w:type="dxa"/>
            <w:vMerge w:val="restart"/>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r>
              <w:rPr>
                <w:spacing w:val="2"/>
                <w:sz w:val="20"/>
                <w:szCs w:val="20"/>
              </w:rPr>
              <w:t>废气</w:t>
            </w:r>
          </w:p>
        </w:tc>
        <w:tc>
          <w:tcPr>
            <w:tcW w:w="2977" w:type="dxa"/>
            <w:vMerge w:val="restart"/>
            <w:tcBorders>
              <w:top w:val="single" w:color="auto" w:sz="2" w:space="0"/>
              <w:bottom w:val="single" w:color="auto" w:sz="2" w:space="0"/>
            </w:tcBorders>
            <w:vAlign w:val="center"/>
          </w:tcPr>
          <w:p>
            <w:pPr>
              <w:snapToGrid w:val="0"/>
              <w:spacing w:line="320" w:lineRule="exact"/>
              <w:jc w:val="center"/>
              <w:rPr>
                <w:spacing w:val="2"/>
                <w:sz w:val="20"/>
                <w:szCs w:val="20"/>
              </w:rPr>
            </w:pPr>
            <w:r>
              <w:rPr>
                <w:spacing w:val="2"/>
                <w:sz w:val="20"/>
                <w:szCs w:val="20"/>
              </w:rPr>
              <w:t>《大气污染物综合排放标准》（GB16297-1996）二级</w:t>
            </w:r>
          </w:p>
        </w:tc>
        <w:tc>
          <w:tcPr>
            <w:tcW w:w="1939" w:type="dxa"/>
            <w:gridSpan w:val="2"/>
            <w:vMerge w:val="restart"/>
            <w:tcBorders>
              <w:top w:val="single" w:color="auto" w:sz="2" w:space="0"/>
              <w:bottom w:val="single" w:color="auto" w:sz="2" w:space="0"/>
            </w:tcBorders>
            <w:vAlign w:val="center"/>
          </w:tcPr>
          <w:p>
            <w:pPr>
              <w:snapToGrid w:val="0"/>
              <w:jc w:val="center"/>
              <w:rPr>
                <w:spacing w:val="2"/>
                <w:sz w:val="20"/>
                <w:szCs w:val="20"/>
              </w:rPr>
            </w:pPr>
            <w:r>
              <w:rPr>
                <w:spacing w:val="2"/>
                <w:sz w:val="20"/>
                <w:szCs w:val="20"/>
              </w:rPr>
              <w:t>颗粒物、PM</w:t>
            </w:r>
            <w:r>
              <w:rPr>
                <w:spacing w:val="2"/>
                <w:sz w:val="20"/>
                <w:szCs w:val="20"/>
                <w:vertAlign w:val="subscript"/>
              </w:rPr>
              <w:t>10</w:t>
            </w:r>
          </w:p>
        </w:tc>
        <w:tc>
          <w:tcPr>
            <w:tcW w:w="2256" w:type="dxa"/>
            <w:tcBorders>
              <w:top w:val="single" w:color="auto" w:sz="2" w:space="0"/>
              <w:bottom w:val="single" w:color="auto" w:sz="2" w:space="0"/>
              <w:right w:val="single" w:color="auto" w:sz="12" w:space="0"/>
            </w:tcBorders>
            <w:vAlign w:val="center"/>
          </w:tcPr>
          <w:p>
            <w:pPr>
              <w:snapToGrid w:val="0"/>
              <w:jc w:val="center"/>
              <w:rPr>
                <w:spacing w:val="2"/>
                <w:sz w:val="20"/>
                <w:szCs w:val="20"/>
              </w:rPr>
            </w:pPr>
            <w:r>
              <w:rPr>
                <w:spacing w:val="2"/>
                <w:sz w:val="20"/>
                <w:szCs w:val="20"/>
              </w:rPr>
              <w:t>120mg/Nm</w:t>
            </w:r>
            <w:r>
              <w:rPr>
                <w:spacing w:val="2"/>
                <w:sz w:val="20"/>
                <w:szCs w:val="20"/>
                <w:vertAlign w:val="superscript"/>
              </w:rPr>
              <w:t>3</w:t>
            </w:r>
            <w:r>
              <w:rPr>
                <w:spacing w:val="2"/>
                <w:sz w:val="20"/>
                <w:szCs w:val="20"/>
              </w:rPr>
              <w:t>，3.5kg/h</w:t>
            </w:r>
          </w:p>
          <w:p>
            <w:pPr>
              <w:snapToGrid w:val="0"/>
              <w:jc w:val="center"/>
              <w:rPr>
                <w:spacing w:val="2"/>
                <w:sz w:val="20"/>
                <w:szCs w:val="20"/>
              </w:rPr>
            </w:pPr>
            <w:r>
              <w:rPr>
                <w:spacing w:val="2"/>
                <w:sz w:val="20"/>
                <w:szCs w:val="20"/>
              </w:rPr>
              <w:t>（15m高排气筒）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1939" w:type="dxa"/>
            <w:gridSpan w:val="2"/>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无组织厂界1.0mg/m</w:t>
            </w:r>
            <w:r>
              <w:rPr>
                <w:spacing w:val="2"/>
                <w:sz w:val="20"/>
                <w:szCs w:val="20"/>
                <w:vertAlign w:val="superscript"/>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restart"/>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r>
              <w:rPr>
                <w:spacing w:val="2"/>
                <w:sz w:val="20"/>
                <w:szCs w:val="20"/>
              </w:rPr>
              <w:t>废水</w:t>
            </w:r>
          </w:p>
        </w:tc>
        <w:tc>
          <w:tcPr>
            <w:tcW w:w="2977" w:type="dxa"/>
            <w:vMerge w:val="restart"/>
            <w:tcBorders>
              <w:top w:val="single" w:color="auto" w:sz="2" w:space="0"/>
              <w:bottom w:val="single" w:color="auto" w:sz="2" w:space="0"/>
            </w:tcBorders>
            <w:vAlign w:val="center"/>
          </w:tcPr>
          <w:p>
            <w:pPr>
              <w:snapToGrid w:val="0"/>
              <w:spacing w:line="320" w:lineRule="exact"/>
              <w:jc w:val="center"/>
              <w:rPr>
                <w:spacing w:val="2"/>
                <w:sz w:val="20"/>
                <w:szCs w:val="20"/>
              </w:rPr>
            </w:pPr>
            <w:r>
              <w:rPr>
                <w:sz w:val="20"/>
                <w:szCs w:val="20"/>
              </w:rPr>
              <w:t>《污水综合排放标准》（GB8978-1996）</w:t>
            </w:r>
          </w:p>
        </w:tc>
        <w:tc>
          <w:tcPr>
            <w:tcW w:w="851" w:type="dxa"/>
            <w:vMerge w:val="restart"/>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r>
              <w:rPr>
                <w:spacing w:val="2"/>
                <w:sz w:val="20"/>
                <w:szCs w:val="20"/>
              </w:rPr>
              <w:t>表4一级</w:t>
            </w:r>
          </w:p>
          <w:p>
            <w:pPr>
              <w:snapToGrid w:val="0"/>
              <w:spacing w:line="320" w:lineRule="exact"/>
              <w:jc w:val="center"/>
              <w:rPr>
                <w:spacing w:val="2"/>
                <w:sz w:val="20"/>
                <w:szCs w:val="20"/>
              </w:rPr>
            </w:pPr>
            <w:r>
              <w:rPr>
                <w:spacing w:val="2"/>
                <w:sz w:val="20"/>
                <w:szCs w:val="20"/>
              </w:rPr>
              <w:t>标准</w:t>
            </w: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pacing w:val="-20"/>
                <w:sz w:val="20"/>
                <w:szCs w:val="20"/>
              </w:rPr>
              <w:t>pH</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悬浮物</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COD</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氨氮</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生化需氧量</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氟化物</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硫化物</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石油类</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总铜</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z w:val="20"/>
                <w:szCs w:val="20"/>
              </w:rPr>
              <w:t>总铜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总锌</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z w:val="20"/>
                <w:szCs w:val="20"/>
              </w:rPr>
              <w:t>总锌</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总铁</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z w:val="20"/>
                <w:szCs w:val="20"/>
              </w:rPr>
              <w:t>总铁</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restart"/>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r>
              <w:rPr>
                <w:spacing w:val="2"/>
                <w:sz w:val="20"/>
                <w:szCs w:val="20"/>
              </w:rPr>
              <w:t>表1第一类污染物标准</w:t>
            </w: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六价铬</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总铅</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总镉</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总砷</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851" w:type="dxa"/>
            <w:vMerge w:val="continue"/>
            <w:tcBorders>
              <w:top w:val="single" w:color="auto" w:sz="2" w:space="0"/>
              <w:bottom w:val="single" w:color="auto" w:sz="2" w:space="0"/>
              <w:right w:val="single" w:color="auto" w:sz="4" w:space="0"/>
            </w:tcBorders>
            <w:vAlign w:val="center"/>
          </w:tcPr>
          <w:p>
            <w:pPr>
              <w:snapToGrid w:val="0"/>
              <w:spacing w:line="320" w:lineRule="exact"/>
              <w:jc w:val="center"/>
              <w:rPr>
                <w:spacing w:val="2"/>
                <w:sz w:val="20"/>
                <w:szCs w:val="20"/>
              </w:rPr>
            </w:pPr>
          </w:p>
        </w:tc>
        <w:tc>
          <w:tcPr>
            <w:tcW w:w="1088" w:type="dxa"/>
            <w:tcBorders>
              <w:top w:val="single" w:color="auto" w:sz="2" w:space="0"/>
              <w:left w:val="single" w:color="auto" w:sz="4" w:space="0"/>
              <w:bottom w:val="single" w:color="auto" w:sz="2" w:space="0"/>
            </w:tcBorders>
            <w:vAlign w:val="center"/>
          </w:tcPr>
          <w:p>
            <w:pPr>
              <w:snapToGrid w:val="0"/>
              <w:spacing w:line="320" w:lineRule="exact"/>
              <w:jc w:val="center"/>
              <w:rPr>
                <w:spacing w:val="2"/>
                <w:sz w:val="20"/>
                <w:szCs w:val="20"/>
              </w:rPr>
            </w:pPr>
            <w:r>
              <w:rPr>
                <w:sz w:val="20"/>
                <w:szCs w:val="20"/>
              </w:rPr>
              <w:t>总汞</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restart"/>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r>
              <w:rPr>
                <w:spacing w:val="2"/>
                <w:sz w:val="20"/>
                <w:szCs w:val="20"/>
              </w:rPr>
              <w:t>噪声</w:t>
            </w:r>
          </w:p>
        </w:tc>
        <w:tc>
          <w:tcPr>
            <w:tcW w:w="2977" w:type="dxa"/>
            <w:vMerge w:val="restart"/>
            <w:tcBorders>
              <w:top w:val="single" w:color="auto" w:sz="2" w:space="0"/>
              <w:bottom w:val="single" w:color="auto" w:sz="2" w:space="0"/>
            </w:tcBorders>
            <w:vAlign w:val="center"/>
          </w:tcPr>
          <w:p>
            <w:pPr>
              <w:snapToGrid w:val="0"/>
              <w:spacing w:line="320" w:lineRule="exact"/>
              <w:jc w:val="center"/>
              <w:rPr>
                <w:spacing w:val="2"/>
                <w:sz w:val="20"/>
                <w:szCs w:val="20"/>
              </w:rPr>
            </w:pPr>
            <w:r>
              <w:rPr>
                <w:spacing w:val="2"/>
                <w:sz w:val="20"/>
                <w:szCs w:val="20"/>
              </w:rPr>
              <w:t>《工业企业厂界环境噪声排放标准》（GB12348-2008）2类标准</w:t>
            </w:r>
          </w:p>
        </w:tc>
        <w:tc>
          <w:tcPr>
            <w:tcW w:w="1939" w:type="dxa"/>
            <w:gridSpan w:val="2"/>
            <w:vMerge w:val="restart"/>
            <w:tcBorders>
              <w:top w:val="single" w:color="auto" w:sz="2" w:space="0"/>
              <w:bottom w:val="single" w:color="auto" w:sz="2" w:space="0"/>
            </w:tcBorders>
            <w:vAlign w:val="center"/>
          </w:tcPr>
          <w:p>
            <w:pPr>
              <w:snapToGrid w:val="0"/>
              <w:spacing w:line="320" w:lineRule="exact"/>
              <w:jc w:val="center"/>
              <w:rPr>
                <w:spacing w:val="2"/>
                <w:sz w:val="20"/>
                <w:szCs w:val="20"/>
              </w:rPr>
            </w:pPr>
            <w:r>
              <w:rPr>
                <w:spacing w:val="2"/>
                <w:sz w:val="20"/>
                <w:szCs w:val="20"/>
              </w:rPr>
              <w:t>等效声级L</w:t>
            </w:r>
            <w:r>
              <w:rPr>
                <w:spacing w:val="2"/>
                <w:sz w:val="20"/>
                <w:szCs w:val="20"/>
                <w:vertAlign w:val="subscript"/>
              </w:rPr>
              <w:t>Aeq</w:t>
            </w: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昼间60dB（A）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69" w:hRule="exact"/>
        </w:trPr>
        <w:tc>
          <w:tcPr>
            <w:tcW w:w="1134" w:type="dxa"/>
            <w:vMerge w:val="continue"/>
            <w:tcBorders>
              <w:top w:val="single" w:color="auto" w:sz="2" w:space="0"/>
              <w:left w:val="single" w:color="auto" w:sz="12" w:space="0"/>
              <w:bottom w:val="single" w:color="auto" w:sz="2" w:space="0"/>
            </w:tcBorders>
            <w:vAlign w:val="center"/>
          </w:tcPr>
          <w:p>
            <w:pPr>
              <w:snapToGrid w:val="0"/>
              <w:spacing w:line="320" w:lineRule="exact"/>
              <w:jc w:val="center"/>
              <w:rPr>
                <w:spacing w:val="2"/>
                <w:sz w:val="20"/>
                <w:szCs w:val="20"/>
              </w:rPr>
            </w:pPr>
          </w:p>
        </w:tc>
        <w:tc>
          <w:tcPr>
            <w:tcW w:w="2977" w:type="dxa"/>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1939" w:type="dxa"/>
            <w:gridSpan w:val="2"/>
            <w:vMerge w:val="continue"/>
            <w:tcBorders>
              <w:top w:val="single" w:color="auto" w:sz="2" w:space="0"/>
              <w:bottom w:val="single" w:color="auto" w:sz="2" w:space="0"/>
            </w:tcBorders>
            <w:vAlign w:val="center"/>
          </w:tcPr>
          <w:p>
            <w:pPr>
              <w:snapToGrid w:val="0"/>
              <w:spacing w:line="320" w:lineRule="exact"/>
              <w:jc w:val="center"/>
              <w:rPr>
                <w:spacing w:val="2"/>
                <w:sz w:val="20"/>
                <w:szCs w:val="20"/>
              </w:rPr>
            </w:pPr>
          </w:p>
        </w:tc>
        <w:tc>
          <w:tcPr>
            <w:tcW w:w="2256" w:type="dxa"/>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pacing w:val="2"/>
                <w:sz w:val="20"/>
                <w:szCs w:val="20"/>
              </w:rPr>
              <w:t>夜间50dB（A）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134" w:type="dxa"/>
            <w:tcBorders>
              <w:top w:val="single" w:color="auto" w:sz="2" w:space="0"/>
              <w:left w:val="single" w:color="auto" w:sz="12" w:space="0"/>
              <w:bottom w:val="single" w:color="auto" w:sz="2" w:space="0"/>
            </w:tcBorders>
            <w:vAlign w:val="center"/>
          </w:tcPr>
          <w:p>
            <w:pPr>
              <w:snapToGrid w:val="0"/>
              <w:jc w:val="center"/>
              <w:rPr>
                <w:spacing w:val="2"/>
                <w:sz w:val="20"/>
                <w:szCs w:val="20"/>
              </w:rPr>
            </w:pPr>
            <w:r>
              <w:rPr>
                <w:spacing w:val="2"/>
                <w:sz w:val="20"/>
                <w:szCs w:val="20"/>
              </w:rPr>
              <w:t>固体</w:t>
            </w:r>
          </w:p>
          <w:p>
            <w:pPr>
              <w:snapToGrid w:val="0"/>
              <w:jc w:val="center"/>
              <w:rPr>
                <w:spacing w:val="2"/>
                <w:sz w:val="20"/>
                <w:szCs w:val="20"/>
              </w:rPr>
            </w:pPr>
            <w:r>
              <w:rPr>
                <w:spacing w:val="2"/>
                <w:sz w:val="20"/>
                <w:szCs w:val="20"/>
              </w:rPr>
              <w:t>废物</w:t>
            </w:r>
          </w:p>
        </w:tc>
        <w:tc>
          <w:tcPr>
            <w:tcW w:w="7172" w:type="dxa"/>
            <w:gridSpan w:val="4"/>
            <w:tcBorders>
              <w:top w:val="single" w:color="auto" w:sz="2" w:space="0"/>
              <w:bottom w:val="single" w:color="auto" w:sz="2" w:space="0"/>
              <w:right w:val="single" w:color="auto" w:sz="12" w:space="0"/>
            </w:tcBorders>
            <w:vAlign w:val="center"/>
          </w:tcPr>
          <w:p>
            <w:pPr>
              <w:snapToGrid w:val="0"/>
              <w:spacing w:line="320" w:lineRule="exact"/>
              <w:jc w:val="center"/>
              <w:rPr>
                <w:spacing w:val="2"/>
                <w:sz w:val="20"/>
                <w:szCs w:val="20"/>
              </w:rPr>
            </w:pPr>
            <w:r>
              <w:rPr>
                <w:sz w:val="20"/>
                <w:szCs w:val="20"/>
              </w:rPr>
              <w:t>《</w:t>
            </w:r>
            <w:r>
              <w:rPr>
                <w:spacing w:val="2"/>
                <w:sz w:val="20"/>
                <w:szCs w:val="20"/>
              </w:rPr>
              <w:t>一般工业固体废物贮存、处置场污染控制标准》（GB 18597—2001）及2013年修改单相关要求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134" w:type="dxa"/>
            <w:tcBorders>
              <w:top w:val="single" w:color="auto" w:sz="2" w:space="0"/>
              <w:left w:val="single" w:color="auto" w:sz="12" w:space="0"/>
              <w:bottom w:val="single" w:color="auto" w:sz="12" w:space="0"/>
            </w:tcBorders>
            <w:vAlign w:val="center"/>
          </w:tcPr>
          <w:p>
            <w:pPr>
              <w:snapToGrid w:val="0"/>
              <w:jc w:val="center"/>
              <w:rPr>
                <w:spacing w:val="2"/>
                <w:sz w:val="20"/>
                <w:szCs w:val="20"/>
              </w:rPr>
            </w:pPr>
            <w:r>
              <w:rPr>
                <w:spacing w:val="2"/>
                <w:sz w:val="20"/>
                <w:szCs w:val="20"/>
              </w:rPr>
              <w:t>危险</w:t>
            </w:r>
          </w:p>
          <w:p>
            <w:pPr>
              <w:snapToGrid w:val="0"/>
              <w:jc w:val="center"/>
              <w:rPr>
                <w:spacing w:val="2"/>
                <w:sz w:val="20"/>
                <w:szCs w:val="20"/>
              </w:rPr>
            </w:pPr>
            <w:r>
              <w:rPr>
                <w:spacing w:val="2"/>
                <w:sz w:val="20"/>
                <w:szCs w:val="20"/>
              </w:rPr>
              <w:t>固废</w:t>
            </w:r>
          </w:p>
        </w:tc>
        <w:tc>
          <w:tcPr>
            <w:tcW w:w="7172" w:type="dxa"/>
            <w:gridSpan w:val="4"/>
            <w:tcBorders>
              <w:top w:val="single" w:color="auto" w:sz="2" w:space="0"/>
              <w:bottom w:val="single" w:color="auto" w:sz="12" w:space="0"/>
              <w:right w:val="single" w:color="auto" w:sz="12" w:space="0"/>
            </w:tcBorders>
            <w:vAlign w:val="center"/>
          </w:tcPr>
          <w:p>
            <w:pPr>
              <w:snapToGrid w:val="0"/>
              <w:spacing w:line="320" w:lineRule="exact"/>
              <w:jc w:val="center"/>
              <w:rPr>
                <w:sz w:val="20"/>
                <w:szCs w:val="20"/>
              </w:rPr>
            </w:pPr>
            <w:r>
              <w:rPr>
                <w:sz w:val="20"/>
                <w:szCs w:val="20"/>
              </w:rPr>
              <w:t>《危险废物贮存污染控制标准》（GB18597—2001）</w:t>
            </w:r>
            <w:r>
              <w:rPr>
                <w:spacing w:val="2"/>
                <w:sz w:val="20"/>
                <w:szCs w:val="20"/>
              </w:rPr>
              <w:t>要求</w:t>
            </w:r>
          </w:p>
        </w:tc>
      </w:tr>
    </w:tbl>
    <w:p>
      <w:pPr>
        <w:pStyle w:val="3"/>
        <w:rPr>
          <w:rFonts w:ascii="Times New Roman" w:hAnsi="Times New Roman"/>
          <w:szCs w:val="24"/>
        </w:rPr>
      </w:pPr>
      <w:bookmarkStart w:id="141" w:name="_Toc173147926"/>
      <w:bookmarkStart w:id="142" w:name="_Toc173284075"/>
      <w:bookmarkStart w:id="143" w:name="_Toc488578900"/>
      <w:bookmarkStart w:id="144" w:name="_Toc470358605"/>
      <w:bookmarkStart w:id="145" w:name="_Toc407153441"/>
      <w:bookmarkStart w:id="146" w:name="_Toc420663628"/>
      <w:bookmarkStart w:id="147" w:name="_Toc370112108"/>
      <w:bookmarkStart w:id="148" w:name="_Toc407217307"/>
      <w:bookmarkStart w:id="149" w:name="_Toc406504155"/>
      <w:r>
        <w:rPr>
          <w:rFonts w:ascii="Times New Roman" w:hAnsi="Times New Roman"/>
        </w:rPr>
        <w:t>1.9 主要调查</w:t>
      </w:r>
      <w:bookmarkEnd w:id="141"/>
      <w:bookmarkEnd w:id="142"/>
      <w:r>
        <w:rPr>
          <w:rFonts w:ascii="Times New Roman" w:hAnsi="Times New Roman"/>
        </w:rPr>
        <w:t>对象及环境敏感点分布</w:t>
      </w:r>
      <w:bookmarkEnd w:id="143"/>
      <w:bookmarkEnd w:id="144"/>
      <w:bookmarkEnd w:id="145"/>
      <w:bookmarkEnd w:id="146"/>
      <w:bookmarkEnd w:id="147"/>
      <w:bookmarkEnd w:id="148"/>
      <w:bookmarkEnd w:id="149"/>
    </w:p>
    <w:p>
      <w:pPr>
        <w:pStyle w:val="10"/>
        <w:rPr>
          <w:rFonts w:ascii="Times New Roman" w:hAnsi="Times New Roman"/>
        </w:rPr>
      </w:pPr>
      <w:bookmarkStart w:id="150" w:name="_Toc406504156"/>
      <w:bookmarkStart w:id="151" w:name="_Toc407217308"/>
      <w:bookmarkStart w:id="152" w:name="_Toc407153442"/>
      <w:bookmarkStart w:id="153" w:name="_Toc420663629"/>
      <w:r>
        <w:rPr>
          <w:rFonts w:ascii="Times New Roman" w:hAnsi="Times New Roman"/>
        </w:rPr>
        <w:t>1.9.1主要调查对象</w:t>
      </w:r>
      <w:bookmarkEnd w:id="150"/>
      <w:bookmarkEnd w:id="151"/>
      <w:bookmarkEnd w:id="152"/>
      <w:bookmarkEnd w:id="153"/>
    </w:p>
    <w:p>
      <w:pPr>
        <w:spacing w:line="500" w:lineRule="exact"/>
        <w:ind w:firstLine="488" w:firstLineChars="200"/>
        <w:rPr>
          <w:spacing w:val="2"/>
          <w:sz w:val="24"/>
        </w:rPr>
      </w:pPr>
      <w:r>
        <w:rPr>
          <w:spacing w:val="2"/>
          <w:sz w:val="24"/>
        </w:rPr>
        <w:t>本次验收主要矿山开采、选厂及尾矿库运行及各种设施建设活动造成的大气环境、水环境、声环境、生态环境的影响，分析已有环境保护的有效性，并提出环境保护补救措施。具体内容见表1.9-1。</w:t>
      </w:r>
    </w:p>
    <w:p>
      <w:pPr>
        <w:spacing w:line="520" w:lineRule="exact"/>
        <w:jc w:val="left"/>
        <w:rPr>
          <w:rFonts w:eastAsia="黑体"/>
          <w:sz w:val="22"/>
          <w:szCs w:val="22"/>
        </w:rPr>
      </w:pPr>
      <w:r>
        <w:rPr>
          <w:rFonts w:eastAsia="黑体"/>
          <w:b/>
          <w:sz w:val="24"/>
        </w:rPr>
        <w:t xml:space="preserve"> </w:t>
      </w:r>
      <w:r>
        <w:rPr>
          <w:rFonts w:eastAsia="黑体"/>
          <w:sz w:val="22"/>
          <w:szCs w:val="22"/>
        </w:rPr>
        <w:t xml:space="preserve">   表1.9-1                     主要调查对象一览表</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79"/>
        <w:gridCol w:w="2594"/>
        <w:gridCol w:w="40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jc w:val="center"/>
              <w:rPr>
                <w:b/>
                <w:szCs w:val="21"/>
              </w:rPr>
            </w:pPr>
            <w:r>
              <w:rPr>
                <w:b/>
                <w:szCs w:val="21"/>
              </w:rPr>
              <w:t>序号</w:t>
            </w:r>
          </w:p>
        </w:tc>
        <w:tc>
          <w:tcPr>
            <w:tcW w:w="1079" w:type="dxa"/>
            <w:vAlign w:val="center"/>
          </w:tcPr>
          <w:p>
            <w:pPr>
              <w:jc w:val="center"/>
              <w:rPr>
                <w:b/>
                <w:szCs w:val="21"/>
              </w:rPr>
            </w:pPr>
            <w:r>
              <w:rPr>
                <w:b/>
                <w:szCs w:val="21"/>
              </w:rPr>
              <w:t>影响环境</w:t>
            </w:r>
          </w:p>
        </w:tc>
        <w:tc>
          <w:tcPr>
            <w:tcW w:w="2594" w:type="dxa"/>
            <w:vAlign w:val="center"/>
          </w:tcPr>
          <w:p>
            <w:pPr>
              <w:jc w:val="center"/>
              <w:rPr>
                <w:b/>
                <w:szCs w:val="21"/>
              </w:rPr>
            </w:pPr>
            <w:r>
              <w:rPr>
                <w:b/>
                <w:szCs w:val="21"/>
              </w:rPr>
              <w:t>调查对象</w:t>
            </w:r>
          </w:p>
        </w:tc>
        <w:tc>
          <w:tcPr>
            <w:tcW w:w="4022" w:type="dxa"/>
            <w:vAlign w:val="center"/>
          </w:tcPr>
          <w:p>
            <w:pPr>
              <w:jc w:val="center"/>
              <w:rPr>
                <w:b/>
                <w:szCs w:val="21"/>
              </w:rPr>
            </w:pPr>
            <w:r>
              <w:rPr>
                <w:b/>
                <w:szCs w:val="21"/>
              </w:rPr>
              <w:t>调查项目</w:t>
            </w:r>
          </w:p>
        </w:tc>
      </w:tr>
      <w:tr>
        <w:tblPrEx>
          <w:tblLayout w:type="fixed"/>
          <w:tblCellMar>
            <w:top w:w="0" w:type="dxa"/>
            <w:left w:w="108" w:type="dxa"/>
            <w:bottom w:w="0" w:type="dxa"/>
            <w:right w:w="108" w:type="dxa"/>
          </w:tblCellMar>
        </w:tblPrEx>
        <w:trPr>
          <w:cantSplit/>
        </w:trPr>
        <w:tc>
          <w:tcPr>
            <w:tcW w:w="827" w:type="dxa"/>
            <w:vMerge w:val="restart"/>
            <w:vAlign w:val="center"/>
          </w:tcPr>
          <w:p>
            <w:pPr>
              <w:jc w:val="center"/>
              <w:rPr>
                <w:szCs w:val="21"/>
              </w:rPr>
            </w:pPr>
            <w:r>
              <w:rPr>
                <w:szCs w:val="21"/>
              </w:rPr>
              <w:t>1</w:t>
            </w:r>
          </w:p>
        </w:tc>
        <w:tc>
          <w:tcPr>
            <w:tcW w:w="1079" w:type="dxa"/>
            <w:vMerge w:val="restart"/>
            <w:vAlign w:val="center"/>
          </w:tcPr>
          <w:p>
            <w:pPr>
              <w:jc w:val="center"/>
              <w:rPr>
                <w:szCs w:val="21"/>
              </w:rPr>
            </w:pPr>
            <w:r>
              <w:rPr>
                <w:szCs w:val="21"/>
              </w:rPr>
              <w:t>生态环境</w:t>
            </w:r>
          </w:p>
        </w:tc>
        <w:tc>
          <w:tcPr>
            <w:tcW w:w="2594" w:type="dxa"/>
            <w:vAlign w:val="center"/>
          </w:tcPr>
          <w:p>
            <w:pPr>
              <w:rPr>
                <w:szCs w:val="21"/>
              </w:rPr>
            </w:pPr>
            <w:r>
              <w:rPr>
                <w:szCs w:val="21"/>
              </w:rPr>
              <w:t>矿山工程及地面设施建设</w:t>
            </w:r>
          </w:p>
        </w:tc>
        <w:tc>
          <w:tcPr>
            <w:tcW w:w="4022" w:type="dxa"/>
            <w:vAlign w:val="center"/>
          </w:tcPr>
          <w:p>
            <w:pPr>
              <w:rPr>
                <w:szCs w:val="21"/>
              </w:rPr>
            </w:pPr>
            <w:r>
              <w:rPr>
                <w:szCs w:val="21"/>
              </w:rPr>
              <w:t>地表植被破坏、扬尘</w:t>
            </w:r>
          </w:p>
        </w:tc>
      </w:tr>
      <w:tr>
        <w:tblPrEx>
          <w:tblLayout w:type="fixed"/>
          <w:tblCellMar>
            <w:top w:w="0" w:type="dxa"/>
            <w:left w:w="108" w:type="dxa"/>
            <w:bottom w:w="0" w:type="dxa"/>
            <w:right w:w="108" w:type="dxa"/>
          </w:tblCellMar>
        </w:tblPrEx>
        <w:trPr>
          <w:cantSplit/>
        </w:trPr>
        <w:tc>
          <w:tcPr>
            <w:tcW w:w="827" w:type="dxa"/>
            <w:vMerge w:val="continue"/>
            <w:vAlign w:val="center"/>
          </w:tcPr>
          <w:p>
            <w:pPr>
              <w:jc w:val="center"/>
              <w:rPr>
                <w:szCs w:val="21"/>
              </w:rPr>
            </w:pPr>
          </w:p>
        </w:tc>
        <w:tc>
          <w:tcPr>
            <w:tcW w:w="1079" w:type="dxa"/>
            <w:vMerge w:val="continue"/>
            <w:vAlign w:val="center"/>
          </w:tcPr>
          <w:p>
            <w:pPr>
              <w:jc w:val="center"/>
              <w:rPr>
                <w:szCs w:val="21"/>
              </w:rPr>
            </w:pPr>
          </w:p>
        </w:tc>
        <w:tc>
          <w:tcPr>
            <w:tcW w:w="2594" w:type="dxa"/>
            <w:vAlign w:val="center"/>
          </w:tcPr>
          <w:p>
            <w:pPr>
              <w:jc w:val="center"/>
              <w:rPr>
                <w:szCs w:val="21"/>
              </w:rPr>
            </w:pPr>
            <w:r>
              <w:rPr>
                <w:szCs w:val="21"/>
              </w:rPr>
              <w:t>废石处置</w:t>
            </w:r>
          </w:p>
        </w:tc>
        <w:tc>
          <w:tcPr>
            <w:tcW w:w="4022" w:type="dxa"/>
            <w:vAlign w:val="center"/>
          </w:tcPr>
          <w:p>
            <w:pPr>
              <w:rPr>
                <w:szCs w:val="21"/>
              </w:rPr>
            </w:pPr>
            <w:r>
              <w:rPr>
                <w:szCs w:val="21"/>
              </w:rPr>
              <w:t>处置方式</w:t>
            </w:r>
          </w:p>
        </w:tc>
      </w:tr>
      <w:tr>
        <w:tblPrEx>
          <w:tblLayout w:type="fixed"/>
          <w:tblCellMar>
            <w:top w:w="0" w:type="dxa"/>
            <w:left w:w="108" w:type="dxa"/>
            <w:bottom w:w="0" w:type="dxa"/>
            <w:right w:w="108" w:type="dxa"/>
          </w:tblCellMar>
        </w:tblPrEx>
        <w:tc>
          <w:tcPr>
            <w:tcW w:w="827" w:type="dxa"/>
            <w:vAlign w:val="center"/>
          </w:tcPr>
          <w:p>
            <w:pPr>
              <w:jc w:val="center"/>
              <w:rPr>
                <w:szCs w:val="21"/>
              </w:rPr>
            </w:pPr>
            <w:r>
              <w:rPr>
                <w:szCs w:val="21"/>
              </w:rPr>
              <w:t>2</w:t>
            </w:r>
          </w:p>
        </w:tc>
        <w:tc>
          <w:tcPr>
            <w:tcW w:w="1079" w:type="dxa"/>
            <w:vAlign w:val="center"/>
          </w:tcPr>
          <w:p>
            <w:pPr>
              <w:jc w:val="center"/>
              <w:rPr>
                <w:szCs w:val="21"/>
              </w:rPr>
            </w:pPr>
            <w:r>
              <w:rPr>
                <w:szCs w:val="21"/>
              </w:rPr>
              <w:t>水环境</w:t>
            </w:r>
          </w:p>
        </w:tc>
        <w:tc>
          <w:tcPr>
            <w:tcW w:w="2594" w:type="dxa"/>
            <w:vAlign w:val="center"/>
          </w:tcPr>
          <w:p>
            <w:pPr>
              <w:jc w:val="center"/>
              <w:rPr>
                <w:szCs w:val="21"/>
              </w:rPr>
            </w:pPr>
            <w:r>
              <w:rPr>
                <w:szCs w:val="21"/>
              </w:rPr>
              <w:t>废污水</w:t>
            </w:r>
          </w:p>
        </w:tc>
        <w:tc>
          <w:tcPr>
            <w:tcW w:w="4022" w:type="dxa"/>
            <w:vAlign w:val="center"/>
          </w:tcPr>
          <w:p>
            <w:pPr>
              <w:rPr>
                <w:szCs w:val="21"/>
              </w:rPr>
            </w:pPr>
            <w:r>
              <w:rPr>
                <w:szCs w:val="21"/>
              </w:rPr>
              <w:t>矿山及废污水处理措施及回用情况调查，同时对地表水体进行监测</w:t>
            </w:r>
          </w:p>
        </w:tc>
      </w:tr>
      <w:tr>
        <w:tblPrEx>
          <w:tblLayout w:type="fixed"/>
          <w:tblCellMar>
            <w:top w:w="0" w:type="dxa"/>
            <w:left w:w="108" w:type="dxa"/>
            <w:bottom w:w="0" w:type="dxa"/>
            <w:right w:w="108" w:type="dxa"/>
          </w:tblCellMar>
        </w:tblPrEx>
        <w:tc>
          <w:tcPr>
            <w:tcW w:w="827" w:type="dxa"/>
            <w:vAlign w:val="center"/>
          </w:tcPr>
          <w:p>
            <w:pPr>
              <w:jc w:val="center"/>
              <w:rPr>
                <w:szCs w:val="21"/>
              </w:rPr>
            </w:pPr>
            <w:r>
              <w:rPr>
                <w:szCs w:val="21"/>
              </w:rPr>
              <w:t>3</w:t>
            </w:r>
          </w:p>
        </w:tc>
        <w:tc>
          <w:tcPr>
            <w:tcW w:w="1079" w:type="dxa"/>
            <w:vAlign w:val="center"/>
          </w:tcPr>
          <w:p>
            <w:pPr>
              <w:jc w:val="center"/>
              <w:rPr>
                <w:szCs w:val="21"/>
              </w:rPr>
            </w:pPr>
            <w:r>
              <w:rPr>
                <w:szCs w:val="21"/>
              </w:rPr>
              <w:t>大气环境</w:t>
            </w:r>
          </w:p>
        </w:tc>
        <w:tc>
          <w:tcPr>
            <w:tcW w:w="2594" w:type="dxa"/>
            <w:vAlign w:val="center"/>
          </w:tcPr>
          <w:p>
            <w:pPr>
              <w:jc w:val="center"/>
              <w:rPr>
                <w:szCs w:val="21"/>
              </w:rPr>
            </w:pPr>
            <w:r>
              <w:rPr>
                <w:szCs w:val="21"/>
              </w:rPr>
              <w:t>颗粒物、扬尘</w:t>
            </w:r>
          </w:p>
        </w:tc>
        <w:tc>
          <w:tcPr>
            <w:tcW w:w="4022" w:type="dxa"/>
            <w:vAlign w:val="center"/>
          </w:tcPr>
          <w:p>
            <w:pPr>
              <w:rPr>
                <w:szCs w:val="21"/>
              </w:rPr>
            </w:pPr>
            <w:r>
              <w:rPr>
                <w:szCs w:val="21"/>
              </w:rPr>
              <w:t>选厂有组织颗粒物排放对大气环境的影响；废石堆场、矿石堆场、工业场地、尾矿库无组织粉尘排放对大气环境的影响</w:t>
            </w:r>
          </w:p>
        </w:tc>
      </w:tr>
      <w:tr>
        <w:tblPrEx>
          <w:tblLayout w:type="fixed"/>
          <w:tblCellMar>
            <w:top w:w="0" w:type="dxa"/>
            <w:left w:w="108" w:type="dxa"/>
            <w:bottom w:w="0" w:type="dxa"/>
            <w:right w:w="108" w:type="dxa"/>
          </w:tblCellMar>
        </w:tblPrEx>
        <w:tc>
          <w:tcPr>
            <w:tcW w:w="827" w:type="dxa"/>
            <w:vAlign w:val="center"/>
          </w:tcPr>
          <w:p>
            <w:pPr>
              <w:jc w:val="center"/>
              <w:rPr>
                <w:szCs w:val="21"/>
              </w:rPr>
            </w:pPr>
            <w:r>
              <w:rPr>
                <w:szCs w:val="21"/>
              </w:rPr>
              <w:t>4</w:t>
            </w:r>
          </w:p>
        </w:tc>
        <w:tc>
          <w:tcPr>
            <w:tcW w:w="1079" w:type="dxa"/>
            <w:vAlign w:val="center"/>
          </w:tcPr>
          <w:p>
            <w:pPr>
              <w:jc w:val="center"/>
              <w:rPr>
                <w:szCs w:val="21"/>
              </w:rPr>
            </w:pPr>
            <w:r>
              <w:rPr>
                <w:szCs w:val="21"/>
              </w:rPr>
              <w:t>声环境</w:t>
            </w:r>
          </w:p>
        </w:tc>
        <w:tc>
          <w:tcPr>
            <w:tcW w:w="2594" w:type="dxa"/>
            <w:vAlign w:val="center"/>
          </w:tcPr>
          <w:p>
            <w:pPr>
              <w:jc w:val="center"/>
              <w:rPr>
                <w:szCs w:val="21"/>
              </w:rPr>
            </w:pPr>
            <w:r>
              <w:rPr>
                <w:szCs w:val="21"/>
              </w:rPr>
              <w:t>高噪声设备</w:t>
            </w:r>
          </w:p>
        </w:tc>
        <w:tc>
          <w:tcPr>
            <w:tcW w:w="4022" w:type="dxa"/>
            <w:vAlign w:val="center"/>
          </w:tcPr>
          <w:p>
            <w:pPr>
              <w:rPr>
                <w:szCs w:val="21"/>
              </w:rPr>
            </w:pPr>
            <w:r>
              <w:rPr>
                <w:szCs w:val="21"/>
              </w:rPr>
              <w:t>矿山、选厂设备噪声对厂界及周围环境的影响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7" w:type="dxa"/>
            <w:vAlign w:val="center"/>
          </w:tcPr>
          <w:p>
            <w:pPr>
              <w:jc w:val="center"/>
              <w:rPr>
                <w:szCs w:val="21"/>
              </w:rPr>
            </w:pPr>
            <w:r>
              <w:rPr>
                <w:szCs w:val="21"/>
              </w:rPr>
              <w:t>5</w:t>
            </w:r>
          </w:p>
        </w:tc>
        <w:tc>
          <w:tcPr>
            <w:tcW w:w="1079" w:type="dxa"/>
            <w:vAlign w:val="center"/>
          </w:tcPr>
          <w:p>
            <w:pPr>
              <w:jc w:val="center"/>
              <w:rPr>
                <w:szCs w:val="21"/>
              </w:rPr>
            </w:pPr>
            <w:r>
              <w:rPr>
                <w:szCs w:val="21"/>
              </w:rPr>
              <w:t>资源综合利用情况</w:t>
            </w:r>
          </w:p>
        </w:tc>
        <w:tc>
          <w:tcPr>
            <w:tcW w:w="2594" w:type="dxa"/>
            <w:vAlign w:val="center"/>
          </w:tcPr>
          <w:p>
            <w:pPr>
              <w:jc w:val="center"/>
              <w:rPr>
                <w:szCs w:val="21"/>
              </w:rPr>
            </w:pPr>
            <w:r>
              <w:rPr>
                <w:szCs w:val="21"/>
              </w:rPr>
              <w:t>水资源</w:t>
            </w:r>
          </w:p>
        </w:tc>
        <w:tc>
          <w:tcPr>
            <w:tcW w:w="4022" w:type="dxa"/>
            <w:vAlign w:val="center"/>
          </w:tcPr>
          <w:p>
            <w:pPr>
              <w:rPr>
                <w:szCs w:val="21"/>
              </w:rPr>
            </w:pPr>
            <w:r>
              <w:rPr>
                <w:szCs w:val="21"/>
              </w:rPr>
              <w:t>综合利用情况</w:t>
            </w:r>
          </w:p>
        </w:tc>
      </w:tr>
    </w:tbl>
    <w:p>
      <w:pPr>
        <w:pStyle w:val="10"/>
        <w:spacing w:line="360" w:lineRule="auto"/>
        <w:rPr>
          <w:rFonts w:ascii="Times New Roman" w:hAnsi="Times New Roman"/>
        </w:rPr>
      </w:pPr>
      <w:bookmarkStart w:id="154" w:name="_Toc420663630"/>
      <w:bookmarkStart w:id="155" w:name="_Toc407217309"/>
      <w:bookmarkStart w:id="156" w:name="_Toc406504157"/>
      <w:bookmarkStart w:id="157" w:name="_Toc407153443"/>
      <w:r>
        <w:rPr>
          <w:rFonts w:ascii="Times New Roman" w:hAnsi="Times New Roman"/>
        </w:rPr>
        <w:t>1.9.2环境保护目标</w:t>
      </w:r>
      <w:bookmarkEnd w:id="154"/>
      <w:bookmarkEnd w:id="155"/>
      <w:bookmarkEnd w:id="156"/>
      <w:bookmarkEnd w:id="157"/>
    </w:p>
    <w:p>
      <w:pPr>
        <w:spacing w:line="360" w:lineRule="auto"/>
        <w:ind w:firstLine="488" w:firstLineChars="200"/>
        <w:rPr>
          <w:sz w:val="24"/>
        </w:rPr>
      </w:pPr>
      <w:r>
        <w:rPr>
          <w:spacing w:val="2"/>
          <w:sz w:val="24"/>
        </w:rPr>
        <w:t>根据现场调查，在调查范围内未发现文物、名胜古迹，也未发现有价值的自然景观和国家级珍稀动植物物种等需要特殊保护的对象，故本次验收环境保护目标主要为验收调查区域内的村庄、地表水、地下水及生态环境等。环境保护目标见图1.8-1。</w:t>
      </w:r>
      <w:r>
        <w:rPr>
          <w:sz w:val="24"/>
        </w:rPr>
        <w:t>敏感点分布见附图1。</w:t>
      </w:r>
    </w:p>
    <w:p>
      <w:pPr>
        <w:spacing w:line="360" w:lineRule="auto"/>
        <w:ind w:firstLine="488" w:firstLineChars="200"/>
        <w:rPr>
          <w:spacing w:val="2"/>
          <w:sz w:val="24"/>
        </w:rPr>
      </w:pPr>
    </w:p>
    <w:p>
      <w:pPr>
        <w:spacing w:line="360" w:lineRule="auto"/>
        <w:ind w:firstLine="488" w:firstLineChars="200"/>
        <w:rPr>
          <w:spacing w:val="2"/>
          <w:sz w:val="24"/>
        </w:rPr>
      </w:pPr>
    </w:p>
    <w:p>
      <w:pPr>
        <w:spacing w:line="360" w:lineRule="auto"/>
        <w:ind w:firstLine="488" w:firstLineChars="200"/>
        <w:rPr>
          <w:spacing w:val="2"/>
          <w:sz w:val="24"/>
        </w:rPr>
      </w:pPr>
    </w:p>
    <w:p>
      <w:pPr>
        <w:spacing w:line="360" w:lineRule="auto"/>
        <w:ind w:firstLine="488" w:firstLineChars="200"/>
        <w:rPr>
          <w:spacing w:val="2"/>
          <w:sz w:val="24"/>
        </w:rPr>
      </w:pPr>
    </w:p>
    <w:p>
      <w:pPr>
        <w:spacing w:line="360" w:lineRule="auto"/>
        <w:ind w:firstLine="488" w:firstLineChars="200"/>
        <w:rPr>
          <w:spacing w:val="2"/>
          <w:sz w:val="24"/>
        </w:rPr>
        <w:sectPr>
          <w:pgSz w:w="11906" w:h="16838"/>
          <w:pgMar w:top="1440" w:right="1800" w:bottom="1440" w:left="1800" w:header="851" w:footer="992" w:gutter="0"/>
          <w:pgNumType w:start="1"/>
          <w:cols w:space="720" w:num="1"/>
          <w:docGrid w:type="lines" w:linePitch="312" w:charSpace="0"/>
        </w:sectPr>
      </w:pPr>
    </w:p>
    <w:p>
      <w:pPr>
        <w:spacing w:line="520" w:lineRule="exact"/>
        <w:rPr>
          <w:rFonts w:eastAsia="黑体"/>
          <w:kern w:val="0"/>
          <w:sz w:val="24"/>
          <w:szCs w:val="28"/>
        </w:rPr>
      </w:pPr>
      <w:bookmarkStart w:id="158" w:name="_Toc173284076"/>
      <w:bookmarkStart w:id="159" w:name="_Toc173147927"/>
      <w:r>
        <w:rPr>
          <w:sz w:val="22"/>
          <w:szCs w:val="22"/>
        </w:rPr>
        <w:t xml:space="preserve">     </w:t>
      </w:r>
      <w:r>
        <w:rPr>
          <w:rFonts w:eastAsia="黑体"/>
          <w:sz w:val="22"/>
          <w:szCs w:val="22"/>
        </w:rPr>
        <w:t>表1.8-1                主要环境保护目标一览表</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15"/>
        <w:gridCol w:w="891"/>
        <w:gridCol w:w="833"/>
        <w:gridCol w:w="60"/>
        <w:gridCol w:w="659"/>
        <w:gridCol w:w="559"/>
        <w:gridCol w:w="800"/>
        <w:gridCol w:w="1114"/>
        <w:gridCol w:w="2051"/>
        <w:gridCol w:w="94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15" w:hRule="atLeast"/>
        </w:trPr>
        <w:tc>
          <w:tcPr>
            <w:tcW w:w="615" w:type="dxa"/>
            <w:shd w:val="clear" w:color="auto" w:fill="auto"/>
            <w:vAlign w:val="center"/>
          </w:tcPr>
          <w:p>
            <w:pPr>
              <w:widowControl/>
              <w:spacing w:line="240" w:lineRule="exact"/>
              <w:jc w:val="center"/>
              <w:rPr>
                <w:kern w:val="0"/>
                <w:szCs w:val="21"/>
              </w:rPr>
            </w:pPr>
            <w:r>
              <w:rPr>
                <w:kern w:val="0"/>
                <w:szCs w:val="21"/>
              </w:rPr>
              <w:t>环境保护</w:t>
            </w:r>
          </w:p>
        </w:tc>
        <w:tc>
          <w:tcPr>
            <w:tcW w:w="3802" w:type="dxa"/>
            <w:gridSpan w:val="6"/>
            <w:shd w:val="clear" w:color="auto" w:fill="auto"/>
            <w:vAlign w:val="center"/>
          </w:tcPr>
          <w:p>
            <w:pPr>
              <w:widowControl/>
              <w:spacing w:line="240" w:lineRule="exact"/>
              <w:jc w:val="center"/>
              <w:rPr>
                <w:kern w:val="0"/>
                <w:szCs w:val="21"/>
              </w:rPr>
            </w:pPr>
            <w:r>
              <w:rPr>
                <w:kern w:val="0"/>
                <w:szCs w:val="21"/>
              </w:rPr>
              <w:t>环境保护目标</w:t>
            </w:r>
          </w:p>
        </w:tc>
        <w:tc>
          <w:tcPr>
            <w:tcW w:w="1114" w:type="dxa"/>
            <w:vMerge w:val="restart"/>
            <w:shd w:val="clear" w:color="auto" w:fill="auto"/>
            <w:vAlign w:val="center"/>
          </w:tcPr>
          <w:p>
            <w:pPr>
              <w:widowControl/>
              <w:spacing w:line="240" w:lineRule="exact"/>
              <w:jc w:val="center"/>
              <w:rPr>
                <w:kern w:val="0"/>
                <w:szCs w:val="21"/>
              </w:rPr>
            </w:pPr>
            <w:r>
              <w:rPr>
                <w:kern w:val="0"/>
                <w:szCs w:val="21"/>
              </w:rPr>
              <w:t>影响因素</w:t>
            </w:r>
          </w:p>
        </w:tc>
        <w:tc>
          <w:tcPr>
            <w:tcW w:w="2051" w:type="dxa"/>
            <w:vMerge w:val="restart"/>
            <w:shd w:val="clear" w:color="auto" w:fill="auto"/>
            <w:vAlign w:val="center"/>
          </w:tcPr>
          <w:p>
            <w:pPr>
              <w:widowControl/>
              <w:spacing w:line="240" w:lineRule="exact"/>
              <w:jc w:val="center"/>
              <w:rPr>
                <w:kern w:val="0"/>
                <w:szCs w:val="21"/>
              </w:rPr>
            </w:pPr>
            <w:r>
              <w:rPr>
                <w:kern w:val="0"/>
                <w:szCs w:val="21"/>
              </w:rPr>
              <w:t>达到标准或要求</w:t>
            </w:r>
          </w:p>
        </w:tc>
        <w:tc>
          <w:tcPr>
            <w:tcW w:w="940" w:type="dxa"/>
            <w:vMerge w:val="restart"/>
            <w:shd w:val="clear" w:color="auto" w:fill="auto"/>
            <w:vAlign w:val="center"/>
          </w:tcPr>
          <w:p>
            <w:pPr>
              <w:widowControl/>
              <w:spacing w:line="240" w:lineRule="exact"/>
              <w:jc w:val="center"/>
              <w:rPr>
                <w:kern w:val="0"/>
                <w:szCs w:val="21"/>
              </w:rPr>
            </w:pPr>
            <w:r>
              <w:rPr>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trPr>
        <w:tc>
          <w:tcPr>
            <w:tcW w:w="615" w:type="dxa"/>
            <w:shd w:val="clear" w:color="auto" w:fill="auto"/>
            <w:vAlign w:val="center"/>
          </w:tcPr>
          <w:p>
            <w:pPr>
              <w:widowControl/>
              <w:spacing w:line="240" w:lineRule="exact"/>
              <w:jc w:val="center"/>
              <w:rPr>
                <w:kern w:val="0"/>
                <w:szCs w:val="21"/>
              </w:rPr>
            </w:pPr>
            <w:r>
              <w:rPr>
                <w:kern w:val="0"/>
                <w:szCs w:val="21"/>
              </w:rPr>
              <w:t>类别</w:t>
            </w:r>
          </w:p>
        </w:tc>
        <w:tc>
          <w:tcPr>
            <w:tcW w:w="891" w:type="dxa"/>
            <w:shd w:val="clear" w:color="auto" w:fill="auto"/>
            <w:vAlign w:val="center"/>
          </w:tcPr>
          <w:p>
            <w:pPr>
              <w:widowControl/>
              <w:spacing w:line="240" w:lineRule="exact"/>
              <w:jc w:val="center"/>
              <w:rPr>
                <w:kern w:val="0"/>
                <w:szCs w:val="21"/>
              </w:rPr>
            </w:pPr>
            <w:r>
              <w:rPr>
                <w:kern w:val="0"/>
                <w:szCs w:val="21"/>
              </w:rPr>
              <w:t>区域</w:t>
            </w:r>
          </w:p>
        </w:tc>
        <w:tc>
          <w:tcPr>
            <w:tcW w:w="833" w:type="dxa"/>
            <w:shd w:val="clear" w:color="auto" w:fill="auto"/>
            <w:vAlign w:val="center"/>
          </w:tcPr>
          <w:p>
            <w:pPr>
              <w:widowControl/>
              <w:spacing w:line="240" w:lineRule="exact"/>
              <w:jc w:val="center"/>
              <w:rPr>
                <w:kern w:val="0"/>
                <w:szCs w:val="21"/>
              </w:rPr>
            </w:pPr>
            <w:r>
              <w:rPr>
                <w:kern w:val="0"/>
                <w:szCs w:val="21"/>
              </w:rPr>
              <w:t>规模</w:t>
            </w:r>
          </w:p>
        </w:tc>
        <w:tc>
          <w:tcPr>
            <w:tcW w:w="719" w:type="dxa"/>
            <w:gridSpan w:val="2"/>
            <w:shd w:val="clear" w:color="auto" w:fill="auto"/>
            <w:vAlign w:val="center"/>
          </w:tcPr>
          <w:p>
            <w:pPr>
              <w:widowControl/>
              <w:spacing w:line="240" w:lineRule="exact"/>
              <w:jc w:val="center"/>
              <w:rPr>
                <w:kern w:val="0"/>
                <w:szCs w:val="21"/>
              </w:rPr>
            </w:pPr>
            <w:r>
              <w:rPr>
                <w:kern w:val="0"/>
                <w:szCs w:val="21"/>
              </w:rPr>
              <w:t>相对方位</w:t>
            </w:r>
          </w:p>
        </w:tc>
        <w:tc>
          <w:tcPr>
            <w:tcW w:w="559" w:type="dxa"/>
            <w:shd w:val="clear" w:color="auto" w:fill="auto"/>
            <w:vAlign w:val="center"/>
          </w:tcPr>
          <w:p>
            <w:pPr>
              <w:widowControl/>
              <w:spacing w:line="240" w:lineRule="exact"/>
              <w:jc w:val="center"/>
              <w:rPr>
                <w:kern w:val="0"/>
                <w:szCs w:val="21"/>
              </w:rPr>
            </w:pPr>
            <w:r>
              <w:rPr>
                <w:kern w:val="0"/>
                <w:szCs w:val="21"/>
              </w:rPr>
              <w:t>参考点</w:t>
            </w:r>
          </w:p>
        </w:tc>
        <w:tc>
          <w:tcPr>
            <w:tcW w:w="800" w:type="dxa"/>
            <w:shd w:val="clear" w:color="auto" w:fill="auto"/>
            <w:vAlign w:val="center"/>
          </w:tcPr>
          <w:p>
            <w:pPr>
              <w:widowControl/>
              <w:spacing w:line="240" w:lineRule="exact"/>
              <w:jc w:val="center"/>
              <w:rPr>
                <w:kern w:val="0"/>
                <w:szCs w:val="21"/>
              </w:rPr>
            </w:pPr>
            <w:r>
              <w:rPr>
                <w:kern w:val="0"/>
                <w:szCs w:val="21"/>
              </w:rPr>
              <w:t>距离（m）</w:t>
            </w:r>
          </w:p>
        </w:tc>
        <w:tc>
          <w:tcPr>
            <w:tcW w:w="1114" w:type="dxa"/>
            <w:vMerge w:val="continue"/>
            <w:vAlign w:val="center"/>
          </w:tcPr>
          <w:p>
            <w:pPr>
              <w:widowControl/>
              <w:spacing w:line="240" w:lineRule="exact"/>
              <w:jc w:val="center"/>
              <w:rPr>
                <w:kern w:val="0"/>
                <w:szCs w:val="21"/>
              </w:rPr>
            </w:pPr>
          </w:p>
        </w:tc>
        <w:tc>
          <w:tcPr>
            <w:tcW w:w="2051" w:type="dxa"/>
            <w:vMerge w:val="continue"/>
            <w:vAlign w:val="center"/>
          </w:tcPr>
          <w:p>
            <w:pPr>
              <w:widowControl/>
              <w:spacing w:line="240" w:lineRule="exact"/>
              <w:jc w:val="center"/>
              <w:rPr>
                <w:kern w:val="0"/>
                <w:szCs w:val="21"/>
              </w:rPr>
            </w:pPr>
          </w:p>
        </w:tc>
        <w:tc>
          <w:tcPr>
            <w:tcW w:w="940" w:type="dxa"/>
            <w:vMerge w:val="continue"/>
            <w:vAlign w:val="center"/>
          </w:tcPr>
          <w:p>
            <w:pPr>
              <w:widowControl/>
              <w:spacing w:line="24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trPr>
        <w:tc>
          <w:tcPr>
            <w:tcW w:w="615" w:type="dxa"/>
            <w:vMerge w:val="restart"/>
            <w:shd w:val="clear" w:color="auto" w:fill="auto"/>
            <w:vAlign w:val="center"/>
          </w:tcPr>
          <w:p>
            <w:pPr>
              <w:widowControl/>
              <w:spacing w:line="240" w:lineRule="exact"/>
              <w:jc w:val="center"/>
              <w:rPr>
                <w:kern w:val="0"/>
                <w:szCs w:val="21"/>
              </w:rPr>
            </w:pPr>
            <w:r>
              <w:rPr>
                <w:kern w:val="0"/>
                <w:szCs w:val="21"/>
              </w:rPr>
              <w:t>声环境</w:t>
            </w:r>
          </w:p>
        </w:tc>
        <w:tc>
          <w:tcPr>
            <w:tcW w:w="891" w:type="dxa"/>
            <w:shd w:val="clear" w:color="auto" w:fill="auto"/>
            <w:vAlign w:val="center"/>
          </w:tcPr>
          <w:p>
            <w:pPr>
              <w:widowControl/>
              <w:spacing w:line="240" w:lineRule="exact"/>
              <w:jc w:val="center"/>
              <w:rPr>
                <w:kern w:val="0"/>
                <w:szCs w:val="21"/>
              </w:rPr>
            </w:pPr>
            <w:r>
              <w:rPr>
                <w:kern w:val="0"/>
                <w:szCs w:val="21"/>
              </w:rPr>
              <w:t>黑山村前咀</w:t>
            </w:r>
          </w:p>
        </w:tc>
        <w:tc>
          <w:tcPr>
            <w:tcW w:w="833" w:type="dxa"/>
            <w:shd w:val="clear" w:color="auto" w:fill="auto"/>
            <w:vAlign w:val="center"/>
          </w:tcPr>
          <w:p>
            <w:pPr>
              <w:widowControl/>
              <w:spacing w:line="240" w:lineRule="exact"/>
              <w:jc w:val="center"/>
              <w:rPr>
                <w:kern w:val="0"/>
                <w:szCs w:val="21"/>
              </w:rPr>
            </w:pPr>
            <w:r>
              <w:rPr>
                <w:kern w:val="0"/>
                <w:szCs w:val="21"/>
              </w:rPr>
              <w:t>4户，15人</w:t>
            </w:r>
          </w:p>
        </w:tc>
        <w:tc>
          <w:tcPr>
            <w:tcW w:w="719" w:type="dxa"/>
            <w:gridSpan w:val="2"/>
            <w:shd w:val="clear" w:color="auto" w:fill="auto"/>
            <w:vAlign w:val="center"/>
          </w:tcPr>
          <w:p>
            <w:pPr>
              <w:widowControl/>
              <w:spacing w:line="240" w:lineRule="exact"/>
              <w:jc w:val="center"/>
              <w:rPr>
                <w:kern w:val="0"/>
                <w:szCs w:val="21"/>
              </w:rPr>
            </w:pPr>
            <w:r>
              <w:rPr>
                <w:kern w:val="0"/>
                <w:szCs w:val="21"/>
              </w:rPr>
              <w:t>两侧</w:t>
            </w:r>
          </w:p>
        </w:tc>
        <w:tc>
          <w:tcPr>
            <w:tcW w:w="559" w:type="dxa"/>
            <w:shd w:val="clear" w:color="auto" w:fill="auto"/>
            <w:vAlign w:val="center"/>
          </w:tcPr>
          <w:p>
            <w:pPr>
              <w:widowControl/>
              <w:spacing w:line="240" w:lineRule="exact"/>
              <w:jc w:val="center"/>
              <w:rPr>
                <w:kern w:val="0"/>
                <w:szCs w:val="21"/>
              </w:rPr>
            </w:pPr>
            <w:r>
              <w:rPr>
                <w:kern w:val="0"/>
                <w:szCs w:val="21"/>
              </w:rPr>
              <w:t>运输道路</w:t>
            </w:r>
          </w:p>
        </w:tc>
        <w:tc>
          <w:tcPr>
            <w:tcW w:w="800" w:type="dxa"/>
            <w:shd w:val="clear" w:color="auto" w:fill="auto"/>
            <w:vAlign w:val="center"/>
          </w:tcPr>
          <w:p>
            <w:pPr>
              <w:widowControl/>
              <w:spacing w:line="240" w:lineRule="exact"/>
              <w:jc w:val="center"/>
              <w:rPr>
                <w:kern w:val="0"/>
                <w:szCs w:val="21"/>
              </w:rPr>
            </w:pPr>
            <w:r>
              <w:rPr>
                <w:kern w:val="0"/>
                <w:szCs w:val="21"/>
              </w:rPr>
              <w:t>15</w:t>
            </w:r>
          </w:p>
        </w:tc>
        <w:tc>
          <w:tcPr>
            <w:tcW w:w="1114" w:type="dxa"/>
            <w:vMerge w:val="restart"/>
            <w:shd w:val="clear" w:color="auto" w:fill="auto"/>
            <w:vAlign w:val="center"/>
          </w:tcPr>
          <w:p>
            <w:pPr>
              <w:widowControl/>
              <w:spacing w:line="240" w:lineRule="exact"/>
              <w:jc w:val="center"/>
              <w:rPr>
                <w:kern w:val="0"/>
                <w:szCs w:val="21"/>
              </w:rPr>
            </w:pPr>
            <w:r>
              <w:rPr>
                <w:kern w:val="0"/>
                <w:szCs w:val="21"/>
              </w:rPr>
              <w:t>精矿运输噪声</w:t>
            </w:r>
          </w:p>
        </w:tc>
        <w:tc>
          <w:tcPr>
            <w:tcW w:w="2051" w:type="dxa"/>
            <w:vMerge w:val="restart"/>
            <w:shd w:val="clear" w:color="auto" w:fill="auto"/>
            <w:vAlign w:val="center"/>
          </w:tcPr>
          <w:p>
            <w:pPr>
              <w:widowControl/>
              <w:spacing w:line="240" w:lineRule="exact"/>
              <w:jc w:val="center"/>
              <w:rPr>
                <w:kern w:val="0"/>
                <w:szCs w:val="21"/>
              </w:rPr>
            </w:pPr>
            <w:r>
              <w:rPr>
                <w:kern w:val="0"/>
                <w:szCs w:val="21"/>
              </w:rPr>
              <w:t>《声环境质量标准》(GB3096-2008)2类标准</w:t>
            </w:r>
          </w:p>
        </w:tc>
        <w:tc>
          <w:tcPr>
            <w:tcW w:w="940" w:type="dxa"/>
            <w:vMerge w:val="restart"/>
            <w:shd w:val="clear" w:color="auto" w:fill="auto"/>
            <w:vAlign w:val="center"/>
          </w:tcPr>
          <w:p>
            <w:pPr>
              <w:widowControl/>
              <w:spacing w:line="240" w:lineRule="exact"/>
              <w:jc w:val="center"/>
              <w:rPr>
                <w:kern w:val="0"/>
                <w:szCs w:val="21"/>
              </w:rPr>
            </w:pPr>
            <w:r>
              <w:rPr>
                <w:kern w:val="0"/>
                <w:szCs w:val="21"/>
              </w:rPr>
              <w:t>由于位于矿石及精矿运输道路两侧故主要是交通噪声影响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trPr>
        <w:tc>
          <w:tcPr>
            <w:tcW w:w="615" w:type="dxa"/>
            <w:vMerge w:val="continue"/>
            <w:vAlign w:val="center"/>
          </w:tcPr>
          <w:p>
            <w:pPr>
              <w:widowControl/>
              <w:spacing w:line="240" w:lineRule="exact"/>
              <w:jc w:val="center"/>
              <w:rPr>
                <w:kern w:val="0"/>
                <w:szCs w:val="21"/>
              </w:rPr>
            </w:pPr>
          </w:p>
        </w:tc>
        <w:tc>
          <w:tcPr>
            <w:tcW w:w="891" w:type="dxa"/>
            <w:shd w:val="clear" w:color="auto" w:fill="auto"/>
            <w:vAlign w:val="center"/>
          </w:tcPr>
          <w:p>
            <w:pPr>
              <w:widowControl/>
              <w:spacing w:line="240" w:lineRule="exact"/>
              <w:jc w:val="center"/>
              <w:rPr>
                <w:kern w:val="0"/>
                <w:szCs w:val="21"/>
              </w:rPr>
            </w:pPr>
            <w:r>
              <w:rPr>
                <w:kern w:val="0"/>
                <w:szCs w:val="21"/>
              </w:rPr>
              <w:t>美山村李家坡</w:t>
            </w:r>
          </w:p>
        </w:tc>
        <w:tc>
          <w:tcPr>
            <w:tcW w:w="833" w:type="dxa"/>
            <w:shd w:val="clear" w:color="auto" w:fill="auto"/>
            <w:vAlign w:val="center"/>
          </w:tcPr>
          <w:p>
            <w:pPr>
              <w:widowControl/>
              <w:spacing w:line="240" w:lineRule="exact"/>
              <w:jc w:val="center"/>
              <w:rPr>
                <w:kern w:val="0"/>
                <w:szCs w:val="21"/>
              </w:rPr>
            </w:pPr>
            <w:r>
              <w:rPr>
                <w:kern w:val="0"/>
                <w:szCs w:val="21"/>
              </w:rPr>
              <w:t>7户，25人</w:t>
            </w:r>
          </w:p>
        </w:tc>
        <w:tc>
          <w:tcPr>
            <w:tcW w:w="719" w:type="dxa"/>
            <w:gridSpan w:val="2"/>
            <w:shd w:val="clear" w:color="auto" w:fill="auto"/>
            <w:vAlign w:val="center"/>
          </w:tcPr>
          <w:p>
            <w:pPr>
              <w:widowControl/>
              <w:spacing w:line="240" w:lineRule="exact"/>
              <w:jc w:val="center"/>
              <w:rPr>
                <w:kern w:val="0"/>
                <w:szCs w:val="21"/>
              </w:rPr>
            </w:pPr>
            <w:r>
              <w:rPr>
                <w:kern w:val="0"/>
                <w:szCs w:val="21"/>
              </w:rPr>
              <w:t>西侧</w:t>
            </w:r>
          </w:p>
        </w:tc>
        <w:tc>
          <w:tcPr>
            <w:tcW w:w="559" w:type="dxa"/>
            <w:shd w:val="clear" w:color="auto" w:fill="auto"/>
            <w:vAlign w:val="center"/>
          </w:tcPr>
          <w:p>
            <w:pPr>
              <w:widowControl/>
              <w:spacing w:line="240" w:lineRule="exact"/>
              <w:jc w:val="center"/>
              <w:rPr>
                <w:kern w:val="0"/>
                <w:szCs w:val="21"/>
              </w:rPr>
            </w:pPr>
            <w:r>
              <w:rPr>
                <w:kern w:val="0"/>
                <w:szCs w:val="21"/>
              </w:rPr>
              <w:t>运输道路</w:t>
            </w:r>
          </w:p>
        </w:tc>
        <w:tc>
          <w:tcPr>
            <w:tcW w:w="800" w:type="dxa"/>
            <w:shd w:val="clear" w:color="auto" w:fill="auto"/>
            <w:vAlign w:val="center"/>
          </w:tcPr>
          <w:p>
            <w:pPr>
              <w:widowControl/>
              <w:spacing w:line="240" w:lineRule="exact"/>
              <w:jc w:val="center"/>
              <w:rPr>
                <w:kern w:val="0"/>
                <w:szCs w:val="21"/>
              </w:rPr>
            </w:pPr>
            <w:r>
              <w:rPr>
                <w:kern w:val="0"/>
                <w:szCs w:val="21"/>
              </w:rPr>
              <w:t>10</w:t>
            </w:r>
          </w:p>
        </w:tc>
        <w:tc>
          <w:tcPr>
            <w:tcW w:w="1114" w:type="dxa"/>
            <w:vMerge w:val="continue"/>
            <w:vAlign w:val="center"/>
          </w:tcPr>
          <w:p>
            <w:pPr>
              <w:widowControl/>
              <w:spacing w:line="240" w:lineRule="exact"/>
              <w:jc w:val="center"/>
              <w:rPr>
                <w:kern w:val="0"/>
                <w:szCs w:val="21"/>
              </w:rPr>
            </w:pPr>
          </w:p>
        </w:tc>
        <w:tc>
          <w:tcPr>
            <w:tcW w:w="2051" w:type="dxa"/>
            <w:vMerge w:val="continue"/>
            <w:vAlign w:val="center"/>
          </w:tcPr>
          <w:p>
            <w:pPr>
              <w:widowControl/>
              <w:spacing w:line="240" w:lineRule="exact"/>
              <w:jc w:val="center"/>
              <w:rPr>
                <w:kern w:val="0"/>
                <w:szCs w:val="21"/>
              </w:rPr>
            </w:pPr>
          </w:p>
        </w:tc>
        <w:tc>
          <w:tcPr>
            <w:tcW w:w="940" w:type="dxa"/>
            <w:vMerge w:val="continue"/>
            <w:vAlign w:val="center"/>
          </w:tcPr>
          <w:p>
            <w:pPr>
              <w:widowControl/>
              <w:spacing w:line="24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25" w:hRule="atLeast"/>
        </w:trPr>
        <w:tc>
          <w:tcPr>
            <w:tcW w:w="615" w:type="dxa"/>
            <w:vMerge w:val="continue"/>
            <w:vAlign w:val="center"/>
          </w:tcPr>
          <w:p>
            <w:pPr>
              <w:widowControl/>
              <w:spacing w:line="240" w:lineRule="exact"/>
              <w:jc w:val="center"/>
              <w:rPr>
                <w:kern w:val="0"/>
                <w:szCs w:val="21"/>
              </w:rPr>
            </w:pPr>
          </w:p>
        </w:tc>
        <w:tc>
          <w:tcPr>
            <w:tcW w:w="891" w:type="dxa"/>
            <w:shd w:val="clear" w:color="auto" w:fill="auto"/>
            <w:vAlign w:val="center"/>
          </w:tcPr>
          <w:p>
            <w:pPr>
              <w:widowControl/>
              <w:spacing w:line="240" w:lineRule="exact"/>
              <w:jc w:val="center"/>
              <w:rPr>
                <w:kern w:val="0"/>
                <w:szCs w:val="21"/>
              </w:rPr>
            </w:pPr>
            <w:r>
              <w:rPr>
                <w:kern w:val="0"/>
                <w:szCs w:val="21"/>
              </w:rPr>
              <w:t>美山村石庙坡根</w:t>
            </w:r>
          </w:p>
        </w:tc>
        <w:tc>
          <w:tcPr>
            <w:tcW w:w="833" w:type="dxa"/>
            <w:shd w:val="clear" w:color="auto" w:fill="auto"/>
            <w:vAlign w:val="center"/>
          </w:tcPr>
          <w:p>
            <w:pPr>
              <w:widowControl/>
              <w:spacing w:line="240" w:lineRule="exact"/>
              <w:jc w:val="center"/>
              <w:rPr>
                <w:kern w:val="0"/>
                <w:szCs w:val="21"/>
              </w:rPr>
            </w:pPr>
            <w:r>
              <w:rPr>
                <w:kern w:val="0"/>
                <w:szCs w:val="21"/>
              </w:rPr>
              <w:t>10户，32人</w:t>
            </w:r>
          </w:p>
        </w:tc>
        <w:tc>
          <w:tcPr>
            <w:tcW w:w="719" w:type="dxa"/>
            <w:gridSpan w:val="2"/>
            <w:shd w:val="clear" w:color="auto" w:fill="auto"/>
            <w:vAlign w:val="center"/>
          </w:tcPr>
          <w:p>
            <w:pPr>
              <w:widowControl/>
              <w:spacing w:line="240" w:lineRule="exact"/>
              <w:jc w:val="center"/>
              <w:rPr>
                <w:kern w:val="0"/>
                <w:szCs w:val="21"/>
              </w:rPr>
            </w:pPr>
            <w:r>
              <w:rPr>
                <w:kern w:val="0"/>
                <w:szCs w:val="21"/>
              </w:rPr>
              <w:t>两侧</w:t>
            </w:r>
          </w:p>
        </w:tc>
        <w:tc>
          <w:tcPr>
            <w:tcW w:w="559" w:type="dxa"/>
            <w:shd w:val="clear" w:color="auto" w:fill="auto"/>
            <w:vAlign w:val="center"/>
          </w:tcPr>
          <w:p>
            <w:pPr>
              <w:widowControl/>
              <w:spacing w:line="240" w:lineRule="exact"/>
              <w:jc w:val="center"/>
              <w:rPr>
                <w:kern w:val="0"/>
                <w:szCs w:val="21"/>
              </w:rPr>
            </w:pPr>
            <w:r>
              <w:rPr>
                <w:kern w:val="0"/>
                <w:szCs w:val="21"/>
              </w:rPr>
              <w:t>运输道路</w:t>
            </w:r>
          </w:p>
        </w:tc>
        <w:tc>
          <w:tcPr>
            <w:tcW w:w="800" w:type="dxa"/>
            <w:shd w:val="clear" w:color="auto" w:fill="auto"/>
            <w:vAlign w:val="center"/>
          </w:tcPr>
          <w:p>
            <w:pPr>
              <w:widowControl/>
              <w:spacing w:line="240" w:lineRule="exact"/>
              <w:jc w:val="center"/>
              <w:rPr>
                <w:kern w:val="0"/>
                <w:szCs w:val="21"/>
              </w:rPr>
            </w:pPr>
            <w:r>
              <w:rPr>
                <w:kern w:val="0"/>
                <w:szCs w:val="21"/>
              </w:rPr>
              <w:t>80</w:t>
            </w:r>
          </w:p>
        </w:tc>
        <w:tc>
          <w:tcPr>
            <w:tcW w:w="1114" w:type="dxa"/>
            <w:vMerge w:val="continue"/>
            <w:vAlign w:val="center"/>
          </w:tcPr>
          <w:p>
            <w:pPr>
              <w:widowControl/>
              <w:spacing w:line="240" w:lineRule="exact"/>
              <w:jc w:val="center"/>
              <w:rPr>
                <w:kern w:val="0"/>
                <w:szCs w:val="21"/>
              </w:rPr>
            </w:pPr>
          </w:p>
        </w:tc>
        <w:tc>
          <w:tcPr>
            <w:tcW w:w="2051" w:type="dxa"/>
            <w:vMerge w:val="continue"/>
            <w:vAlign w:val="center"/>
          </w:tcPr>
          <w:p>
            <w:pPr>
              <w:widowControl/>
              <w:spacing w:line="240" w:lineRule="exact"/>
              <w:jc w:val="center"/>
              <w:rPr>
                <w:kern w:val="0"/>
                <w:szCs w:val="21"/>
              </w:rPr>
            </w:pPr>
          </w:p>
        </w:tc>
        <w:tc>
          <w:tcPr>
            <w:tcW w:w="940" w:type="dxa"/>
            <w:vMerge w:val="continue"/>
            <w:vAlign w:val="center"/>
          </w:tcPr>
          <w:p>
            <w:pPr>
              <w:widowControl/>
              <w:spacing w:line="24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trPr>
        <w:tc>
          <w:tcPr>
            <w:tcW w:w="615" w:type="dxa"/>
            <w:vMerge w:val="restart"/>
            <w:shd w:val="clear" w:color="auto" w:fill="auto"/>
            <w:vAlign w:val="center"/>
          </w:tcPr>
          <w:p>
            <w:pPr>
              <w:widowControl/>
              <w:spacing w:line="240" w:lineRule="exact"/>
              <w:jc w:val="center"/>
              <w:rPr>
                <w:kern w:val="0"/>
                <w:szCs w:val="21"/>
              </w:rPr>
            </w:pPr>
            <w:r>
              <w:rPr>
                <w:kern w:val="0"/>
                <w:szCs w:val="21"/>
              </w:rPr>
              <w:t>环境空气</w:t>
            </w:r>
          </w:p>
        </w:tc>
        <w:tc>
          <w:tcPr>
            <w:tcW w:w="891" w:type="dxa"/>
            <w:shd w:val="clear" w:color="auto" w:fill="auto"/>
            <w:vAlign w:val="center"/>
          </w:tcPr>
          <w:p>
            <w:pPr>
              <w:widowControl/>
              <w:spacing w:line="240" w:lineRule="exact"/>
              <w:jc w:val="center"/>
              <w:rPr>
                <w:kern w:val="0"/>
                <w:szCs w:val="21"/>
              </w:rPr>
            </w:pPr>
            <w:r>
              <w:rPr>
                <w:kern w:val="0"/>
                <w:szCs w:val="21"/>
              </w:rPr>
              <w:t>黑山村前咀</w:t>
            </w:r>
          </w:p>
        </w:tc>
        <w:tc>
          <w:tcPr>
            <w:tcW w:w="833" w:type="dxa"/>
            <w:shd w:val="clear" w:color="auto" w:fill="auto"/>
            <w:vAlign w:val="center"/>
          </w:tcPr>
          <w:p>
            <w:pPr>
              <w:widowControl/>
              <w:spacing w:line="240" w:lineRule="exact"/>
              <w:jc w:val="center"/>
              <w:rPr>
                <w:kern w:val="0"/>
                <w:szCs w:val="21"/>
              </w:rPr>
            </w:pPr>
            <w:r>
              <w:rPr>
                <w:kern w:val="0"/>
                <w:szCs w:val="21"/>
              </w:rPr>
              <w:t>4户，15人</w:t>
            </w:r>
          </w:p>
        </w:tc>
        <w:tc>
          <w:tcPr>
            <w:tcW w:w="719" w:type="dxa"/>
            <w:gridSpan w:val="2"/>
            <w:shd w:val="clear" w:color="auto" w:fill="auto"/>
            <w:vAlign w:val="center"/>
          </w:tcPr>
          <w:p>
            <w:pPr>
              <w:widowControl/>
              <w:spacing w:line="240" w:lineRule="exact"/>
              <w:jc w:val="center"/>
              <w:rPr>
                <w:kern w:val="0"/>
                <w:szCs w:val="21"/>
              </w:rPr>
            </w:pPr>
            <w:r>
              <w:rPr>
                <w:kern w:val="0"/>
                <w:szCs w:val="21"/>
              </w:rPr>
              <w:t>NNW</w:t>
            </w:r>
          </w:p>
        </w:tc>
        <w:tc>
          <w:tcPr>
            <w:tcW w:w="559" w:type="dxa"/>
            <w:shd w:val="clear" w:color="auto" w:fill="auto"/>
            <w:vAlign w:val="center"/>
          </w:tcPr>
          <w:p>
            <w:pPr>
              <w:widowControl/>
              <w:spacing w:line="240" w:lineRule="exact"/>
              <w:jc w:val="center"/>
              <w:rPr>
                <w:kern w:val="0"/>
                <w:szCs w:val="21"/>
              </w:rPr>
            </w:pPr>
            <w:r>
              <w:rPr>
                <w:kern w:val="0"/>
                <w:szCs w:val="21"/>
              </w:rPr>
              <w:t>初期坝</w:t>
            </w:r>
          </w:p>
        </w:tc>
        <w:tc>
          <w:tcPr>
            <w:tcW w:w="800" w:type="dxa"/>
            <w:shd w:val="clear" w:color="auto" w:fill="auto"/>
            <w:vAlign w:val="center"/>
          </w:tcPr>
          <w:p>
            <w:pPr>
              <w:widowControl/>
              <w:spacing w:line="240" w:lineRule="exact"/>
              <w:jc w:val="center"/>
              <w:rPr>
                <w:kern w:val="0"/>
                <w:szCs w:val="21"/>
              </w:rPr>
            </w:pPr>
            <w:r>
              <w:rPr>
                <w:kern w:val="0"/>
                <w:szCs w:val="21"/>
              </w:rPr>
              <w:t>780</w:t>
            </w:r>
          </w:p>
        </w:tc>
        <w:tc>
          <w:tcPr>
            <w:tcW w:w="1114" w:type="dxa"/>
            <w:vMerge w:val="restart"/>
            <w:shd w:val="clear" w:color="auto" w:fill="auto"/>
            <w:vAlign w:val="center"/>
          </w:tcPr>
          <w:p>
            <w:pPr>
              <w:widowControl/>
              <w:spacing w:line="240" w:lineRule="exact"/>
              <w:jc w:val="center"/>
              <w:rPr>
                <w:kern w:val="0"/>
                <w:szCs w:val="21"/>
              </w:rPr>
            </w:pPr>
            <w:r>
              <w:rPr>
                <w:kern w:val="0"/>
                <w:szCs w:val="21"/>
              </w:rPr>
              <w:t>扬尘</w:t>
            </w:r>
          </w:p>
        </w:tc>
        <w:tc>
          <w:tcPr>
            <w:tcW w:w="2051" w:type="dxa"/>
            <w:vMerge w:val="restart"/>
            <w:shd w:val="clear" w:color="auto" w:fill="auto"/>
            <w:vAlign w:val="center"/>
          </w:tcPr>
          <w:p>
            <w:pPr>
              <w:widowControl/>
              <w:spacing w:line="240" w:lineRule="exact"/>
              <w:jc w:val="center"/>
              <w:rPr>
                <w:kern w:val="0"/>
                <w:szCs w:val="21"/>
              </w:rPr>
            </w:pPr>
            <w:r>
              <w:rPr>
                <w:kern w:val="0"/>
                <w:szCs w:val="21"/>
              </w:rPr>
              <w:t>《环境空气质量标准》</w:t>
            </w:r>
          </w:p>
          <w:p>
            <w:pPr>
              <w:spacing w:line="240" w:lineRule="exact"/>
              <w:jc w:val="center"/>
              <w:rPr>
                <w:kern w:val="0"/>
                <w:szCs w:val="21"/>
              </w:rPr>
            </w:pPr>
            <w:r>
              <w:rPr>
                <w:kern w:val="0"/>
                <w:szCs w:val="21"/>
              </w:rPr>
              <w:t>(GB3095-2012)二级标准</w:t>
            </w:r>
          </w:p>
        </w:tc>
        <w:tc>
          <w:tcPr>
            <w:tcW w:w="940" w:type="dxa"/>
            <w:vMerge w:val="restart"/>
            <w:shd w:val="clear" w:color="auto" w:fill="auto"/>
            <w:vAlign w:val="center"/>
          </w:tcPr>
          <w:p>
            <w:pPr>
              <w:widowControl/>
              <w:spacing w:line="240" w:lineRule="exact"/>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trPr>
        <w:tc>
          <w:tcPr>
            <w:tcW w:w="615" w:type="dxa"/>
            <w:vMerge w:val="continue"/>
            <w:vAlign w:val="center"/>
          </w:tcPr>
          <w:p>
            <w:pPr>
              <w:widowControl/>
              <w:spacing w:line="240" w:lineRule="exact"/>
              <w:jc w:val="center"/>
              <w:rPr>
                <w:kern w:val="0"/>
                <w:szCs w:val="21"/>
              </w:rPr>
            </w:pPr>
          </w:p>
        </w:tc>
        <w:tc>
          <w:tcPr>
            <w:tcW w:w="891" w:type="dxa"/>
            <w:shd w:val="clear" w:color="auto" w:fill="auto"/>
            <w:vAlign w:val="center"/>
          </w:tcPr>
          <w:p>
            <w:pPr>
              <w:widowControl/>
              <w:spacing w:line="240" w:lineRule="exact"/>
              <w:jc w:val="center"/>
              <w:rPr>
                <w:kern w:val="0"/>
                <w:szCs w:val="21"/>
              </w:rPr>
            </w:pPr>
            <w:r>
              <w:rPr>
                <w:kern w:val="0"/>
                <w:szCs w:val="21"/>
              </w:rPr>
              <w:t>美山村李家坡</w:t>
            </w:r>
          </w:p>
        </w:tc>
        <w:tc>
          <w:tcPr>
            <w:tcW w:w="833" w:type="dxa"/>
            <w:shd w:val="clear" w:color="auto" w:fill="auto"/>
            <w:vAlign w:val="center"/>
          </w:tcPr>
          <w:p>
            <w:pPr>
              <w:widowControl/>
              <w:spacing w:line="240" w:lineRule="exact"/>
              <w:jc w:val="center"/>
              <w:rPr>
                <w:kern w:val="0"/>
                <w:szCs w:val="21"/>
              </w:rPr>
            </w:pPr>
            <w:r>
              <w:rPr>
                <w:kern w:val="0"/>
                <w:szCs w:val="21"/>
              </w:rPr>
              <w:t>7户，25人</w:t>
            </w:r>
          </w:p>
        </w:tc>
        <w:tc>
          <w:tcPr>
            <w:tcW w:w="719" w:type="dxa"/>
            <w:gridSpan w:val="2"/>
            <w:shd w:val="clear" w:color="auto" w:fill="auto"/>
            <w:vAlign w:val="center"/>
          </w:tcPr>
          <w:p>
            <w:pPr>
              <w:widowControl/>
              <w:spacing w:line="240" w:lineRule="exact"/>
              <w:jc w:val="center"/>
              <w:rPr>
                <w:kern w:val="0"/>
                <w:szCs w:val="21"/>
              </w:rPr>
            </w:pPr>
            <w:r>
              <w:rPr>
                <w:kern w:val="0"/>
                <w:szCs w:val="21"/>
              </w:rPr>
              <w:t>NNW</w:t>
            </w:r>
          </w:p>
        </w:tc>
        <w:tc>
          <w:tcPr>
            <w:tcW w:w="559" w:type="dxa"/>
            <w:shd w:val="clear" w:color="auto" w:fill="auto"/>
            <w:vAlign w:val="center"/>
          </w:tcPr>
          <w:p>
            <w:pPr>
              <w:widowControl/>
              <w:spacing w:line="240" w:lineRule="exact"/>
              <w:jc w:val="center"/>
              <w:rPr>
                <w:kern w:val="0"/>
                <w:szCs w:val="21"/>
              </w:rPr>
            </w:pPr>
            <w:r>
              <w:rPr>
                <w:kern w:val="0"/>
                <w:szCs w:val="21"/>
              </w:rPr>
              <w:t>初期坝</w:t>
            </w:r>
          </w:p>
        </w:tc>
        <w:tc>
          <w:tcPr>
            <w:tcW w:w="800" w:type="dxa"/>
            <w:shd w:val="clear" w:color="auto" w:fill="auto"/>
            <w:vAlign w:val="center"/>
          </w:tcPr>
          <w:p>
            <w:pPr>
              <w:widowControl/>
              <w:spacing w:line="240" w:lineRule="exact"/>
              <w:jc w:val="center"/>
              <w:rPr>
                <w:kern w:val="0"/>
                <w:szCs w:val="21"/>
              </w:rPr>
            </w:pPr>
            <w:r>
              <w:rPr>
                <w:kern w:val="0"/>
                <w:szCs w:val="21"/>
              </w:rPr>
              <w:t>2600</w:t>
            </w:r>
          </w:p>
        </w:tc>
        <w:tc>
          <w:tcPr>
            <w:tcW w:w="1114" w:type="dxa"/>
            <w:vMerge w:val="continue"/>
            <w:vAlign w:val="center"/>
          </w:tcPr>
          <w:p>
            <w:pPr>
              <w:widowControl/>
              <w:spacing w:line="240" w:lineRule="exact"/>
              <w:jc w:val="center"/>
              <w:rPr>
                <w:kern w:val="0"/>
                <w:szCs w:val="21"/>
              </w:rPr>
            </w:pPr>
          </w:p>
        </w:tc>
        <w:tc>
          <w:tcPr>
            <w:tcW w:w="2051" w:type="dxa"/>
            <w:vMerge w:val="continue"/>
            <w:shd w:val="clear" w:color="auto" w:fill="auto"/>
            <w:vAlign w:val="center"/>
          </w:tcPr>
          <w:p>
            <w:pPr>
              <w:widowControl/>
              <w:spacing w:line="240" w:lineRule="exact"/>
              <w:jc w:val="center"/>
              <w:rPr>
                <w:kern w:val="0"/>
                <w:szCs w:val="21"/>
              </w:rPr>
            </w:pPr>
          </w:p>
        </w:tc>
        <w:tc>
          <w:tcPr>
            <w:tcW w:w="940" w:type="dxa"/>
            <w:vMerge w:val="continue"/>
            <w:vAlign w:val="center"/>
          </w:tcPr>
          <w:p>
            <w:pPr>
              <w:widowControl/>
              <w:spacing w:line="24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25" w:hRule="atLeast"/>
        </w:trPr>
        <w:tc>
          <w:tcPr>
            <w:tcW w:w="615" w:type="dxa"/>
            <w:vMerge w:val="continue"/>
            <w:vAlign w:val="center"/>
          </w:tcPr>
          <w:p>
            <w:pPr>
              <w:widowControl/>
              <w:spacing w:line="240" w:lineRule="exact"/>
              <w:jc w:val="center"/>
              <w:rPr>
                <w:kern w:val="0"/>
                <w:szCs w:val="21"/>
              </w:rPr>
            </w:pPr>
          </w:p>
        </w:tc>
        <w:tc>
          <w:tcPr>
            <w:tcW w:w="891" w:type="dxa"/>
            <w:shd w:val="clear" w:color="auto" w:fill="auto"/>
            <w:vAlign w:val="center"/>
          </w:tcPr>
          <w:p>
            <w:pPr>
              <w:widowControl/>
              <w:spacing w:line="240" w:lineRule="exact"/>
              <w:jc w:val="center"/>
              <w:rPr>
                <w:kern w:val="0"/>
                <w:szCs w:val="21"/>
              </w:rPr>
            </w:pPr>
            <w:r>
              <w:rPr>
                <w:kern w:val="0"/>
                <w:szCs w:val="21"/>
              </w:rPr>
              <w:t>美山村石庙坡根</w:t>
            </w:r>
          </w:p>
        </w:tc>
        <w:tc>
          <w:tcPr>
            <w:tcW w:w="833" w:type="dxa"/>
            <w:shd w:val="clear" w:color="auto" w:fill="auto"/>
            <w:vAlign w:val="center"/>
          </w:tcPr>
          <w:p>
            <w:pPr>
              <w:widowControl/>
              <w:spacing w:line="240" w:lineRule="exact"/>
              <w:jc w:val="center"/>
              <w:rPr>
                <w:kern w:val="0"/>
                <w:szCs w:val="21"/>
              </w:rPr>
            </w:pPr>
            <w:r>
              <w:rPr>
                <w:kern w:val="0"/>
                <w:szCs w:val="21"/>
              </w:rPr>
              <w:t>10户，32人</w:t>
            </w:r>
          </w:p>
        </w:tc>
        <w:tc>
          <w:tcPr>
            <w:tcW w:w="719" w:type="dxa"/>
            <w:gridSpan w:val="2"/>
            <w:shd w:val="clear" w:color="auto" w:fill="auto"/>
            <w:vAlign w:val="center"/>
          </w:tcPr>
          <w:p>
            <w:pPr>
              <w:widowControl/>
              <w:spacing w:line="240" w:lineRule="exact"/>
              <w:jc w:val="center"/>
              <w:rPr>
                <w:kern w:val="0"/>
                <w:szCs w:val="21"/>
              </w:rPr>
            </w:pPr>
            <w:r>
              <w:rPr>
                <w:kern w:val="0"/>
                <w:szCs w:val="21"/>
              </w:rPr>
              <w:t>NNW</w:t>
            </w:r>
          </w:p>
        </w:tc>
        <w:tc>
          <w:tcPr>
            <w:tcW w:w="559" w:type="dxa"/>
            <w:shd w:val="clear" w:color="auto" w:fill="auto"/>
            <w:vAlign w:val="center"/>
          </w:tcPr>
          <w:p>
            <w:pPr>
              <w:widowControl/>
              <w:spacing w:line="240" w:lineRule="exact"/>
              <w:jc w:val="center"/>
              <w:rPr>
                <w:kern w:val="0"/>
                <w:szCs w:val="21"/>
              </w:rPr>
            </w:pPr>
            <w:r>
              <w:rPr>
                <w:kern w:val="0"/>
                <w:szCs w:val="21"/>
              </w:rPr>
              <w:t>初期坝</w:t>
            </w:r>
          </w:p>
        </w:tc>
        <w:tc>
          <w:tcPr>
            <w:tcW w:w="800" w:type="dxa"/>
            <w:shd w:val="clear" w:color="auto" w:fill="auto"/>
            <w:vAlign w:val="center"/>
          </w:tcPr>
          <w:p>
            <w:pPr>
              <w:widowControl/>
              <w:spacing w:line="240" w:lineRule="exact"/>
              <w:jc w:val="center"/>
              <w:rPr>
                <w:kern w:val="0"/>
                <w:szCs w:val="21"/>
              </w:rPr>
            </w:pPr>
            <w:r>
              <w:rPr>
                <w:kern w:val="0"/>
                <w:szCs w:val="21"/>
              </w:rPr>
              <w:t>3900</w:t>
            </w:r>
          </w:p>
        </w:tc>
        <w:tc>
          <w:tcPr>
            <w:tcW w:w="1114" w:type="dxa"/>
            <w:vMerge w:val="continue"/>
            <w:vAlign w:val="center"/>
          </w:tcPr>
          <w:p>
            <w:pPr>
              <w:widowControl/>
              <w:spacing w:line="240" w:lineRule="exact"/>
              <w:jc w:val="center"/>
              <w:rPr>
                <w:kern w:val="0"/>
                <w:szCs w:val="21"/>
              </w:rPr>
            </w:pPr>
          </w:p>
        </w:tc>
        <w:tc>
          <w:tcPr>
            <w:tcW w:w="2051" w:type="dxa"/>
            <w:vMerge w:val="continue"/>
            <w:shd w:val="clear" w:color="auto" w:fill="auto"/>
            <w:vAlign w:val="center"/>
          </w:tcPr>
          <w:p>
            <w:pPr>
              <w:widowControl/>
              <w:spacing w:line="240" w:lineRule="exact"/>
              <w:jc w:val="center"/>
              <w:rPr>
                <w:kern w:val="0"/>
                <w:szCs w:val="21"/>
              </w:rPr>
            </w:pPr>
          </w:p>
        </w:tc>
        <w:tc>
          <w:tcPr>
            <w:tcW w:w="940" w:type="dxa"/>
            <w:vMerge w:val="continue"/>
            <w:vAlign w:val="center"/>
          </w:tcPr>
          <w:p>
            <w:pPr>
              <w:widowControl/>
              <w:spacing w:line="24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trPr>
        <w:tc>
          <w:tcPr>
            <w:tcW w:w="615" w:type="dxa"/>
            <w:shd w:val="clear" w:color="auto" w:fill="auto"/>
            <w:vAlign w:val="center"/>
          </w:tcPr>
          <w:p>
            <w:pPr>
              <w:widowControl/>
              <w:spacing w:line="240" w:lineRule="exact"/>
              <w:jc w:val="center"/>
              <w:rPr>
                <w:kern w:val="0"/>
                <w:szCs w:val="21"/>
              </w:rPr>
            </w:pPr>
            <w:r>
              <w:rPr>
                <w:kern w:val="0"/>
                <w:szCs w:val="21"/>
              </w:rPr>
              <w:t>地表水水环境</w:t>
            </w:r>
          </w:p>
        </w:tc>
        <w:tc>
          <w:tcPr>
            <w:tcW w:w="891" w:type="dxa"/>
            <w:shd w:val="clear" w:color="auto" w:fill="auto"/>
            <w:vAlign w:val="center"/>
          </w:tcPr>
          <w:p>
            <w:pPr>
              <w:widowControl/>
              <w:spacing w:line="240" w:lineRule="exact"/>
              <w:jc w:val="center"/>
              <w:rPr>
                <w:kern w:val="0"/>
                <w:szCs w:val="21"/>
              </w:rPr>
            </w:pPr>
            <w:r>
              <w:rPr>
                <w:kern w:val="0"/>
                <w:szCs w:val="21"/>
              </w:rPr>
              <w:t>麻家河</w:t>
            </w:r>
          </w:p>
        </w:tc>
        <w:tc>
          <w:tcPr>
            <w:tcW w:w="2911" w:type="dxa"/>
            <w:gridSpan w:val="5"/>
            <w:shd w:val="clear" w:color="auto" w:fill="auto"/>
            <w:vAlign w:val="center"/>
          </w:tcPr>
          <w:p>
            <w:pPr>
              <w:widowControl/>
              <w:spacing w:line="240" w:lineRule="exact"/>
              <w:jc w:val="center"/>
              <w:rPr>
                <w:kern w:val="0"/>
                <w:szCs w:val="21"/>
              </w:rPr>
            </w:pPr>
            <w:r>
              <w:rPr>
                <w:kern w:val="0"/>
                <w:szCs w:val="21"/>
              </w:rPr>
              <w:t>麻家河支流分布于项目区域，为宏农涧河源头支流，地表水功能区划为III类，主要为农灌用水</w:t>
            </w:r>
          </w:p>
        </w:tc>
        <w:tc>
          <w:tcPr>
            <w:tcW w:w="1114" w:type="dxa"/>
            <w:shd w:val="clear" w:color="auto" w:fill="auto"/>
            <w:vAlign w:val="center"/>
          </w:tcPr>
          <w:p>
            <w:pPr>
              <w:widowControl/>
              <w:spacing w:line="240" w:lineRule="exact"/>
              <w:jc w:val="center"/>
              <w:rPr>
                <w:kern w:val="0"/>
                <w:szCs w:val="21"/>
              </w:rPr>
            </w:pPr>
            <w:r>
              <w:rPr>
                <w:kern w:val="0"/>
                <w:szCs w:val="21"/>
              </w:rPr>
              <w:t>矿坑涌水、选矿废水、尾矿库回水、生活污水</w:t>
            </w:r>
          </w:p>
        </w:tc>
        <w:tc>
          <w:tcPr>
            <w:tcW w:w="2051" w:type="dxa"/>
            <w:shd w:val="clear" w:color="auto" w:fill="auto"/>
            <w:vAlign w:val="center"/>
          </w:tcPr>
          <w:p>
            <w:pPr>
              <w:widowControl/>
              <w:spacing w:line="240" w:lineRule="exact"/>
              <w:jc w:val="center"/>
              <w:rPr>
                <w:kern w:val="0"/>
                <w:szCs w:val="21"/>
              </w:rPr>
            </w:pPr>
            <w:r>
              <w:rPr>
                <w:kern w:val="0"/>
                <w:szCs w:val="21"/>
              </w:rPr>
              <w:t>《地表水环境质量标准》(GB3838-2002)III类</w:t>
            </w:r>
          </w:p>
        </w:tc>
        <w:tc>
          <w:tcPr>
            <w:tcW w:w="940" w:type="dxa"/>
            <w:shd w:val="clear" w:color="auto" w:fill="auto"/>
            <w:vAlign w:val="center"/>
          </w:tcPr>
          <w:p>
            <w:pPr>
              <w:widowControl/>
              <w:spacing w:line="240" w:lineRule="exact"/>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015" w:hRule="atLeast"/>
        </w:trPr>
        <w:tc>
          <w:tcPr>
            <w:tcW w:w="615" w:type="dxa"/>
            <w:shd w:val="clear" w:color="auto" w:fill="auto"/>
            <w:vAlign w:val="center"/>
          </w:tcPr>
          <w:p>
            <w:pPr>
              <w:widowControl/>
              <w:spacing w:line="240" w:lineRule="exact"/>
              <w:jc w:val="center"/>
              <w:rPr>
                <w:kern w:val="0"/>
                <w:szCs w:val="21"/>
              </w:rPr>
            </w:pPr>
            <w:r>
              <w:rPr>
                <w:kern w:val="0"/>
                <w:szCs w:val="21"/>
              </w:rPr>
              <w:t>地下水环境</w:t>
            </w:r>
          </w:p>
        </w:tc>
        <w:tc>
          <w:tcPr>
            <w:tcW w:w="3802" w:type="dxa"/>
            <w:gridSpan w:val="6"/>
            <w:shd w:val="clear" w:color="auto" w:fill="auto"/>
            <w:vAlign w:val="center"/>
          </w:tcPr>
          <w:p>
            <w:pPr>
              <w:widowControl/>
              <w:spacing w:line="240" w:lineRule="exact"/>
              <w:jc w:val="center"/>
              <w:rPr>
                <w:kern w:val="0"/>
                <w:szCs w:val="21"/>
              </w:rPr>
            </w:pPr>
            <w:r>
              <w:rPr>
                <w:kern w:val="0"/>
                <w:szCs w:val="21"/>
              </w:rPr>
              <w:t>原矿堆场、选矿厂车间及尾矿库周围地下水水质、地下水水资源</w:t>
            </w:r>
          </w:p>
        </w:tc>
        <w:tc>
          <w:tcPr>
            <w:tcW w:w="1114" w:type="dxa"/>
            <w:shd w:val="clear" w:color="auto" w:fill="auto"/>
            <w:vAlign w:val="center"/>
          </w:tcPr>
          <w:p>
            <w:pPr>
              <w:widowControl/>
              <w:spacing w:line="240" w:lineRule="exact"/>
              <w:jc w:val="center"/>
              <w:rPr>
                <w:kern w:val="0"/>
                <w:szCs w:val="21"/>
              </w:rPr>
            </w:pPr>
            <w:r>
              <w:rPr>
                <w:kern w:val="0"/>
                <w:szCs w:val="21"/>
              </w:rPr>
              <w:t>矿坑涌水、废石场及尾矿库渗水</w:t>
            </w:r>
          </w:p>
        </w:tc>
        <w:tc>
          <w:tcPr>
            <w:tcW w:w="2051" w:type="dxa"/>
            <w:shd w:val="clear" w:color="auto" w:fill="auto"/>
            <w:vAlign w:val="center"/>
          </w:tcPr>
          <w:p>
            <w:pPr>
              <w:widowControl/>
              <w:spacing w:line="240" w:lineRule="exact"/>
              <w:jc w:val="center"/>
              <w:rPr>
                <w:kern w:val="0"/>
                <w:szCs w:val="21"/>
              </w:rPr>
            </w:pPr>
            <w:r>
              <w:rPr>
                <w:kern w:val="0"/>
                <w:szCs w:val="21"/>
              </w:rPr>
              <w:t>《地下水质量标准》</w:t>
            </w:r>
          </w:p>
          <w:p>
            <w:pPr>
              <w:spacing w:line="240" w:lineRule="exact"/>
              <w:jc w:val="center"/>
              <w:rPr>
                <w:kern w:val="0"/>
                <w:szCs w:val="21"/>
              </w:rPr>
            </w:pPr>
            <w:r>
              <w:rPr>
                <w:kern w:val="0"/>
                <w:szCs w:val="21"/>
              </w:rPr>
              <w:t>(GB/T14848-1993)Ⅲ类标准</w:t>
            </w:r>
          </w:p>
        </w:tc>
        <w:tc>
          <w:tcPr>
            <w:tcW w:w="940" w:type="dxa"/>
            <w:shd w:val="clear" w:color="auto" w:fill="auto"/>
            <w:vAlign w:val="center"/>
          </w:tcPr>
          <w:p>
            <w:pPr>
              <w:widowControl/>
              <w:spacing w:line="240" w:lineRule="exact"/>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trPr>
        <w:tc>
          <w:tcPr>
            <w:tcW w:w="615" w:type="dxa"/>
            <w:vMerge w:val="restart"/>
            <w:shd w:val="clear" w:color="auto" w:fill="auto"/>
            <w:vAlign w:val="center"/>
          </w:tcPr>
          <w:p>
            <w:pPr>
              <w:widowControl/>
              <w:spacing w:line="240" w:lineRule="exact"/>
              <w:jc w:val="center"/>
              <w:rPr>
                <w:kern w:val="0"/>
                <w:szCs w:val="21"/>
              </w:rPr>
            </w:pPr>
            <w:r>
              <w:rPr>
                <w:kern w:val="0"/>
                <w:szCs w:val="21"/>
              </w:rPr>
              <w:t>生态环境</w:t>
            </w:r>
          </w:p>
        </w:tc>
        <w:tc>
          <w:tcPr>
            <w:tcW w:w="1784" w:type="dxa"/>
            <w:gridSpan w:val="3"/>
            <w:shd w:val="clear" w:color="auto" w:fill="auto"/>
            <w:vAlign w:val="center"/>
          </w:tcPr>
          <w:p>
            <w:pPr>
              <w:widowControl/>
              <w:spacing w:line="240" w:lineRule="exact"/>
              <w:jc w:val="center"/>
              <w:rPr>
                <w:kern w:val="0"/>
                <w:szCs w:val="21"/>
              </w:rPr>
            </w:pPr>
            <w:r>
              <w:rPr>
                <w:kern w:val="0"/>
                <w:szCs w:val="21"/>
              </w:rPr>
              <w:t>采矿工业场地占地、选矿厂、办公生活区占地</w:t>
            </w:r>
          </w:p>
        </w:tc>
        <w:tc>
          <w:tcPr>
            <w:tcW w:w="2018" w:type="dxa"/>
            <w:gridSpan w:val="3"/>
            <w:shd w:val="clear" w:color="auto" w:fill="auto"/>
            <w:vAlign w:val="center"/>
          </w:tcPr>
          <w:p>
            <w:pPr>
              <w:widowControl/>
              <w:spacing w:line="240" w:lineRule="exact"/>
              <w:jc w:val="center"/>
              <w:rPr>
                <w:kern w:val="0"/>
                <w:szCs w:val="21"/>
              </w:rPr>
            </w:pPr>
            <w:r>
              <w:rPr>
                <w:kern w:val="0"/>
                <w:szCs w:val="21"/>
              </w:rPr>
              <w:t>占地4.48hm</w:t>
            </w:r>
            <w:r>
              <w:rPr>
                <w:kern w:val="0"/>
                <w:szCs w:val="21"/>
                <w:vertAlign w:val="superscript"/>
              </w:rPr>
              <w:t>2</w:t>
            </w:r>
          </w:p>
        </w:tc>
        <w:tc>
          <w:tcPr>
            <w:tcW w:w="1114" w:type="dxa"/>
            <w:vMerge w:val="restart"/>
            <w:shd w:val="clear" w:color="auto" w:fill="auto"/>
            <w:vAlign w:val="center"/>
          </w:tcPr>
          <w:p>
            <w:pPr>
              <w:widowControl/>
              <w:spacing w:line="240" w:lineRule="exact"/>
              <w:jc w:val="center"/>
              <w:rPr>
                <w:kern w:val="0"/>
                <w:szCs w:val="21"/>
              </w:rPr>
            </w:pPr>
            <w:r>
              <w:rPr>
                <w:kern w:val="0"/>
                <w:szCs w:val="21"/>
              </w:rPr>
              <w:t>工程占地</w:t>
            </w:r>
          </w:p>
        </w:tc>
        <w:tc>
          <w:tcPr>
            <w:tcW w:w="2051" w:type="dxa"/>
            <w:vMerge w:val="restart"/>
            <w:shd w:val="clear" w:color="auto" w:fill="auto"/>
            <w:vAlign w:val="center"/>
          </w:tcPr>
          <w:p>
            <w:pPr>
              <w:widowControl/>
              <w:spacing w:line="240" w:lineRule="exact"/>
              <w:jc w:val="center"/>
              <w:rPr>
                <w:kern w:val="0"/>
                <w:szCs w:val="21"/>
              </w:rPr>
            </w:pPr>
            <w:r>
              <w:rPr>
                <w:kern w:val="0"/>
                <w:szCs w:val="21"/>
              </w:rPr>
              <w:t>水土保持、破坏植被得到恢复、塌陷区、废石场、尾矿库、运输道路生态恢复</w:t>
            </w:r>
          </w:p>
        </w:tc>
        <w:tc>
          <w:tcPr>
            <w:tcW w:w="940" w:type="dxa"/>
            <w:vMerge w:val="restart"/>
            <w:shd w:val="clear" w:color="auto" w:fill="auto"/>
            <w:vAlign w:val="center"/>
          </w:tcPr>
          <w:p>
            <w:pPr>
              <w:widowControl/>
              <w:spacing w:line="240" w:lineRule="exact"/>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trPr>
        <w:tc>
          <w:tcPr>
            <w:tcW w:w="615" w:type="dxa"/>
            <w:vMerge w:val="continue"/>
            <w:vAlign w:val="center"/>
          </w:tcPr>
          <w:p>
            <w:pPr>
              <w:widowControl/>
              <w:spacing w:line="240" w:lineRule="exact"/>
              <w:jc w:val="center"/>
              <w:rPr>
                <w:kern w:val="0"/>
                <w:szCs w:val="21"/>
              </w:rPr>
            </w:pPr>
          </w:p>
        </w:tc>
        <w:tc>
          <w:tcPr>
            <w:tcW w:w="1784" w:type="dxa"/>
            <w:gridSpan w:val="3"/>
            <w:shd w:val="clear" w:color="auto" w:fill="auto"/>
            <w:vAlign w:val="center"/>
          </w:tcPr>
          <w:p>
            <w:pPr>
              <w:widowControl/>
              <w:spacing w:line="240" w:lineRule="exact"/>
              <w:jc w:val="center"/>
              <w:rPr>
                <w:kern w:val="0"/>
                <w:szCs w:val="21"/>
              </w:rPr>
            </w:pPr>
            <w:r>
              <w:rPr>
                <w:kern w:val="0"/>
                <w:szCs w:val="21"/>
              </w:rPr>
              <w:t>废石堆场占地</w:t>
            </w:r>
          </w:p>
        </w:tc>
        <w:tc>
          <w:tcPr>
            <w:tcW w:w="2018" w:type="dxa"/>
            <w:gridSpan w:val="3"/>
            <w:shd w:val="clear" w:color="auto" w:fill="auto"/>
            <w:vAlign w:val="center"/>
          </w:tcPr>
          <w:p>
            <w:pPr>
              <w:widowControl/>
              <w:spacing w:line="240" w:lineRule="exact"/>
              <w:jc w:val="center"/>
              <w:rPr>
                <w:kern w:val="0"/>
                <w:szCs w:val="21"/>
              </w:rPr>
            </w:pPr>
            <w:r>
              <w:rPr>
                <w:kern w:val="0"/>
                <w:szCs w:val="21"/>
              </w:rPr>
              <w:t>占地12.43hm</w:t>
            </w:r>
            <w:r>
              <w:rPr>
                <w:kern w:val="0"/>
                <w:szCs w:val="21"/>
                <w:vertAlign w:val="superscript"/>
              </w:rPr>
              <w:t>2</w:t>
            </w:r>
          </w:p>
        </w:tc>
        <w:tc>
          <w:tcPr>
            <w:tcW w:w="1114" w:type="dxa"/>
            <w:vMerge w:val="continue"/>
            <w:vAlign w:val="center"/>
          </w:tcPr>
          <w:p>
            <w:pPr>
              <w:widowControl/>
              <w:spacing w:line="240" w:lineRule="exact"/>
              <w:jc w:val="center"/>
              <w:rPr>
                <w:kern w:val="0"/>
                <w:szCs w:val="21"/>
              </w:rPr>
            </w:pPr>
          </w:p>
        </w:tc>
        <w:tc>
          <w:tcPr>
            <w:tcW w:w="2051" w:type="dxa"/>
            <w:vMerge w:val="continue"/>
            <w:vAlign w:val="center"/>
          </w:tcPr>
          <w:p>
            <w:pPr>
              <w:widowControl/>
              <w:spacing w:line="240" w:lineRule="exact"/>
              <w:jc w:val="center"/>
              <w:rPr>
                <w:kern w:val="0"/>
                <w:szCs w:val="21"/>
              </w:rPr>
            </w:pPr>
          </w:p>
        </w:tc>
        <w:tc>
          <w:tcPr>
            <w:tcW w:w="940" w:type="dxa"/>
            <w:vMerge w:val="continue"/>
            <w:vAlign w:val="center"/>
          </w:tcPr>
          <w:p>
            <w:pPr>
              <w:widowControl/>
              <w:spacing w:line="24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trPr>
        <w:tc>
          <w:tcPr>
            <w:tcW w:w="615" w:type="dxa"/>
            <w:vMerge w:val="continue"/>
            <w:vAlign w:val="center"/>
          </w:tcPr>
          <w:p>
            <w:pPr>
              <w:widowControl/>
              <w:spacing w:line="240" w:lineRule="exact"/>
              <w:jc w:val="center"/>
              <w:rPr>
                <w:kern w:val="0"/>
                <w:szCs w:val="21"/>
              </w:rPr>
            </w:pPr>
          </w:p>
        </w:tc>
        <w:tc>
          <w:tcPr>
            <w:tcW w:w="1784" w:type="dxa"/>
            <w:gridSpan w:val="3"/>
            <w:shd w:val="clear" w:color="auto" w:fill="auto"/>
            <w:vAlign w:val="center"/>
          </w:tcPr>
          <w:p>
            <w:pPr>
              <w:widowControl/>
              <w:spacing w:line="240" w:lineRule="exact"/>
              <w:jc w:val="center"/>
              <w:rPr>
                <w:kern w:val="0"/>
                <w:szCs w:val="21"/>
              </w:rPr>
            </w:pPr>
            <w:r>
              <w:rPr>
                <w:kern w:val="0"/>
                <w:szCs w:val="21"/>
              </w:rPr>
              <w:t>尾矿库占地</w:t>
            </w:r>
          </w:p>
        </w:tc>
        <w:tc>
          <w:tcPr>
            <w:tcW w:w="2018" w:type="dxa"/>
            <w:gridSpan w:val="3"/>
            <w:shd w:val="clear" w:color="auto" w:fill="auto"/>
            <w:vAlign w:val="center"/>
          </w:tcPr>
          <w:p>
            <w:pPr>
              <w:widowControl/>
              <w:spacing w:line="240" w:lineRule="exact"/>
              <w:jc w:val="center"/>
              <w:rPr>
                <w:kern w:val="0"/>
                <w:szCs w:val="21"/>
              </w:rPr>
            </w:pPr>
            <w:r>
              <w:rPr>
                <w:kern w:val="0"/>
                <w:szCs w:val="21"/>
              </w:rPr>
              <w:t>占地9.8hm</w:t>
            </w:r>
            <w:r>
              <w:rPr>
                <w:kern w:val="0"/>
                <w:szCs w:val="21"/>
                <w:vertAlign w:val="superscript"/>
              </w:rPr>
              <w:t>2</w:t>
            </w:r>
          </w:p>
        </w:tc>
        <w:tc>
          <w:tcPr>
            <w:tcW w:w="1114" w:type="dxa"/>
            <w:vMerge w:val="continue"/>
            <w:vAlign w:val="center"/>
          </w:tcPr>
          <w:p>
            <w:pPr>
              <w:widowControl/>
              <w:spacing w:line="240" w:lineRule="exact"/>
              <w:jc w:val="center"/>
              <w:rPr>
                <w:kern w:val="0"/>
                <w:szCs w:val="21"/>
              </w:rPr>
            </w:pPr>
          </w:p>
        </w:tc>
        <w:tc>
          <w:tcPr>
            <w:tcW w:w="2051" w:type="dxa"/>
            <w:vMerge w:val="continue"/>
            <w:vAlign w:val="center"/>
          </w:tcPr>
          <w:p>
            <w:pPr>
              <w:widowControl/>
              <w:spacing w:line="240" w:lineRule="exact"/>
              <w:jc w:val="center"/>
              <w:rPr>
                <w:kern w:val="0"/>
                <w:szCs w:val="21"/>
              </w:rPr>
            </w:pPr>
          </w:p>
        </w:tc>
        <w:tc>
          <w:tcPr>
            <w:tcW w:w="940" w:type="dxa"/>
            <w:vMerge w:val="continue"/>
            <w:vAlign w:val="center"/>
          </w:tcPr>
          <w:p>
            <w:pPr>
              <w:widowControl/>
              <w:spacing w:line="240" w:lineRule="exact"/>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trPr>
        <w:tc>
          <w:tcPr>
            <w:tcW w:w="615" w:type="dxa"/>
            <w:vMerge w:val="continue"/>
            <w:vAlign w:val="center"/>
          </w:tcPr>
          <w:p>
            <w:pPr>
              <w:widowControl/>
              <w:spacing w:line="240" w:lineRule="exact"/>
              <w:jc w:val="center"/>
              <w:rPr>
                <w:kern w:val="0"/>
                <w:szCs w:val="21"/>
              </w:rPr>
            </w:pPr>
          </w:p>
        </w:tc>
        <w:tc>
          <w:tcPr>
            <w:tcW w:w="1784" w:type="dxa"/>
            <w:gridSpan w:val="3"/>
            <w:shd w:val="clear" w:color="auto" w:fill="auto"/>
            <w:vAlign w:val="center"/>
          </w:tcPr>
          <w:p>
            <w:pPr>
              <w:widowControl/>
              <w:spacing w:line="240" w:lineRule="exact"/>
              <w:jc w:val="center"/>
              <w:rPr>
                <w:kern w:val="0"/>
                <w:szCs w:val="21"/>
              </w:rPr>
            </w:pPr>
            <w:r>
              <w:rPr>
                <w:kern w:val="0"/>
                <w:szCs w:val="21"/>
              </w:rPr>
              <w:t>运输道路占地</w:t>
            </w:r>
          </w:p>
        </w:tc>
        <w:tc>
          <w:tcPr>
            <w:tcW w:w="2018" w:type="dxa"/>
            <w:gridSpan w:val="3"/>
            <w:shd w:val="clear" w:color="auto" w:fill="auto"/>
            <w:vAlign w:val="center"/>
          </w:tcPr>
          <w:p>
            <w:pPr>
              <w:widowControl/>
              <w:spacing w:line="240" w:lineRule="exact"/>
              <w:jc w:val="center"/>
              <w:rPr>
                <w:kern w:val="0"/>
                <w:szCs w:val="21"/>
              </w:rPr>
            </w:pPr>
            <w:r>
              <w:rPr>
                <w:kern w:val="0"/>
                <w:szCs w:val="21"/>
              </w:rPr>
              <w:t>占地1.9hm</w:t>
            </w:r>
            <w:r>
              <w:rPr>
                <w:kern w:val="0"/>
                <w:szCs w:val="21"/>
                <w:vertAlign w:val="superscript"/>
              </w:rPr>
              <w:t>2</w:t>
            </w:r>
          </w:p>
        </w:tc>
        <w:tc>
          <w:tcPr>
            <w:tcW w:w="1114" w:type="dxa"/>
            <w:vMerge w:val="continue"/>
            <w:vAlign w:val="center"/>
          </w:tcPr>
          <w:p>
            <w:pPr>
              <w:widowControl/>
              <w:spacing w:line="240" w:lineRule="exact"/>
              <w:jc w:val="center"/>
              <w:rPr>
                <w:kern w:val="0"/>
                <w:szCs w:val="21"/>
              </w:rPr>
            </w:pPr>
          </w:p>
        </w:tc>
        <w:tc>
          <w:tcPr>
            <w:tcW w:w="2051" w:type="dxa"/>
            <w:vMerge w:val="continue"/>
            <w:vAlign w:val="center"/>
          </w:tcPr>
          <w:p>
            <w:pPr>
              <w:widowControl/>
              <w:spacing w:line="240" w:lineRule="exact"/>
              <w:jc w:val="center"/>
              <w:rPr>
                <w:kern w:val="0"/>
                <w:szCs w:val="21"/>
              </w:rPr>
            </w:pPr>
          </w:p>
        </w:tc>
        <w:tc>
          <w:tcPr>
            <w:tcW w:w="940" w:type="dxa"/>
            <w:vMerge w:val="continue"/>
            <w:vAlign w:val="center"/>
          </w:tcPr>
          <w:p>
            <w:pPr>
              <w:widowControl/>
              <w:spacing w:line="240" w:lineRule="exact"/>
              <w:jc w:val="center"/>
              <w:rPr>
                <w:kern w:val="0"/>
                <w:szCs w:val="21"/>
              </w:rPr>
            </w:pPr>
          </w:p>
        </w:tc>
      </w:tr>
    </w:tbl>
    <w:p>
      <w:pPr>
        <w:spacing w:line="520" w:lineRule="exact"/>
        <w:rPr>
          <w:kern w:val="0"/>
          <w:sz w:val="24"/>
          <w:szCs w:val="28"/>
        </w:rPr>
      </w:pPr>
    </w:p>
    <w:p>
      <w:pPr>
        <w:spacing w:line="520" w:lineRule="exact"/>
        <w:rPr>
          <w:kern w:val="0"/>
          <w:sz w:val="24"/>
          <w:szCs w:val="28"/>
        </w:rPr>
      </w:pPr>
    </w:p>
    <w:p>
      <w:pPr>
        <w:spacing w:line="520" w:lineRule="exact"/>
        <w:rPr>
          <w:kern w:val="0"/>
          <w:sz w:val="24"/>
          <w:szCs w:val="28"/>
        </w:rPr>
      </w:pPr>
    </w:p>
    <w:p>
      <w:pPr>
        <w:spacing w:line="520" w:lineRule="exact"/>
        <w:rPr>
          <w:kern w:val="0"/>
          <w:sz w:val="24"/>
          <w:szCs w:val="28"/>
        </w:rPr>
      </w:pPr>
    </w:p>
    <w:p>
      <w:pPr>
        <w:spacing w:line="520" w:lineRule="exact"/>
        <w:rPr>
          <w:kern w:val="0"/>
          <w:sz w:val="24"/>
          <w:szCs w:val="28"/>
        </w:rPr>
      </w:pPr>
    </w:p>
    <w:p>
      <w:pPr>
        <w:spacing w:line="520" w:lineRule="exact"/>
        <w:rPr>
          <w:kern w:val="0"/>
          <w:sz w:val="24"/>
          <w:szCs w:val="28"/>
        </w:rPr>
      </w:pPr>
    </w:p>
    <w:p>
      <w:pPr>
        <w:spacing w:line="520" w:lineRule="exact"/>
        <w:rPr>
          <w:kern w:val="0"/>
          <w:sz w:val="24"/>
          <w:szCs w:val="28"/>
        </w:rPr>
      </w:pPr>
    </w:p>
    <w:p>
      <w:pPr>
        <w:spacing w:line="520" w:lineRule="exact"/>
        <w:rPr>
          <w:kern w:val="0"/>
          <w:sz w:val="24"/>
          <w:szCs w:val="28"/>
        </w:rPr>
      </w:pPr>
    </w:p>
    <w:p>
      <w:pPr>
        <w:tabs>
          <w:tab w:val="left" w:pos="626"/>
        </w:tabs>
        <w:rPr>
          <w:sz w:val="24"/>
          <w:szCs w:val="28"/>
        </w:rPr>
      </w:pPr>
    </w:p>
    <w:p>
      <w:pPr>
        <w:tabs>
          <w:tab w:val="left" w:pos="626"/>
        </w:tabs>
        <w:rPr>
          <w:sz w:val="24"/>
          <w:szCs w:val="28"/>
        </w:rPr>
      </w:pPr>
    </w:p>
    <w:p>
      <w:pPr>
        <w:rPr>
          <w:sz w:val="24"/>
          <w:szCs w:val="28"/>
        </w:rPr>
        <w:sectPr>
          <w:pgSz w:w="11906" w:h="16838"/>
          <w:pgMar w:top="1440" w:right="1800" w:bottom="1440" w:left="1800" w:header="851" w:footer="992" w:gutter="0"/>
          <w:cols w:space="720" w:num="1"/>
          <w:docGrid w:type="lines" w:linePitch="312" w:charSpace="0"/>
        </w:sectPr>
      </w:pPr>
    </w:p>
    <w:p>
      <w:pPr>
        <w:pStyle w:val="79"/>
        <w:spacing w:after="312"/>
      </w:pPr>
      <w:bookmarkStart w:id="160" w:name="_Toc407217310"/>
      <w:bookmarkStart w:id="161" w:name="_Toc488578901"/>
      <w:bookmarkStart w:id="162" w:name="_Toc470358606"/>
      <w:bookmarkStart w:id="163" w:name="_Toc406504158"/>
      <w:bookmarkStart w:id="164" w:name="_Toc407153444"/>
      <w:bookmarkStart w:id="165" w:name="_Toc370112109"/>
      <w:bookmarkStart w:id="166" w:name="_Toc420663631"/>
      <w:r>
        <w:t>第二章  工程建设概况</w:t>
      </w:r>
      <w:bookmarkEnd w:id="158"/>
      <w:bookmarkEnd w:id="159"/>
      <w:r>
        <w:t>及污染情况</w:t>
      </w:r>
      <w:bookmarkEnd w:id="160"/>
      <w:bookmarkEnd w:id="161"/>
      <w:bookmarkEnd w:id="162"/>
      <w:bookmarkEnd w:id="163"/>
      <w:bookmarkEnd w:id="164"/>
      <w:bookmarkEnd w:id="165"/>
      <w:bookmarkEnd w:id="166"/>
    </w:p>
    <w:p>
      <w:pPr>
        <w:pStyle w:val="77"/>
      </w:pPr>
      <w:bookmarkStart w:id="167" w:name="_Toc173147929"/>
      <w:bookmarkStart w:id="168" w:name="_Toc407217312"/>
      <w:bookmarkStart w:id="169" w:name="_Toc406504160"/>
      <w:bookmarkStart w:id="170" w:name="_Toc407153446"/>
      <w:bookmarkStart w:id="171" w:name="_Toc173284078"/>
      <w:bookmarkStart w:id="172" w:name="_Toc420663633"/>
      <w:bookmarkStart w:id="173" w:name="_Toc370112111"/>
      <w:bookmarkStart w:id="174" w:name="_Toc488578902"/>
      <w:bookmarkStart w:id="175" w:name="_Toc470358607"/>
      <w:r>
        <w:t xml:space="preserve">2.1 </w:t>
      </w:r>
      <w:bookmarkEnd w:id="167"/>
      <w:bookmarkEnd w:id="168"/>
      <w:bookmarkEnd w:id="169"/>
      <w:bookmarkEnd w:id="170"/>
      <w:bookmarkEnd w:id="171"/>
      <w:bookmarkEnd w:id="172"/>
      <w:bookmarkEnd w:id="173"/>
      <w:bookmarkStart w:id="176" w:name="_Toc173284079"/>
      <w:bookmarkStart w:id="177" w:name="_Toc420663634"/>
      <w:bookmarkStart w:id="178" w:name="_Toc407217313"/>
      <w:bookmarkStart w:id="179" w:name="_Toc406504161"/>
      <w:bookmarkStart w:id="180" w:name="_Toc370112112"/>
      <w:bookmarkStart w:id="181" w:name="_Toc173147930"/>
      <w:bookmarkStart w:id="182" w:name="_Toc407153447"/>
      <w:r>
        <w:t xml:space="preserve"> </w:t>
      </w:r>
      <w:bookmarkEnd w:id="176"/>
      <w:bookmarkEnd w:id="177"/>
      <w:bookmarkEnd w:id="178"/>
      <w:bookmarkEnd w:id="179"/>
      <w:bookmarkEnd w:id="180"/>
      <w:bookmarkEnd w:id="181"/>
      <w:bookmarkEnd w:id="182"/>
      <w:r>
        <w:t>原有采选20万吨/年硫铁矿工程概况</w:t>
      </w:r>
      <w:bookmarkEnd w:id="174"/>
      <w:bookmarkEnd w:id="175"/>
    </w:p>
    <w:p>
      <w:pPr>
        <w:pStyle w:val="74"/>
      </w:pPr>
      <w:bookmarkStart w:id="183" w:name="_Toc470358608"/>
      <w:r>
        <w:t>2.1.1. 原有20万吨采矿工程概况</w:t>
      </w:r>
      <w:bookmarkEnd w:id="183"/>
    </w:p>
    <w:p>
      <w:pPr>
        <w:pStyle w:val="5"/>
        <w:rPr>
          <w:rFonts w:ascii="Times New Roman" w:hAnsi="Times New Roman"/>
        </w:rPr>
      </w:pPr>
      <w:r>
        <w:rPr>
          <w:rFonts w:ascii="Times New Roman" w:hAnsi="Times New Roman"/>
        </w:rPr>
        <w:t>2.1.1.1矿床生产能力及开采范围</w:t>
      </w:r>
    </w:p>
    <w:p>
      <w:pPr>
        <w:spacing w:line="360" w:lineRule="auto"/>
        <w:ind w:firstLine="480" w:firstLineChars="200"/>
        <w:rPr>
          <w:sz w:val="24"/>
        </w:rPr>
      </w:pPr>
      <w:r>
        <w:rPr>
          <w:sz w:val="24"/>
        </w:rPr>
        <w:t xml:space="preserve">  生产能力：20万吨/年。</w:t>
      </w:r>
    </w:p>
    <w:p>
      <w:pPr>
        <w:spacing w:line="360" w:lineRule="auto"/>
        <w:ind w:firstLine="480" w:firstLineChars="200"/>
        <w:rPr>
          <w:sz w:val="24"/>
        </w:rPr>
      </w:pPr>
      <w:r>
        <w:rPr>
          <w:sz w:val="24"/>
        </w:rPr>
        <w:t xml:space="preserve">  开采范围：主要开采Ⅱ号、Ⅳ号、Ⅴ号矿体，Ⅰ号矿体少量开采。</w:t>
      </w:r>
    </w:p>
    <w:p>
      <w:pPr>
        <w:pStyle w:val="107"/>
      </w:pPr>
      <w:r>
        <w:t xml:space="preserve">      采矿证范围：采矿许可证范围内的Ⅰ、Ⅱ、III、Ⅳ、Ⅴ、Ⅵ、Ⅶ号矿体的开采。</w:t>
      </w:r>
    </w:p>
    <w:p>
      <w:pPr>
        <w:pStyle w:val="5"/>
      </w:pPr>
      <w:r>
        <w:t>2.1.1.2矿山开采现状</w:t>
      </w:r>
    </w:p>
    <w:p>
      <w:pPr>
        <w:pStyle w:val="88"/>
        <w:spacing w:line="360" w:lineRule="auto"/>
        <w:rPr>
          <w:color w:val="auto"/>
        </w:rPr>
      </w:pPr>
      <w:r>
        <w:rPr>
          <w:color w:val="auto"/>
        </w:rPr>
        <w:t xml:space="preserve">    银家沟硫铁矿于1990年开始建设生产，最初生产规模为10万吨/年，经逐步扩建目前矿山生产规模已达20万t/a。累计消耗矿石量488.11万t，其中：Ⅰ号矿体群已消耗1.46万t，850m标高以上已采空；Ⅱ号矿体群已消耗94.91万t，850m标高以上已采空；Ⅲ号矿体群尚未动用；Ⅳ号矿体群已消耗137.10万t，850m标高以上已采空；Ⅴ号矿体群已消耗103.57万t，850m标高以上已采空；Ⅵ号矿体群已消耗24万t，850m标高以上已采空；Ⅶ号矿体群已消耗127.07万t。长期地下开采形成了较大规模塌陷2处，其中</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color w:val="auto"/>
        </w:rPr>
        <w:t>号塌陷区面积4900m</w:t>
      </w:r>
      <w:r>
        <w:rPr>
          <w:color w:val="auto"/>
          <w:vertAlign w:val="superscript"/>
        </w:rPr>
        <w:t>2</w:t>
      </w:r>
      <w:r>
        <w:rPr>
          <w:color w:val="auto"/>
        </w:rPr>
        <w:t>，塌陷深度0.5-15m；IV号塌陷区面积6100m</w:t>
      </w:r>
      <w:r>
        <w:rPr>
          <w:color w:val="auto"/>
          <w:vertAlign w:val="superscript"/>
        </w:rPr>
        <w:t>2</w:t>
      </w:r>
      <w:r>
        <w:rPr>
          <w:color w:val="auto"/>
        </w:rPr>
        <w:t>，塌陷深度0.5～6m。其中2012年6月份，</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color w:val="auto"/>
        </w:rPr>
        <w:t>号塌陷区内部出现了深达15m，直径11m的塌陷坑。</w:t>
      </w:r>
    </w:p>
    <w:p>
      <w:pPr>
        <w:pStyle w:val="5"/>
        <w:rPr>
          <w:rFonts w:ascii="Times New Roman" w:hAnsi="Times New Roman"/>
        </w:rPr>
      </w:pPr>
      <w:r>
        <w:rPr>
          <w:rFonts w:ascii="Times New Roman" w:hAnsi="Times New Roman"/>
        </w:rPr>
        <w:t>2.1.1.3矿床的开采顺序</w:t>
      </w:r>
    </w:p>
    <w:p>
      <w:pPr>
        <w:pStyle w:val="88"/>
        <w:spacing w:line="360" w:lineRule="auto"/>
        <w:rPr>
          <w:color w:val="auto"/>
        </w:rPr>
      </w:pPr>
      <w:r>
        <w:rPr>
          <w:color w:val="auto"/>
        </w:rPr>
        <w:t xml:space="preserve">    自上而下开采，即从1000m标高中段向下逐段回采，水平方向自北、东北向南、西南（竖井）后退式回采。</w:t>
      </w:r>
    </w:p>
    <w:p>
      <w:pPr>
        <w:pStyle w:val="5"/>
        <w:rPr>
          <w:rFonts w:ascii="Times New Roman" w:hAnsi="Times New Roman"/>
        </w:rPr>
      </w:pPr>
      <w:r>
        <w:rPr>
          <w:rFonts w:ascii="Times New Roman" w:hAnsi="Times New Roman"/>
        </w:rPr>
        <w:t>2.1.1.4矿山开拓系统</w:t>
      </w:r>
    </w:p>
    <w:p>
      <w:pPr>
        <w:pStyle w:val="88"/>
        <w:spacing w:line="360" w:lineRule="auto"/>
        <w:rPr>
          <w:color w:val="auto"/>
        </w:rPr>
      </w:pPr>
      <w:r>
        <w:rPr>
          <w:color w:val="auto"/>
        </w:rPr>
        <w:t xml:space="preserve">    中段高度50m，竖井开拓方案。主要开采工作面为1000m、950m、900m、850m、800m标高等中段。</w:t>
      </w:r>
    </w:p>
    <w:p>
      <w:pPr>
        <w:pStyle w:val="5"/>
        <w:rPr>
          <w:rFonts w:ascii="Times New Roman" w:hAnsi="Times New Roman"/>
        </w:rPr>
      </w:pPr>
      <w:r>
        <w:rPr>
          <w:rFonts w:ascii="Times New Roman" w:hAnsi="Times New Roman"/>
        </w:rPr>
        <w:t>2.1.1.5开采方法</w:t>
      </w:r>
    </w:p>
    <w:p>
      <w:pPr>
        <w:pStyle w:val="88"/>
        <w:spacing w:line="360" w:lineRule="auto"/>
        <w:rPr>
          <w:color w:val="auto"/>
        </w:rPr>
      </w:pPr>
      <w:r>
        <w:rPr>
          <w:color w:val="auto"/>
        </w:rPr>
        <w:t xml:space="preserve">    采矿方法主要为无底柱分段崩落法；在矿体围岩稳固地段采用分段空场法。</w:t>
      </w:r>
    </w:p>
    <w:p>
      <w:pPr>
        <w:pStyle w:val="5"/>
        <w:rPr>
          <w:rFonts w:ascii="Times New Roman" w:hAnsi="Times New Roman"/>
        </w:rPr>
      </w:pPr>
      <w:r>
        <w:rPr>
          <w:rFonts w:ascii="Times New Roman" w:hAnsi="Times New Roman"/>
        </w:rPr>
        <w:t>2.1.1.6采矿设备</w:t>
      </w:r>
    </w:p>
    <w:p>
      <w:pPr>
        <w:pStyle w:val="88"/>
        <w:spacing w:line="360" w:lineRule="auto"/>
        <w:rPr>
          <w:color w:val="auto"/>
        </w:rPr>
      </w:pPr>
      <w:r>
        <w:rPr>
          <w:color w:val="auto"/>
        </w:rPr>
        <w:t xml:space="preserve">    采矿设备见表2.1-1，采矿设备中目前没有国家明令淘汰的设备。</w:t>
      </w:r>
    </w:p>
    <w:p>
      <w:pPr>
        <w:jc w:val="left"/>
        <w:rPr>
          <w:rFonts w:eastAsia="黑体"/>
          <w:sz w:val="22"/>
          <w:szCs w:val="22"/>
        </w:rPr>
      </w:pPr>
      <w:r>
        <w:rPr>
          <w:rFonts w:eastAsia="黑体"/>
          <w:sz w:val="22"/>
          <w:szCs w:val="22"/>
        </w:rPr>
        <w:t xml:space="preserve">    表2.1-1              现有20万吨/年采矿主要工艺设备</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418"/>
        <w:gridCol w:w="2835"/>
        <w:gridCol w:w="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序号</w:t>
            </w:r>
          </w:p>
        </w:tc>
        <w:tc>
          <w:tcPr>
            <w:tcW w:w="3418" w:type="dxa"/>
            <w:vAlign w:val="center"/>
          </w:tcPr>
          <w:p>
            <w:pPr>
              <w:spacing w:line="240" w:lineRule="exact"/>
              <w:jc w:val="center"/>
              <w:rPr>
                <w:szCs w:val="21"/>
              </w:rPr>
            </w:pPr>
            <w:r>
              <w:rPr>
                <w:szCs w:val="21"/>
              </w:rPr>
              <w:t>设备名称</w:t>
            </w:r>
          </w:p>
        </w:tc>
        <w:tc>
          <w:tcPr>
            <w:tcW w:w="2835" w:type="dxa"/>
            <w:vAlign w:val="center"/>
          </w:tcPr>
          <w:p>
            <w:pPr>
              <w:spacing w:line="240" w:lineRule="exact"/>
              <w:jc w:val="center"/>
              <w:rPr>
                <w:szCs w:val="21"/>
              </w:rPr>
            </w:pPr>
            <w:r>
              <w:rPr>
                <w:szCs w:val="21"/>
              </w:rPr>
              <w:t>台数</w:t>
            </w:r>
          </w:p>
        </w:tc>
        <w:tc>
          <w:tcPr>
            <w:tcW w:w="901" w:type="dxa"/>
            <w:vAlign w:val="center"/>
          </w:tcPr>
          <w:p>
            <w:pPr>
              <w:spacing w:line="240" w:lineRule="exact"/>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1</w:t>
            </w:r>
          </w:p>
        </w:tc>
        <w:tc>
          <w:tcPr>
            <w:tcW w:w="3418" w:type="dxa"/>
            <w:vAlign w:val="center"/>
          </w:tcPr>
          <w:p>
            <w:pPr>
              <w:spacing w:line="240" w:lineRule="exact"/>
              <w:jc w:val="center"/>
              <w:rPr>
                <w:szCs w:val="21"/>
              </w:rPr>
            </w:pPr>
            <w:r>
              <w:rPr>
                <w:szCs w:val="21"/>
              </w:rPr>
              <w:t>7655凿岩机</w:t>
            </w:r>
          </w:p>
        </w:tc>
        <w:tc>
          <w:tcPr>
            <w:tcW w:w="2835" w:type="dxa"/>
            <w:vAlign w:val="center"/>
          </w:tcPr>
          <w:p>
            <w:pPr>
              <w:spacing w:line="240" w:lineRule="exact"/>
              <w:jc w:val="center"/>
              <w:rPr>
                <w:szCs w:val="21"/>
              </w:rPr>
            </w:pPr>
            <w:r>
              <w:rPr>
                <w:szCs w:val="21"/>
              </w:rPr>
              <w:t>24</w:t>
            </w:r>
          </w:p>
        </w:tc>
        <w:tc>
          <w:tcPr>
            <w:tcW w:w="901" w:type="dxa"/>
            <w:vMerge w:val="restart"/>
            <w:vAlign w:val="center"/>
          </w:tcPr>
          <w:p>
            <w:pPr>
              <w:spacing w:line="240" w:lineRule="exact"/>
              <w:rPr>
                <w:szCs w:val="21"/>
              </w:rPr>
            </w:pPr>
            <w:r>
              <w:rPr>
                <w:szCs w:val="21"/>
              </w:rPr>
              <w:t>无国家明令淘汰的设备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2</w:t>
            </w:r>
          </w:p>
        </w:tc>
        <w:tc>
          <w:tcPr>
            <w:tcW w:w="3418" w:type="dxa"/>
            <w:vAlign w:val="center"/>
          </w:tcPr>
          <w:p>
            <w:pPr>
              <w:spacing w:line="240" w:lineRule="exact"/>
              <w:jc w:val="center"/>
              <w:rPr>
                <w:szCs w:val="21"/>
              </w:rPr>
            </w:pPr>
            <w:r>
              <w:rPr>
                <w:szCs w:val="21"/>
              </w:rPr>
              <w:t>YSP45凿岩机</w:t>
            </w:r>
          </w:p>
        </w:tc>
        <w:tc>
          <w:tcPr>
            <w:tcW w:w="2835" w:type="dxa"/>
            <w:vAlign w:val="center"/>
          </w:tcPr>
          <w:p>
            <w:pPr>
              <w:spacing w:line="240" w:lineRule="exact"/>
              <w:jc w:val="center"/>
              <w:rPr>
                <w:szCs w:val="21"/>
              </w:rPr>
            </w:pPr>
            <w:r>
              <w:rPr>
                <w:szCs w:val="21"/>
              </w:rPr>
              <w:t>8</w:t>
            </w:r>
          </w:p>
        </w:tc>
        <w:tc>
          <w:tcPr>
            <w:tcW w:w="901"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3</w:t>
            </w:r>
          </w:p>
        </w:tc>
        <w:tc>
          <w:tcPr>
            <w:tcW w:w="3418" w:type="dxa"/>
            <w:vAlign w:val="center"/>
          </w:tcPr>
          <w:p>
            <w:pPr>
              <w:spacing w:line="240" w:lineRule="exact"/>
              <w:jc w:val="center"/>
              <w:rPr>
                <w:szCs w:val="21"/>
              </w:rPr>
            </w:pPr>
            <w:r>
              <w:rPr>
                <w:szCs w:val="21"/>
              </w:rPr>
              <w:t>YG80凿岩机</w:t>
            </w:r>
          </w:p>
        </w:tc>
        <w:tc>
          <w:tcPr>
            <w:tcW w:w="2835" w:type="dxa"/>
            <w:vAlign w:val="center"/>
          </w:tcPr>
          <w:p>
            <w:pPr>
              <w:spacing w:line="240" w:lineRule="exact"/>
              <w:jc w:val="center"/>
              <w:rPr>
                <w:szCs w:val="21"/>
              </w:rPr>
            </w:pPr>
            <w:r>
              <w:rPr>
                <w:szCs w:val="21"/>
              </w:rPr>
              <w:t>9</w:t>
            </w:r>
          </w:p>
        </w:tc>
        <w:tc>
          <w:tcPr>
            <w:tcW w:w="901"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4</w:t>
            </w:r>
          </w:p>
        </w:tc>
        <w:tc>
          <w:tcPr>
            <w:tcW w:w="3418" w:type="dxa"/>
            <w:vAlign w:val="center"/>
          </w:tcPr>
          <w:p>
            <w:pPr>
              <w:spacing w:line="240" w:lineRule="exact"/>
              <w:jc w:val="center"/>
              <w:rPr>
                <w:szCs w:val="21"/>
              </w:rPr>
            </w:pPr>
            <w:r>
              <w:rPr>
                <w:szCs w:val="21"/>
              </w:rPr>
              <w:t>CTC-700台车</w:t>
            </w:r>
          </w:p>
        </w:tc>
        <w:tc>
          <w:tcPr>
            <w:tcW w:w="2835" w:type="dxa"/>
            <w:vAlign w:val="center"/>
          </w:tcPr>
          <w:p>
            <w:pPr>
              <w:spacing w:line="240" w:lineRule="exact"/>
              <w:jc w:val="center"/>
              <w:rPr>
                <w:szCs w:val="21"/>
              </w:rPr>
            </w:pPr>
            <w:r>
              <w:rPr>
                <w:szCs w:val="21"/>
              </w:rPr>
              <w:t>8</w:t>
            </w:r>
          </w:p>
        </w:tc>
        <w:tc>
          <w:tcPr>
            <w:tcW w:w="901"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5</w:t>
            </w:r>
          </w:p>
        </w:tc>
        <w:tc>
          <w:tcPr>
            <w:tcW w:w="3418" w:type="dxa"/>
            <w:vAlign w:val="center"/>
          </w:tcPr>
          <w:p>
            <w:pPr>
              <w:spacing w:line="240" w:lineRule="exact"/>
              <w:jc w:val="center"/>
              <w:rPr>
                <w:szCs w:val="21"/>
              </w:rPr>
            </w:pPr>
            <w:r>
              <w:rPr>
                <w:szCs w:val="21"/>
              </w:rPr>
              <w:t>WJ-1.5型柴油机铲运机</w:t>
            </w:r>
          </w:p>
        </w:tc>
        <w:tc>
          <w:tcPr>
            <w:tcW w:w="2835" w:type="dxa"/>
            <w:vAlign w:val="center"/>
          </w:tcPr>
          <w:p>
            <w:pPr>
              <w:spacing w:line="240" w:lineRule="exact"/>
              <w:jc w:val="center"/>
              <w:rPr>
                <w:szCs w:val="21"/>
              </w:rPr>
            </w:pPr>
            <w:r>
              <w:rPr>
                <w:szCs w:val="21"/>
              </w:rPr>
              <w:t>9</w:t>
            </w:r>
          </w:p>
        </w:tc>
        <w:tc>
          <w:tcPr>
            <w:tcW w:w="901"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6</w:t>
            </w:r>
          </w:p>
        </w:tc>
        <w:tc>
          <w:tcPr>
            <w:tcW w:w="3418" w:type="dxa"/>
            <w:vAlign w:val="center"/>
          </w:tcPr>
          <w:p>
            <w:pPr>
              <w:spacing w:line="240" w:lineRule="exact"/>
              <w:jc w:val="center"/>
              <w:rPr>
                <w:szCs w:val="21"/>
              </w:rPr>
            </w:pPr>
            <w:r>
              <w:rPr>
                <w:szCs w:val="21"/>
              </w:rPr>
              <w:t>CY-1型柴油铲运机</w:t>
            </w:r>
          </w:p>
        </w:tc>
        <w:tc>
          <w:tcPr>
            <w:tcW w:w="2835" w:type="dxa"/>
            <w:vAlign w:val="center"/>
          </w:tcPr>
          <w:p>
            <w:pPr>
              <w:spacing w:line="240" w:lineRule="exact"/>
              <w:jc w:val="center"/>
              <w:rPr>
                <w:szCs w:val="21"/>
              </w:rPr>
            </w:pPr>
            <w:r>
              <w:rPr>
                <w:szCs w:val="21"/>
              </w:rPr>
              <w:t>5</w:t>
            </w:r>
          </w:p>
        </w:tc>
        <w:tc>
          <w:tcPr>
            <w:tcW w:w="901"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7</w:t>
            </w:r>
          </w:p>
        </w:tc>
        <w:tc>
          <w:tcPr>
            <w:tcW w:w="3418" w:type="dxa"/>
            <w:vAlign w:val="center"/>
          </w:tcPr>
          <w:p>
            <w:pPr>
              <w:spacing w:line="240" w:lineRule="exact"/>
              <w:jc w:val="center"/>
              <w:rPr>
                <w:szCs w:val="21"/>
              </w:rPr>
            </w:pPr>
            <w:r>
              <w:rPr>
                <w:szCs w:val="21"/>
              </w:rPr>
              <w:t>Z-17A装岩机</w:t>
            </w:r>
          </w:p>
        </w:tc>
        <w:tc>
          <w:tcPr>
            <w:tcW w:w="2835" w:type="dxa"/>
            <w:vAlign w:val="center"/>
          </w:tcPr>
          <w:p>
            <w:pPr>
              <w:spacing w:line="240" w:lineRule="exact"/>
              <w:jc w:val="center"/>
              <w:rPr>
                <w:szCs w:val="21"/>
              </w:rPr>
            </w:pPr>
            <w:r>
              <w:rPr>
                <w:szCs w:val="21"/>
              </w:rPr>
              <w:t>3</w:t>
            </w:r>
          </w:p>
        </w:tc>
        <w:tc>
          <w:tcPr>
            <w:tcW w:w="901"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8</w:t>
            </w:r>
          </w:p>
        </w:tc>
        <w:tc>
          <w:tcPr>
            <w:tcW w:w="3418" w:type="dxa"/>
            <w:vAlign w:val="center"/>
          </w:tcPr>
          <w:p>
            <w:pPr>
              <w:spacing w:line="240" w:lineRule="exact"/>
              <w:jc w:val="center"/>
              <w:rPr>
                <w:szCs w:val="21"/>
              </w:rPr>
            </w:pPr>
            <w:r>
              <w:rPr>
                <w:szCs w:val="21"/>
              </w:rPr>
              <w:t>ZHP-2砼喷射机</w:t>
            </w:r>
          </w:p>
        </w:tc>
        <w:tc>
          <w:tcPr>
            <w:tcW w:w="2835" w:type="dxa"/>
            <w:vAlign w:val="center"/>
          </w:tcPr>
          <w:p>
            <w:pPr>
              <w:spacing w:line="240" w:lineRule="exact"/>
              <w:jc w:val="center"/>
              <w:rPr>
                <w:szCs w:val="21"/>
              </w:rPr>
            </w:pPr>
            <w:r>
              <w:rPr>
                <w:szCs w:val="21"/>
              </w:rPr>
              <w:t>5</w:t>
            </w:r>
          </w:p>
        </w:tc>
        <w:tc>
          <w:tcPr>
            <w:tcW w:w="901"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spacing w:line="240" w:lineRule="exact"/>
              <w:jc w:val="center"/>
              <w:rPr>
                <w:szCs w:val="21"/>
              </w:rPr>
            </w:pPr>
            <w:r>
              <w:rPr>
                <w:szCs w:val="21"/>
              </w:rPr>
              <w:t>9</w:t>
            </w:r>
          </w:p>
        </w:tc>
        <w:tc>
          <w:tcPr>
            <w:tcW w:w="3418" w:type="dxa"/>
            <w:vAlign w:val="center"/>
          </w:tcPr>
          <w:p>
            <w:pPr>
              <w:spacing w:line="240" w:lineRule="exact"/>
              <w:jc w:val="center"/>
              <w:rPr>
                <w:szCs w:val="21"/>
              </w:rPr>
            </w:pPr>
            <w:r>
              <w:rPr>
                <w:szCs w:val="21"/>
              </w:rPr>
              <w:t>JK59-2No4.5局扇</w:t>
            </w:r>
          </w:p>
        </w:tc>
        <w:tc>
          <w:tcPr>
            <w:tcW w:w="2835" w:type="dxa"/>
            <w:vAlign w:val="center"/>
          </w:tcPr>
          <w:p>
            <w:pPr>
              <w:spacing w:line="240" w:lineRule="exact"/>
              <w:jc w:val="center"/>
              <w:rPr>
                <w:szCs w:val="21"/>
              </w:rPr>
            </w:pPr>
            <w:r>
              <w:rPr>
                <w:szCs w:val="21"/>
              </w:rPr>
              <w:t>20</w:t>
            </w:r>
          </w:p>
        </w:tc>
        <w:tc>
          <w:tcPr>
            <w:tcW w:w="901" w:type="dxa"/>
            <w:vMerge w:val="continue"/>
            <w:vAlign w:val="center"/>
          </w:tcPr>
          <w:p>
            <w:pPr>
              <w:spacing w:line="240" w:lineRule="exact"/>
              <w:rPr>
                <w:szCs w:val="21"/>
              </w:rPr>
            </w:pPr>
          </w:p>
        </w:tc>
      </w:tr>
    </w:tbl>
    <w:p>
      <w:pPr>
        <w:pStyle w:val="5"/>
        <w:rPr>
          <w:rFonts w:ascii="Times New Roman" w:hAnsi="Times New Roman"/>
        </w:rPr>
      </w:pPr>
      <w:r>
        <w:rPr>
          <w:rFonts w:ascii="Times New Roman" w:hAnsi="Times New Roman"/>
        </w:rPr>
        <w:t>2.1.1.7主要原辅材料及能源消耗</w:t>
      </w:r>
    </w:p>
    <w:p>
      <w:pPr>
        <w:pStyle w:val="88"/>
        <w:ind w:firstLine="440"/>
        <w:rPr>
          <w:rFonts w:eastAsia="黑体"/>
          <w:color w:val="auto"/>
          <w:sz w:val="22"/>
          <w:szCs w:val="22"/>
        </w:rPr>
      </w:pPr>
      <w:r>
        <w:rPr>
          <w:rFonts w:eastAsia="黑体"/>
          <w:color w:val="auto"/>
          <w:sz w:val="22"/>
          <w:szCs w:val="22"/>
        </w:rPr>
        <w:t>表2.1-2      现有20万吨/年采矿主要原辅材料及能源消耗</w:t>
      </w:r>
    </w:p>
    <w:tbl>
      <w:tblPr>
        <w:tblStyle w:val="54"/>
        <w:tblW w:w="86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825"/>
        <w:gridCol w:w="1367"/>
        <w:gridCol w:w="2580"/>
        <w:gridCol w:w="17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序号</w:t>
            </w:r>
          </w:p>
        </w:tc>
        <w:tc>
          <w:tcPr>
            <w:tcW w:w="1825" w:type="dxa"/>
            <w:vAlign w:val="center"/>
          </w:tcPr>
          <w:p>
            <w:pPr>
              <w:spacing w:line="240" w:lineRule="exact"/>
              <w:jc w:val="center"/>
              <w:rPr>
                <w:szCs w:val="21"/>
              </w:rPr>
            </w:pPr>
            <w:r>
              <w:rPr>
                <w:szCs w:val="21"/>
              </w:rPr>
              <w:t>项目</w:t>
            </w:r>
          </w:p>
        </w:tc>
        <w:tc>
          <w:tcPr>
            <w:tcW w:w="1367" w:type="dxa"/>
            <w:vAlign w:val="center"/>
          </w:tcPr>
          <w:p>
            <w:pPr>
              <w:spacing w:line="240" w:lineRule="exact"/>
              <w:jc w:val="center"/>
              <w:rPr>
                <w:szCs w:val="21"/>
              </w:rPr>
            </w:pPr>
            <w:r>
              <w:rPr>
                <w:szCs w:val="21"/>
              </w:rPr>
              <w:t>单位</w:t>
            </w:r>
          </w:p>
        </w:tc>
        <w:tc>
          <w:tcPr>
            <w:tcW w:w="2580" w:type="dxa"/>
            <w:vAlign w:val="center"/>
          </w:tcPr>
          <w:p>
            <w:pPr>
              <w:spacing w:line="240" w:lineRule="exact"/>
              <w:jc w:val="center"/>
              <w:rPr>
                <w:szCs w:val="21"/>
              </w:rPr>
            </w:pPr>
            <w:r>
              <w:rPr>
                <w:szCs w:val="21"/>
              </w:rPr>
              <w:t>年消耗量</w:t>
            </w:r>
          </w:p>
        </w:tc>
        <w:tc>
          <w:tcPr>
            <w:tcW w:w="1752" w:type="dxa"/>
            <w:vAlign w:val="center"/>
          </w:tcPr>
          <w:p>
            <w:pPr>
              <w:spacing w:line="240" w:lineRule="exact"/>
              <w:jc w:val="center"/>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1</w:t>
            </w:r>
          </w:p>
        </w:tc>
        <w:tc>
          <w:tcPr>
            <w:tcW w:w="1825" w:type="dxa"/>
            <w:vAlign w:val="center"/>
          </w:tcPr>
          <w:p>
            <w:pPr>
              <w:spacing w:line="240" w:lineRule="exact"/>
              <w:jc w:val="center"/>
              <w:rPr>
                <w:szCs w:val="21"/>
              </w:rPr>
            </w:pPr>
            <w:r>
              <w:rPr>
                <w:szCs w:val="21"/>
              </w:rPr>
              <w:t>炸药</w:t>
            </w:r>
          </w:p>
        </w:tc>
        <w:tc>
          <w:tcPr>
            <w:tcW w:w="1367" w:type="dxa"/>
            <w:vAlign w:val="center"/>
          </w:tcPr>
          <w:p>
            <w:pPr>
              <w:spacing w:line="240" w:lineRule="exact"/>
              <w:jc w:val="center"/>
              <w:rPr>
                <w:szCs w:val="21"/>
              </w:rPr>
            </w:pPr>
            <w:r>
              <w:rPr>
                <w:szCs w:val="21"/>
              </w:rPr>
              <w:t>kg</w:t>
            </w:r>
          </w:p>
        </w:tc>
        <w:tc>
          <w:tcPr>
            <w:tcW w:w="2580" w:type="dxa"/>
            <w:vAlign w:val="center"/>
          </w:tcPr>
          <w:p>
            <w:pPr>
              <w:spacing w:line="240" w:lineRule="exact"/>
              <w:jc w:val="center"/>
              <w:rPr>
                <w:szCs w:val="21"/>
              </w:rPr>
            </w:pPr>
            <w:r>
              <w:rPr>
                <w:szCs w:val="21"/>
              </w:rPr>
              <w:t>144000</w:t>
            </w:r>
          </w:p>
        </w:tc>
        <w:tc>
          <w:tcPr>
            <w:tcW w:w="1752" w:type="dxa"/>
            <w:vMerge w:val="restart"/>
            <w:vAlign w:val="center"/>
          </w:tcPr>
          <w:p>
            <w:pPr>
              <w:spacing w:line="240" w:lineRule="exact"/>
              <w:jc w:val="center"/>
              <w:rPr>
                <w:szCs w:val="21"/>
              </w:rPr>
            </w:pPr>
            <w:r>
              <w:rPr>
                <w:szCs w:val="21"/>
              </w:rPr>
              <w:t>炸药库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2</w:t>
            </w:r>
          </w:p>
        </w:tc>
        <w:tc>
          <w:tcPr>
            <w:tcW w:w="1825" w:type="dxa"/>
            <w:vAlign w:val="center"/>
          </w:tcPr>
          <w:p>
            <w:pPr>
              <w:spacing w:line="240" w:lineRule="exact"/>
              <w:jc w:val="center"/>
              <w:rPr>
                <w:szCs w:val="21"/>
              </w:rPr>
            </w:pPr>
            <w:r>
              <w:rPr>
                <w:szCs w:val="21"/>
              </w:rPr>
              <w:t>雷管</w:t>
            </w:r>
          </w:p>
        </w:tc>
        <w:tc>
          <w:tcPr>
            <w:tcW w:w="1367" w:type="dxa"/>
            <w:vAlign w:val="center"/>
          </w:tcPr>
          <w:p>
            <w:pPr>
              <w:spacing w:line="240" w:lineRule="exact"/>
              <w:jc w:val="center"/>
              <w:rPr>
                <w:szCs w:val="21"/>
              </w:rPr>
            </w:pPr>
            <w:r>
              <w:rPr>
                <w:szCs w:val="21"/>
              </w:rPr>
              <w:t>发</w:t>
            </w:r>
          </w:p>
        </w:tc>
        <w:tc>
          <w:tcPr>
            <w:tcW w:w="2580" w:type="dxa"/>
            <w:vAlign w:val="center"/>
          </w:tcPr>
          <w:p>
            <w:pPr>
              <w:spacing w:line="240" w:lineRule="exact"/>
              <w:jc w:val="center"/>
              <w:rPr>
                <w:szCs w:val="21"/>
              </w:rPr>
            </w:pPr>
            <w:r>
              <w:rPr>
                <w:szCs w:val="21"/>
              </w:rPr>
              <w:t>0</w:t>
            </w:r>
          </w:p>
        </w:tc>
        <w:tc>
          <w:tcPr>
            <w:tcW w:w="1752"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3</w:t>
            </w:r>
          </w:p>
        </w:tc>
        <w:tc>
          <w:tcPr>
            <w:tcW w:w="1825" w:type="dxa"/>
            <w:vAlign w:val="center"/>
          </w:tcPr>
          <w:p>
            <w:pPr>
              <w:spacing w:line="240" w:lineRule="exact"/>
              <w:jc w:val="center"/>
              <w:rPr>
                <w:szCs w:val="21"/>
              </w:rPr>
            </w:pPr>
            <w:r>
              <w:rPr>
                <w:szCs w:val="21"/>
              </w:rPr>
              <w:t>导火线</w:t>
            </w:r>
          </w:p>
        </w:tc>
        <w:tc>
          <w:tcPr>
            <w:tcW w:w="1367" w:type="dxa"/>
            <w:vAlign w:val="center"/>
          </w:tcPr>
          <w:p>
            <w:pPr>
              <w:spacing w:line="240" w:lineRule="exact"/>
              <w:jc w:val="center"/>
              <w:rPr>
                <w:szCs w:val="21"/>
              </w:rPr>
            </w:pPr>
            <w:r>
              <w:rPr>
                <w:szCs w:val="21"/>
              </w:rPr>
              <w:t>m</w:t>
            </w:r>
          </w:p>
        </w:tc>
        <w:tc>
          <w:tcPr>
            <w:tcW w:w="2580" w:type="dxa"/>
            <w:vAlign w:val="center"/>
          </w:tcPr>
          <w:p>
            <w:pPr>
              <w:spacing w:line="240" w:lineRule="exact"/>
              <w:jc w:val="center"/>
              <w:rPr>
                <w:szCs w:val="21"/>
              </w:rPr>
            </w:pPr>
            <w:r>
              <w:rPr>
                <w:szCs w:val="21"/>
              </w:rPr>
              <w:t>357000</w:t>
            </w:r>
          </w:p>
        </w:tc>
        <w:tc>
          <w:tcPr>
            <w:tcW w:w="1752"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4</w:t>
            </w:r>
          </w:p>
        </w:tc>
        <w:tc>
          <w:tcPr>
            <w:tcW w:w="1825" w:type="dxa"/>
            <w:vAlign w:val="center"/>
          </w:tcPr>
          <w:p>
            <w:pPr>
              <w:spacing w:line="240" w:lineRule="exact"/>
              <w:jc w:val="center"/>
              <w:rPr>
                <w:szCs w:val="21"/>
              </w:rPr>
            </w:pPr>
            <w:r>
              <w:rPr>
                <w:szCs w:val="21"/>
              </w:rPr>
              <w:t>钢钎</w:t>
            </w:r>
          </w:p>
        </w:tc>
        <w:tc>
          <w:tcPr>
            <w:tcW w:w="1367" w:type="dxa"/>
            <w:vAlign w:val="center"/>
          </w:tcPr>
          <w:p>
            <w:pPr>
              <w:spacing w:line="240" w:lineRule="exact"/>
              <w:jc w:val="center"/>
              <w:rPr>
                <w:szCs w:val="21"/>
              </w:rPr>
            </w:pPr>
            <w:r>
              <w:rPr>
                <w:szCs w:val="21"/>
              </w:rPr>
              <w:t>kg</w:t>
            </w:r>
          </w:p>
        </w:tc>
        <w:tc>
          <w:tcPr>
            <w:tcW w:w="2580" w:type="dxa"/>
            <w:vAlign w:val="center"/>
          </w:tcPr>
          <w:p>
            <w:pPr>
              <w:spacing w:line="240" w:lineRule="exact"/>
              <w:jc w:val="center"/>
              <w:rPr>
                <w:szCs w:val="21"/>
              </w:rPr>
            </w:pPr>
            <w:r>
              <w:rPr>
                <w:szCs w:val="21"/>
              </w:rPr>
              <w:t>18000</w:t>
            </w:r>
          </w:p>
        </w:tc>
        <w:tc>
          <w:tcPr>
            <w:tcW w:w="1752" w:type="dxa"/>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5</w:t>
            </w:r>
          </w:p>
        </w:tc>
        <w:tc>
          <w:tcPr>
            <w:tcW w:w="1825" w:type="dxa"/>
            <w:vAlign w:val="center"/>
          </w:tcPr>
          <w:p>
            <w:pPr>
              <w:spacing w:line="240" w:lineRule="exact"/>
              <w:jc w:val="center"/>
              <w:rPr>
                <w:szCs w:val="21"/>
              </w:rPr>
            </w:pPr>
            <w:r>
              <w:rPr>
                <w:szCs w:val="21"/>
              </w:rPr>
              <w:t>硬质合金</w:t>
            </w:r>
          </w:p>
        </w:tc>
        <w:tc>
          <w:tcPr>
            <w:tcW w:w="1367" w:type="dxa"/>
            <w:vAlign w:val="center"/>
          </w:tcPr>
          <w:p>
            <w:pPr>
              <w:spacing w:line="240" w:lineRule="exact"/>
              <w:jc w:val="center"/>
              <w:rPr>
                <w:szCs w:val="21"/>
              </w:rPr>
            </w:pPr>
            <w:r>
              <w:rPr>
                <w:szCs w:val="21"/>
              </w:rPr>
              <w:t>kg</w:t>
            </w:r>
          </w:p>
        </w:tc>
        <w:tc>
          <w:tcPr>
            <w:tcW w:w="2580" w:type="dxa"/>
            <w:vAlign w:val="center"/>
          </w:tcPr>
          <w:p>
            <w:pPr>
              <w:spacing w:line="240" w:lineRule="exact"/>
              <w:jc w:val="center"/>
              <w:rPr>
                <w:szCs w:val="21"/>
              </w:rPr>
            </w:pPr>
            <w:r>
              <w:rPr>
                <w:szCs w:val="21"/>
              </w:rPr>
              <w:t>750</w:t>
            </w:r>
          </w:p>
        </w:tc>
        <w:tc>
          <w:tcPr>
            <w:tcW w:w="1752" w:type="dxa"/>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6</w:t>
            </w:r>
          </w:p>
        </w:tc>
        <w:tc>
          <w:tcPr>
            <w:tcW w:w="1825" w:type="dxa"/>
            <w:vAlign w:val="center"/>
          </w:tcPr>
          <w:p>
            <w:pPr>
              <w:spacing w:line="240" w:lineRule="exact"/>
              <w:jc w:val="center"/>
              <w:rPr>
                <w:szCs w:val="21"/>
              </w:rPr>
            </w:pPr>
            <w:r>
              <w:rPr>
                <w:szCs w:val="21"/>
              </w:rPr>
              <w:t>坑木</w:t>
            </w:r>
          </w:p>
        </w:tc>
        <w:tc>
          <w:tcPr>
            <w:tcW w:w="1367" w:type="dxa"/>
            <w:vAlign w:val="center"/>
          </w:tcPr>
          <w:p>
            <w:pPr>
              <w:spacing w:line="240" w:lineRule="exact"/>
              <w:jc w:val="center"/>
              <w:rPr>
                <w:szCs w:val="21"/>
              </w:rPr>
            </w:pPr>
            <w:r>
              <w:rPr>
                <w:szCs w:val="21"/>
              </w:rPr>
              <w:t>m</w:t>
            </w:r>
            <w:r>
              <w:rPr>
                <w:szCs w:val="21"/>
                <w:vertAlign w:val="superscript"/>
              </w:rPr>
              <w:t>3</w:t>
            </w:r>
          </w:p>
        </w:tc>
        <w:tc>
          <w:tcPr>
            <w:tcW w:w="2580" w:type="dxa"/>
            <w:vAlign w:val="center"/>
          </w:tcPr>
          <w:p>
            <w:pPr>
              <w:spacing w:line="240" w:lineRule="exact"/>
              <w:jc w:val="center"/>
              <w:rPr>
                <w:szCs w:val="21"/>
              </w:rPr>
            </w:pPr>
            <w:r>
              <w:rPr>
                <w:szCs w:val="21"/>
              </w:rPr>
              <w:t>864</w:t>
            </w:r>
          </w:p>
        </w:tc>
        <w:tc>
          <w:tcPr>
            <w:tcW w:w="1752" w:type="dxa"/>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7</w:t>
            </w:r>
          </w:p>
        </w:tc>
        <w:tc>
          <w:tcPr>
            <w:tcW w:w="1825" w:type="dxa"/>
            <w:vAlign w:val="center"/>
          </w:tcPr>
          <w:p>
            <w:pPr>
              <w:spacing w:line="240" w:lineRule="exact"/>
              <w:jc w:val="center"/>
              <w:rPr>
                <w:szCs w:val="21"/>
              </w:rPr>
            </w:pPr>
            <w:r>
              <w:rPr>
                <w:szCs w:val="21"/>
              </w:rPr>
              <w:t>水泥</w:t>
            </w:r>
          </w:p>
        </w:tc>
        <w:tc>
          <w:tcPr>
            <w:tcW w:w="1367" w:type="dxa"/>
            <w:vAlign w:val="center"/>
          </w:tcPr>
          <w:p>
            <w:pPr>
              <w:spacing w:line="240" w:lineRule="exact"/>
              <w:jc w:val="center"/>
              <w:rPr>
                <w:szCs w:val="21"/>
              </w:rPr>
            </w:pPr>
            <w:r>
              <w:rPr>
                <w:szCs w:val="21"/>
              </w:rPr>
              <w:t>t</w:t>
            </w:r>
          </w:p>
        </w:tc>
        <w:tc>
          <w:tcPr>
            <w:tcW w:w="2580" w:type="dxa"/>
            <w:vAlign w:val="center"/>
          </w:tcPr>
          <w:p>
            <w:pPr>
              <w:spacing w:line="240" w:lineRule="exact"/>
              <w:jc w:val="center"/>
              <w:rPr>
                <w:szCs w:val="21"/>
              </w:rPr>
            </w:pPr>
            <w:r>
              <w:rPr>
                <w:szCs w:val="21"/>
              </w:rPr>
              <w:t>496.2</w:t>
            </w:r>
          </w:p>
        </w:tc>
        <w:tc>
          <w:tcPr>
            <w:tcW w:w="1752" w:type="dxa"/>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8</w:t>
            </w:r>
          </w:p>
        </w:tc>
        <w:tc>
          <w:tcPr>
            <w:tcW w:w="1825" w:type="dxa"/>
            <w:vAlign w:val="center"/>
          </w:tcPr>
          <w:p>
            <w:pPr>
              <w:spacing w:line="240" w:lineRule="exact"/>
              <w:jc w:val="center"/>
              <w:rPr>
                <w:szCs w:val="21"/>
              </w:rPr>
            </w:pPr>
            <w:r>
              <w:rPr>
                <w:szCs w:val="21"/>
              </w:rPr>
              <w:t>砂石</w:t>
            </w:r>
          </w:p>
        </w:tc>
        <w:tc>
          <w:tcPr>
            <w:tcW w:w="1367" w:type="dxa"/>
            <w:vAlign w:val="center"/>
          </w:tcPr>
          <w:p>
            <w:pPr>
              <w:spacing w:line="240" w:lineRule="exact"/>
              <w:jc w:val="center"/>
              <w:rPr>
                <w:szCs w:val="21"/>
              </w:rPr>
            </w:pPr>
            <w:r>
              <w:rPr>
                <w:szCs w:val="21"/>
              </w:rPr>
              <w:t>m</w:t>
            </w:r>
            <w:r>
              <w:rPr>
                <w:szCs w:val="21"/>
                <w:vertAlign w:val="superscript"/>
              </w:rPr>
              <w:t>3</w:t>
            </w:r>
          </w:p>
        </w:tc>
        <w:tc>
          <w:tcPr>
            <w:tcW w:w="2580" w:type="dxa"/>
            <w:vAlign w:val="center"/>
          </w:tcPr>
          <w:p>
            <w:pPr>
              <w:spacing w:line="240" w:lineRule="exact"/>
              <w:jc w:val="center"/>
              <w:rPr>
                <w:szCs w:val="21"/>
              </w:rPr>
            </w:pPr>
            <w:r>
              <w:rPr>
                <w:szCs w:val="21"/>
              </w:rPr>
              <w:t>1648.8</w:t>
            </w:r>
          </w:p>
        </w:tc>
        <w:tc>
          <w:tcPr>
            <w:tcW w:w="1752" w:type="dxa"/>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9</w:t>
            </w:r>
          </w:p>
        </w:tc>
        <w:tc>
          <w:tcPr>
            <w:tcW w:w="1825" w:type="dxa"/>
            <w:vAlign w:val="center"/>
          </w:tcPr>
          <w:p>
            <w:pPr>
              <w:spacing w:line="240" w:lineRule="exact"/>
              <w:jc w:val="center"/>
              <w:rPr>
                <w:szCs w:val="21"/>
              </w:rPr>
            </w:pPr>
            <w:r>
              <w:rPr>
                <w:szCs w:val="21"/>
              </w:rPr>
              <w:t>轮胎</w:t>
            </w:r>
          </w:p>
        </w:tc>
        <w:tc>
          <w:tcPr>
            <w:tcW w:w="1367" w:type="dxa"/>
            <w:vAlign w:val="center"/>
          </w:tcPr>
          <w:p>
            <w:pPr>
              <w:spacing w:line="240" w:lineRule="exact"/>
              <w:jc w:val="center"/>
              <w:rPr>
                <w:szCs w:val="21"/>
              </w:rPr>
            </w:pPr>
            <w:r>
              <w:rPr>
                <w:szCs w:val="21"/>
              </w:rPr>
              <w:t>条</w:t>
            </w:r>
          </w:p>
        </w:tc>
        <w:tc>
          <w:tcPr>
            <w:tcW w:w="2580" w:type="dxa"/>
            <w:vAlign w:val="center"/>
          </w:tcPr>
          <w:p>
            <w:pPr>
              <w:spacing w:line="240" w:lineRule="exact"/>
              <w:jc w:val="center"/>
              <w:rPr>
                <w:szCs w:val="21"/>
              </w:rPr>
            </w:pPr>
            <w:r>
              <w:rPr>
                <w:szCs w:val="21"/>
              </w:rPr>
              <w:t>60</w:t>
            </w:r>
          </w:p>
        </w:tc>
        <w:tc>
          <w:tcPr>
            <w:tcW w:w="1752" w:type="dxa"/>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10</w:t>
            </w:r>
          </w:p>
        </w:tc>
        <w:tc>
          <w:tcPr>
            <w:tcW w:w="1825" w:type="dxa"/>
            <w:vAlign w:val="center"/>
          </w:tcPr>
          <w:p>
            <w:pPr>
              <w:spacing w:line="240" w:lineRule="exact"/>
              <w:jc w:val="center"/>
              <w:rPr>
                <w:szCs w:val="21"/>
              </w:rPr>
            </w:pPr>
            <w:r>
              <w:rPr>
                <w:szCs w:val="21"/>
              </w:rPr>
              <w:t>机油</w:t>
            </w:r>
          </w:p>
        </w:tc>
        <w:tc>
          <w:tcPr>
            <w:tcW w:w="1367" w:type="dxa"/>
            <w:vAlign w:val="center"/>
          </w:tcPr>
          <w:p>
            <w:pPr>
              <w:spacing w:line="240" w:lineRule="exact"/>
              <w:jc w:val="center"/>
              <w:rPr>
                <w:szCs w:val="21"/>
              </w:rPr>
            </w:pPr>
            <w:r>
              <w:rPr>
                <w:szCs w:val="21"/>
              </w:rPr>
              <w:t>kg</w:t>
            </w:r>
          </w:p>
        </w:tc>
        <w:tc>
          <w:tcPr>
            <w:tcW w:w="2580" w:type="dxa"/>
            <w:vAlign w:val="center"/>
          </w:tcPr>
          <w:p>
            <w:pPr>
              <w:spacing w:line="240" w:lineRule="exact"/>
              <w:jc w:val="center"/>
              <w:rPr>
                <w:szCs w:val="21"/>
              </w:rPr>
            </w:pPr>
            <w:r>
              <w:rPr>
                <w:szCs w:val="21"/>
              </w:rPr>
              <w:t>3000</w:t>
            </w:r>
          </w:p>
        </w:tc>
        <w:tc>
          <w:tcPr>
            <w:tcW w:w="1752" w:type="dxa"/>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0" w:type="dxa"/>
            <w:vAlign w:val="center"/>
          </w:tcPr>
          <w:p>
            <w:pPr>
              <w:spacing w:line="240" w:lineRule="exact"/>
              <w:jc w:val="center"/>
              <w:rPr>
                <w:szCs w:val="21"/>
              </w:rPr>
            </w:pPr>
            <w:r>
              <w:rPr>
                <w:szCs w:val="21"/>
              </w:rPr>
              <w:t>11</w:t>
            </w:r>
          </w:p>
        </w:tc>
        <w:tc>
          <w:tcPr>
            <w:tcW w:w="1825" w:type="dxa"/>
            <w:vAlign w:val="center"/>
          </w:tcPr>
          <w:p>
            <w:pPr>
              <w:spacing w:line="240" w:lineRule="exact"/>
              <w:jc w:val="center"/>
              <w:rPr>
                <w:szCs w:val="21"/>
              </w:rPr>
            </w:pPr>
            <w:r>
              <w:rPr>
                <w:szCs w:val="21"/>
              </w:rPr>
              <w:t>柴油</w:t>
            </w:r>
          </w:p>
        </w:tc>
        <w:tc>
          <w:tcPr>
            <w:tcW w:w="1367" w:type="dxa"/>
            <w:vAlign w:val="center"/>
          </w:tcPr>
          <w:p>
            <w:pPr>
              <w:spacing w:line="240" w:lineRule="exact"/>
              <w:jc w:val="center"/>
              <w:rPr>
                <w:szCs w:val="21"/>
              </w:rPr>
            </w:pPr>
            <w:r>
              <w:rPr>
                <w:szCs w:val="21"/>
              </w:rPr>
              <w:t>kg</w:t>
            </w:r>
          </w:p>
        </w:tc>
        <w:tc>
          <w:tcPr>
            <w:tcW w:w="2580" w:type="dxa"/>
            <w:vAlign w:val="center"/>
          </w:tcPr>
          <w:p>
            <w:pPr>
              <w:spacing w:line="240" w:lineRule="exact"/>
              <w:jc w:val="center"/>
              <w:rPr>
                <w:szCs w:val="21"/>
              </w:rPr>
            </w:pPr>
            <w:r>
              <w:rPr>
                <w:szCs w:val="21"/>
              </w:rPr>
              <w:t>30000</w:t>
            </w:r>
          </w:p>
        </w:tc>
        <w:tc>
          <w:tcPr>
            <w:tcW w:w="1752" w:type="dxa"/>
            <w:vAlign w:val="center"/>
          </w:tcPr>
          <w:p>
            <w:pPr>
              <w:spacing w:line="240" w:lineRule="exact"/>
              <w:jc w:val="center"/>
              <w:rPr>
                <w:szCs w:val="21"/>
              </w:rPr>
            </w:pPr>
          </w:p>
        </w:tc>
      </w:tr>
    </w:tbl>
    <w:p>
      <w:pPr>
        <w:pStyle w:val="5"/>
        <w:rPr>
          <w:rFonts w:ascii="Times New Roman" w:hAnsi="Times New Roman"/>
        </w:rPr>
      </w:pPr>
      <w:r>
        <w:rPr>
          <w:rFonts w:ascii="Times New Roman" w:hAnsi="Times New Roman"/>
        </w:rPr>
        <w:t>2.1.1.8总平面布置</w:t>
      </w:r>
    </w:p>
    <w:p>
      <w:pPr>
        <w:spacing w:line="360" w:lineRule="auto"/>
        <w:ind w:firstLine="480" w:firstLineChars="200"/>
        <w:rPr>
          <w:sz w:val="24"/>
        </w:rPr>
      </w:pPr>
      <w:r>
        <w:rPr>
          <w:sz w:val="24"/>
        </w:rPr>
        <w:t>采矿区主要设施有提升机房、空压机房、坑口维修站，坑木加工车间、锻钎机房、坑口综合仓库、矿车电机车修理间、炸药库、办公室和井口附近的废石堆场等生产设施。其中现有废石堆场位于主井工业广场下方边坡，废石沿着山坡堆积，坡低修筑有拦渣坝。废石堆场占地面积124300m</w:t>
      </w:r>
      <w:r>
        <w:rPr>
          <w:sz w:val="24"/>
          <w:vertAlign w:val="superscript"/>
        </w:rPr>
        <w:t>2</w:t>
      </w:r>
      <w:r>
        <w:rPr>
          <w:sz w:val="24"/>
        </w:rPr>
        <w:t>，堆高10m左右，可容纳124.3万m</w:t>
      </w:r>
      <w:r>
        <w:rPr>
          <w:sz w:val="24"/>
          <w:vertAlign w:val="superscript"/>
        </w:rPr>
        <w:t>3</w:t>
      </w:r>
      <w:r>
        <w:rPr>
          <w:sz w:val="24"/>
        </w:rPr>
        <w:t>废石。目前已经堆存废石近26万m</w:t>
      </w:r>
      <w:r>
        <w:rPr>
          <w:sz w:val="24"/>
          <w:vertAlign w:val="superscript"/>
        </w:rPr>
        <w:t>3</w:t>
      </w:r>
      <w:r>
        <w:rPr>
          <w:sz w:val="24"/>
        </w:rPr>
        <w:t>。</w:t>
      </w:r>
    </w:p>
    <w:p>
      <w:pPr>
        <w:spacing w:line="360" w:lineRule="auto"/>
        <w:ind w:firstLine="480" w:firstLineChars="200"/>
        <w:rPr>
          <w:sz w:val="24"/>
        </w:rPr>
      </w:pPr>
    </w:p>
    <w:p>
      <w:pPr>
        <w:spacing w:line="360" w:lineRule="auto"/>
        <w:ind w:firstLine="480" w:firstLineChars="200"/>
        <w:rPr>
          <w:sz w:val="24"/>
        </w:rPr>
        <w:sectPr>
          <w:headerReference r:id="rId6" w:type="default"/>
          <w:footerReference r:id="rId7" w:type="default"/>
          <w:pgSz w:w="11906" w:h="16838"/>
          <w:pgMar w:top="1440" w:right="1797" w:bottom="1440" w:left="1797" w:header="851" w:footer="992" w:gutter="0"/>
          <w:cols w:space="425" w:num="1"/>
          <w:docGrid w:type="linesAndChars" w:linePitch="312" w:charSpace="0"/>
        </w:sectPr>
      </w:pPr>
    </w:p>
    <w:p>
      <w:pPr>
        <w:spacing w:line="360" w:lineRule="auto"/>
        <w:ind w:firstLine="480" w:firstLineChars="200"/>
        <w:rPr>
          <w:sz w:val="24"/>
        </w:rPr>
      </w:pPr>
      <w:r>
        <w:rPr>
          <w:sz w:val="24"/>
        </w:rPr>
        <w:drawing>
          <wp:anchor distT="0" distB="0" distL="114300" distR="114300" simplePos="0" relativeHeight="251678720" behindDoc="1" locked="0" layoutInCell="1" allowOverlap="1">
            <wp:simplePos x="0" y="0"/>
            <wp:positionH relativeFrom="column">
              <wp:posOffset>395605</wp:posOffset>
            </wp:positionH>
            <wp:positionV relativeFrom="paragraph">
              <wp:posOffset>-57150</wp:posOffset>
            </wp:positionV>
            <wp:extent cx="7875270" cy="5738495"/>
            <wp:effectExtent l="19050" t="19050" r="11316" b="14527"/>
            <wp:wrapNone/>
            <wp:docPr id="8" name="图片 8" descr="企业现状实测平面图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企业现状实测平面图2-Model"/>
                    <pic:cNvPicPr>
                      <a:picLocks noChangeAspect="1" noChangeArrowheads="1"/>
                    </pic:cNvPicPr>
                  </pic:nvPicPr>
                  <pic:blipFill>
                    <a:blip r:embed="rId17"/>
                    <a:srcRect/>
                    <a:stretch>
                      <a:fillRect/>
                    </a:stretch>
                  </pic:blipFill>
                  <pic:spPr>
                    <a:xfrm>
                      <a:off x="0" y="0"/>
                      <a:ext cx="7873535" cy="5737225"/>
                    </a:xfrm>
                    <a:prstGeom prst="rect">
                      <a:avLst/>
                    </a:prstGeom>
                    <a:noFill/>
                    <a:ln w="6350" cmpd="sng">
                      <a:solidFill>
                        <a:srgbClr val="000000"/>
                      </a:solidFill>
                      <a:miter lim="800000"/>
                      <a:headEnd/>
                      <a:tailEnd/>
                    </a:ln>
                    <a:effectLst/>
                  </pic:spPr>
                </pic:pic>
              </a:graphicData>
            </a:graphic>
          </wp:anchor>
        </w:drawing>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jc w:val="center"/>
        <w:rPr>
          <w:b/>
          <w:bCs/>
          <w:sz w:val="30"/>
        </w:rPr>
      </w:pPr>
    </w:p>
    <w:p>
      <w:pPr>
        <w:jc w:val="center"/>
        <w:rPr>
          <w:b/>
        </w:rPr>
      </w:pPr>
    </w:p>
    <w:p>
      <w:pPr>
        <w:jc w:val="center"/>
        <w:rPr>
          <w:b/>
        </w:rPr>
      </w:pPr>
    </w:p>
    <w:p>
      <w:pPr>
        <w:jc w:val="center"/>
        <w:rPr>
          <w:b/>
        </w:rPr>
      </w:pPr>
    </w:p>
    <w:p>
      <w:pPr>
        <w:jc w:val="center"/>
        <w:rPr>
          <w:b/>
        </w:rPr>
      </w:pPr>
    </w:p>
    <w:p>
      <w:pPr>
        <w:jc w:val="center"/>
        <w:rPr>
          <w:b/>
        </w:rPr>
      </w:pPr>
      <w:r>
        <w:rPr>
          <w:b/>
        </w:rPr>
        <w:pict>
          <v:shape id="_x0000_s5356" o:spid="_x0000_s5356" o:spt="202" type="#_x0000_t202" style="position:absolute;left:0pt;margin-left:256.65pt;margin-top:53.95pt;height:22.5pt;width:222pt;z-index:251679744;mso-width-relative:page;mso-height-relative:page;" filled="f" stroked="f" coordsize="21600,21600">
            <v:path/>
            <v:fill on="f" focussize="0,0"/>
            <v:stroke on="f" joinstyle="miter"/>
            <v:imagedata o:title=""/>
            <o:lock v:ext="edit"/>
            <v:textbox>
              <w:txbxContent>
                <w:p>
                  <w:pPr>
                    <w:rPr>
                      <w:b/>
                    </w:rPr>
                  </w:pPr>
                  <w:r>
                    <w:rPr>
                      <w:rFonts w:hint="eastAsia"/>
                      <w:b/>
                    </w:rPr>
                    <w:t>图2.1-1  现有20万吨/年采矿工程平面布置</w:t>
                  </w:r>
                </w:p>
              </w:txbxContent>
            </v:textbox>
          </v:shape>
        </w:pict>
      </w:r>
    </w:p>
    <w:p>
      <w:pPr>
        <w:jc w:val="center"/>
        <w:rPr>
          <w:b/>
        </w:rPr>
      </w:pPr>
      <w:r>
        <w:rPr>
          <w:b/>
        </w:rPr>
        <w:drawing>
          <wp:anchor distT="0" distB="0" distL="114300" distR="114300" simplePos="0" relativeHeight="251720704" behindDoc="1" locked="0" layoutInCell="1" allowOverlap="1">
            <wp:simplePos x="0" y="0"/>
            <wp:positionH relativeFrom="column">
              <wp:posOffset>919480</wp:posOffset>
            </wp:positionH>
            <wp:positionV relativeFrom="paragraph">
              <wp:posOffset>-98425</wp:posOffset>
            </wp:positionV>
            <wp:extent cx="7350760" cy="4829810"/>
            <wp:effectExtent l="19050" t="19050" r="21609" b="28044"/>
            <wp:wrapNone/>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18"/>
                    <a:srcRect/>
                    <a:stretch>
                      <a:fillRect/>
                    </a:stretch>
                  </pic:blipFill>
                  <pic:spPr>
                    <a:xfrm>
                      <a:off x="0" y="0"/>
                      <a:ext cx="7357505" cy="4834150"/>
                    </a:xfrm>
                    <a:prstGeom prst="rect">
                      <a:avLst/>
                    </a:prstGeom>
                    <a:noFill/>
                    <a:ln w="6350" cmpd="sng">
                      <a:solidFill>
                        <a:srgbClr val="000000"/>
                      </a:solidFill>
                      <a:miter lim="800000"/>
                      <a:headEnd/>
                      <a:tailEnd/>
                    </a:ln>
                    <a:effectLst/>
                  </pic:spPr>
                </pic:pic>
              </a:graphicData>
            </a:graphic>
          </wp:anchor>
        </w:drawing>
      </w:r>
    </w:p>
    <w:p>
      <w:pPr>
        <w:jc w:val="center"/>
        <w:rPr>
          <w:b/>
        </w:rPr>
      </w:pPr>
    </w:p>
    <w:p>
      <w:pPr>
        <w:jc w:val="center"/>
        <w:rPr>
          <w:b/>
          <w:bCs/>
        </w:rPr>
        <w:sectPr>
          <w:pgSz w:w="16838" w:h="11906" w:orient="landscape"/>
          <w:pgMar w:top="1797" w:right="1440" w:bottom="1797" w:left="1440" w:header="851" w:footer="992" w:gutter="0"/>
          <w:cols w:space="425" w:num="1"/>
          <w:docGrid w:type="linesAndChars" w:linePitch="312" w:charSpace="0"/>
        </w:sectPr>
      </w:pPr>
      <w:r>
        <w:rPr>
          <w:b/>
          <w:sz w:val="30"/>
        </w:rPr>
        <w:pict>
          <v:shape id="_x0000_s5415" o:spid="_x0000_s5415" o:spt="202" type="#_x0000_t202" style="position:absolute;left:0pt;margin-left:271.85pt;margin-top:350.7pt;height:22.5pt;width:285.85pt;z-index:251719680;mso-width-relative:page;mso-height-relative:page;" filled="f" stroked="f" coordsize="21600,21600">
            <v:path/>
            <v:fill on="f" focussize="0,0"/>
            <v:stroke on="f" joinstyle="miter"/>
            <v:imagedata o:title=""/>
            <o:lock v:ext="edit"/>
            <v:textbox>
              <w:txbxContent>
                <w:p>
                  <w:pPr>
                    <w:rPr>
                      <w:b/>
                    </w:rPr>
                  </w:pPr>
                  <w:r>
                    <w:rPr>
                      <w:rFonts w:hint="eastAsia"/>
                      <w:b/>
                    </w:rPr>
                    <w:t>图2.1-2</w:t>
                  </w:r>
                  <w:r>
                    <w:rPr>
                      <w:b/>
                      <w:bCs/>
                    </w:rPr>
                    <w:t>现有采矿工程主井工广、废石堆场及塌陷区分布图</w:t>
                  </w:r>
                </w:p>
              </w:txbxContent>
            </v:textbox>
          </v:shape>
        </w:pict>
      </w:r>
      <w:r>
        <w:rPr>
          <w:b/>
        </w:rPr>
        <w:t xml:space="preserve">  </w:t>
      </w:r>
    </w:p>
    <w:p>
      <w:pPr>
        <w:pStyle w:val="5"/>
        <w:rPr>
          <w:rFonts w:ascii="Times New Roman" w:hAnsi="Times New Roman"/>
        </w:rPr>
      </w:pPr>
      <w:r>
        <w:rPr>
          <w:rFonts w:ascii="Times New Roman" w:hAnsi="Times New Roman"/>
        </w:rPr>
        <w:t>2.1.1.9主要生产工艺及产污流程</w:t>
      </w:r>
    </w:p>
    <w:p>
      <w:pPr>
        <w:jc w:val="center"/>
        <w:rPr>
          <w:b/>
          <w:spacing w:val="2"/>
          <w:szCs w:val="20"/>
        </w:rPr>
      </w:pPr>
      <w:r>
        <w:rPr>
          <w:szCs w:val="20"/>
        </w:rPr>
        <w:pict>
          <v:shape id="_x0000_i1025" o:spt="75" type="#_x0000_t75" style="height:183.75pt;width:422.2pt;" filled="f" o:preferrelative="t" stroked="f" coordsize="21600,21600">
            <v:path/>
            <v:fill on="f" focussize="0,0"/>
            <v:stroke on="f" joinstyle="miter"/>
            <v:imagedata r:id="rId19" o:title=""/>
            <o:lock v:ext="edit" aspectratio="t"/>
            <w10:wrap type="none"/>
            <w10:anchorlock/>
          </v:shape>
        </w:pict>
      </w:r>
      <w:r>
        <w:rPr>
          <w:b/>
          <w:spacing w:val="2"/>
          <w:szCs w:val="20"/>
        </w:rPr>
        <w:t>图2.1-3  原有 20万吨/年采矿工艺及产污环节流程图</w:t>
      </w:r>
    </w:p>
    <w:p>
      <w:pPr>
        <w:pStyle w:val="74"/>
      </w:pPr>
      <w:bookmarkStart w:id="184" w:name="_Toc470358609"/>
      <w:r>
        <w:t>2.1.2  原有650t/d选矿工程概况</w:t>
      </w:r>
      <w:bookmarkEnd w:id="184"/>
    </w:p>
    <w:p>
      <w:pPr>
        <w:pStyle w:val="5"/>
        <w:rPr>
          <w:rFonts w:ascii="Times New Roman" w:hAnsi="Times New Roman"/>
        </w:rPr>
      </w:pPr>
      <w:r>
        <w:rPr>
          <w:rFonts w:ascii="Times New Roman" w:hAnsi="Times New Roman"/>
        </w:rPr>
        <w:t>2.1.2.1 工程概况</w:t>
      </w:r>
    </w:p>
    <w:p>
      <w:pPr>
        <w:pStyle w:val="88"/>
        <w:spacing w:line="360" w:lineRule="auto"/>
        <w:ind w:firstLine="480"/>
        <w:rPr>
          <w:color w:val="auto"/>
          <w:szCs w:val="20"/>
        </w:rPr>
      </w:pPr>
      <w:r>
        <w:rPr>
          <w:color w:val="auto"/>
          <w:szCs w:val="20"/>
        </w:rPr>
        <w:t>2005年1月，三门峡市黄金设计院编制完成了《灵宝市金源公司第六分公司650t/d选矿厂改造工程设计说明书》（工程代号SX-0502）。灵宝市金源公司第六分公司是灵宝金源晨光有色矿冶有限公司银家沟硫铁矿的前身。该650t/d选矿厂改造工程是灵宝市金源公司54321工程的配套项目之一。650t/d选矿厂改造工程2006年建成投入生产，实际生产能力达到了650t/d。</w:t>
      </w:r>
    </w:p>
    <w:p>
      <w:pPr>
        <w:pStyle w:val="5"/>
        <w:rPr>
          <w:rFonts w:ascii="Times New Roman" w:hAnsi="Times New Roman"/>
        </w:rPr>
      </w:pPr>
      <w:r>
        <w:rPr>
          <w:rFonts w:ascii="Times New Roman" w:hAnsi="Times New Roman"/>
        </w:rPr>
        <w:t>2.1.2.2工程组成</w:t>
      </w:r>
    </w:p>
    <w:p>
      <w:pPr>
        <w:pStyle w:val="88"/>
        <w:spacing w:line="360" w:lineRule="auto"/>
        <w:ind w:firstLine="480"/>
        <w:rPr>
          <w:color w:val="auto"/>
          <w:szCs w:val="20"/>
        </w:rPr>
      </w:pPr>
      <w:r>
        <w:rPr>
          <w:color w:val="auto"/>
          <w:szCs w:val="20"/>
        </w:rPr>
        <w:t>650t/d浮选生产线区布置在竖井口西侧。原矿仓距井口350m，矿仓轨顶标高1125m。根据地形特点和工艺要求，各车间采用台阶式布置。破碎筛分、粉矿沿等高线布置。场地标高1114m左右，从粉矿仓到主厂房，精矿车间，由南向北标高逐次降低，精矿仓装车坪标高为1087.8m；选矿厂事故水池布置在精矿车间南部，规格为长×宽×高=10m×3m×2m。主要选矿工艺由破碎、球磨、分级、浮选四个工段组成，其中浮选包括铜浮选和硫浮选。</w:t>
      </w:r>
    </w:p>
    <w:p>
      <w:pPr>
        <w:pStyle w:val="5"/>
        <w:rPr>
          <w:rFonts w:ascii="Times New Roman" w:hAnsi="Times New Roman"/>
        </w:rPr>
      </w:pPr>
      <w:r>
        <w:rPr>
          <w:rFonts w:ascii="Times New Roman" w:hAnsi="Times New Roman"/>
        </w:rPr>
        <w:t>2.1.2.3主要设备</w:t>
      </w:r>
    </w:p>
    <w:p>
      <w:pPr>
        <w:pStyle w:val="88"/>
        <w:spacing w:line="360" w:lineRule="auto"/>
        <w:ind w:firstLine="480"/>
        <w:rPr>
          <w:color w:val="auto"/>
          <w:szCs w:val="20"/>
        </w:rPr>
      </w:pPr>
      <w:r>
        <w:rPr>
          <w:color w:val="auto"/>
          <w:szCs w:val="20"/>
        </w:rPr>
        <w:t>现有选矿设备见表2.1-3，没有国家明令淘汰的设备，但投药设备的自动化程度尚需改进，如投药目前还是人工投药，其工艺的精度和生产的平稳性。</w:t>
      </w:r>
    </w:p>
    <w:p>
      <w:pPr>
        <w:jc w:val="left"/>
        <w:rPr>
          <w:rFonts w:eastAsia="黑体"/>
          <w:sz w:val="22"/>
          <w:szCs w:val="22"/>
        </w:rPr>
      </w:pPr>
      <w:r>
        <w:rPr>
          <w:rFonts w:eastAsia="黑体"/>
          <w:sz w:val="22"/>
          <w:szCs w:val="22"/>
        </w:rPr>
        <w:t xml:space="preserve">    表2.1-3          现有650t/d浮选工程主要内容及主要设备</w:t>
      </w:r>
    </w:p>
    <w:tbl>
      <w:tblPr>
        <w:tblStyle w:val="54"/>
        <w:tblW w:w="86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
        <w:gridCol w:w="601"/>
        <w:gridCol w:w="837"/>
        <w:gridCol w:w="1339"/>
        <w:gridCol w:w="1806"/>
        <w:gridCol w:w="811"/>
        <w:gridCol w:w="1363"/>
        <w:gridCol w:w="14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877" w:type="dxa"/>
            <w:gridSpan w:val="3"/>
            <w:vAlign w:val="center"/>
          </w:tcPr>
          <w:p>
            <w:pPr>
              <w:spacing w:line="240" w:lineRule="exact"/>
              <w:jc w:val="center"/>
              <w:rPr>
                <w:szCs w:val="21"/>
              </w:rPr>
            </w:pPr>
            <w:r>
              <w:rPr>
                <w:szCs w:val="21"/>
              </w:rPr>
              <w:t>生产工序</w:t>
            </w:r>
          </w:p>
        </w:tc>
        <w:tc>
          <w:tcPr>
            <w:tcW w:w="1339" w:type="dxa"/>
            <w:vAlign w:val="center"/>
          </w:tcPr>
          <w:p>
            <w:pPr>
              <w:spacing w:line="240" w:lineRule="exact"/>
              <w:jc w:val="center"/>
              <w:rPr>
                <w:szCs w:val="21"/>
              </w:rPr>
            </w:pPr>
            <w:r>
              <w:rPr>
                <w:szCs w:val="21"/>
              </w:rPr>
              <w:t>设施名称</w:t>
            </w:r>
          </w:p>
        </w:tc>
        <w:tc>
          <w:tcPr>
            <w:tcW w:w="1806" w:type="dxa"/>
            <w:vAlign w:val="center"/>
          </w:tcPr>
          <w:p>
            <w:pPr>
              <w:spacing w:line="240" w:lineRule="exact"/>
              <w:jc w:val="center"/>
              <w:rPr>
                <w:szCs w:val="21"/>
              </w:rPr>
            </w:pPr>
            <w:r>
              <w:rPr>
                <w:szCs w:val="21"/>
              </w:rPr>
              <w:t>规格型号</w:t>
            </w:r>
          </w:p>
        </w:tc>
        <w:tc>
          <w:tcPr>
            <w:tcW w:w="811" w:type="dxa"/>
            <w:vAlign w:val="center"/>
          </w:tcPr>
          <w:p>
            <w:pPr>
              <w:spacing w:line="240" w:lineRule="exact"/>
              <w:jc w:val="center"/>
              <w:rPr>
                <w:szCs w:val="21"/>
              </w:rPr>
            </w:pPr>
            <w:r>
              <w:rPr>
                <w:szCs w:val="21"/>
              </w:rPr>
              <w:t>单位</w:t>
            </w:r>
          </w:p>
        </w:tc>
        <w:tc>
          <w:tcPr>
            <w:tcW w:w="1363" w:type="dxa"/>
            <w:vAlign w:val="center"/>
          </w:tcPr>
          <w:p>
            <w:pPr>
              <w:spacing w:line="240" w:lineRule="exact"/>
              <w:jc w:val="center"/>
              <w:rPr>
                <w:szCs w:val="21"/>
              </w:rPr>
            </w:pPr>
            <w:r>
              <w:rPr>
                <w:szCs w:val="21"/>
              </w:rPr>
              <w:t>数量</w:t>
            </w:r>
          </w:p>
        </w:tc>
        <w:tc>
          <w:tcPr>
            <w:tcW w:w="1468" w:type="dxa"/>
            <w:vAlign w:val="center"/>
          </w:tcPr>
          <w:p>
            <w:pPr>
              <w:spacing w:line="240" w:lineRule="exact"/>
              <w:jc w:val="center"/>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restart"/>
            <w:vAlign w:val="center"/>
          </w:tcPr>
          <w:p>
            <w:pPr>
              <w:spacing w:line="240" w:lineRule="exact"/>
              <w:rPr>
                <w:szCs w:val="21"/>
              </w:rPr>
            </w:pPr>
            <w:r>
              <w:rPr>
                <w:szCs w:val="21"/>
              </w:rPr>
              <w:t>主要</w:t>
            </w:r>
          </w:p>
          <w:p>
            <w:pPr>
              <w:spacing w:line="240" w:lineRule="exact"/>
              <w:rPr>
                <w:szCs w:val="21"/>
              </w:rPr>
            </w:pPr>
            <w:r>
              <w:rPr>
                <w:szCs w:val="21"/>
              </w:rPr>
              <w:t>生产工序</w:t>
            </w:r>
          </w:p>
        </w:tc>
        <w:tc>
          <w:tcPr>
            <w:tcW w:w="601" w:type="dxa"/>
            <w:vMerge w:val="restart"/>
            <w:vAlign w:val="center"/>
          </w:tcPr>
          <w:p>
            <w:pPr>
              <w:spacing w:line="240" w:lineRule="exact"/>
              <w:jc w:val="center"/>
              <w:rPr>
                <w:szCs w:val="21"/>
              </w:rPr>
            </w:pPr>
            <w:r>
              <w:rPr>
                <w:szCs w:val="21"/>
              </w:rPr>
              <w:t>破碎</w:t>
            </w:r>
          </w:p>
        </w:tc>
        <w:tc>
          <w:tcPr>
            <w:tcW w:w="837" w:type="dxa"/>
            <w:vAlign w:val="center"/>
          </w:tcPr>
          <w:p>
            <w:pPr>
              <w:spacing w:line="240" w:lineRule="exact"/>
              <w:jc w:val="center"/>
              <w:rPr>
                <w:szCs w:val="21"/>
              </w:rPr>
            </w:pPr>
            <w:r>
              <w:rPr>
                <w:szCs w:val="21"/>
              </w:rPr>
              <w:t>粗碎</w:t>
            </w:r>
          </w:p>
        </w:tc>
        <w:tc>
          <w:tcPr>
            <w:tcW w:w="1339" w:type="dxa"/>
            <w:vAlign w:val="center"/>
          </w:tcPr>
          <w:p>
            <w:pPr>
              <w:spacing w:line="240" w:lineRule="exact"/>
              <w:jc w:val="center"/>
              <w:rPr>
                <w:szCs w:val="21"/>
              </w:rPr>
            </w:pPr>
            <w:r>
              <w:rPr>
                <w:szCs w:val="21"/>
              </w:rPr>
              <w:t>颚式破碎机</w:t>
            </w:r>
          </w:p>
        </w:tc>
        <w:tc>
          <w:tcPr>
            <w:tcW w:w="1806" w:type="dxa"/>
            <w:vAlign w:val="center"/>
          </w:tcPr>
          <w:p>
            <w:pPr>
              <w:spacing w:line="240" w:lineRule="exact"/>
              <w:jc w:val="center"/>
              <w:rPr>
                <w:szCs w:val="21"/>
              </w:rPr>
            </w:pPr>
            <w:r>
              <w:rPr>
                <w:szCs w:val="21"/>
              </w:rPr>
              <w:t>PE400×600</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1</w:t>
            </w:r>
          </w:p>
        </w:tc>
        <w:tc>
          <w:tcPr>
            <w:tcW w:w="1468" w:type="dxa"/>
            <w:vMerge w:val="restart"/>
            <w:vAlign w:val="center"/>
          </w:tcPr>
          <w:p>
            <w:pPr>
              <w:spacing w:line="240" w:lineRule="exact"/>
              <w:jc w:val="center"/>
              <w:rPr>
                <w:szCs w:val="21"/>
              </w:rPr>
            </w:pPr>
            <w:r>
              <w:rPr>
                <w:szCs w:val="21"/>
              </w:rPr>
              <w:t>无国家明令淘汰的设备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Align w:val="center"/>
          </w:tcPr>
          <w:p>
            <w:pPr>
              <w:spacing w:line="240" w:lineRule="exact"/>
              <w:jc w:val="center"/>
              <w:rPr>
                <w:szCs w:val="21"/>
              </w:rPr>
            </w:pPr>
            <w:r>
              <w:rPr>
                <w:szCs w:val="21"/>
              </w:rPr>
              <w:t>细碎</w:t>
            </w:r>
          </w:p>
        </w:tc>
        <w:tc>
          <w:tcPr>
            <w:tcW w:w="1339" w:type="dxa"/>
            <w:vAlign w:val="center"/>
          </w:tcPr>
          <w:p>
            <w:pPr>
              <w:spacing w:line="240" w:lineRule="exact"/>
              <w:jc w:val="center"/>
              <w:rPr>
                <w:szCs w:val="21"/>
              </w:rPr>
            </w:pPr>
            <w:r>
              <w:rPr>
                <w:szCs w:val="21"/>
              </w:rPr>
              <w:t>颚式破碎机</w:t>
            </w:r>
          </w:p>
        </w:tc>
        <w:tc>
          <w:tcPr>
            <w:tcW w:w="1806" w:type="dxa"/>
            <w:vAlign w:val="center"/>
          </w:tcPr>
          <w:p>
            <w:pPr>
              <w:spacing w:line="240" w:lineRule="exact"/>
              <w:jc w:val="center"/>
              <w:rPr>
                <w:szCs w:val="21"/>
              </w:rPr>
            </w:pPr>
            <w:r>
              <w:rPr>
                <w:szCs w:val="21"/>
              </w:rPr>
              <w:t>PEX250×1000</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1</w:t>
            </w:r>
          </w:p>
        </w:tc>
        <w:tc>
          <w:tcPr>
            <w:tcW w:w="1468"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1438" w:type="dxa"/>
            <w:gridSpan w:val="2"/>
            <w:vAlign w:val="center"/>
          </w:tcPr>
          <w:p>
            <w:pPr>
              <w:spacing w:line="240" w:lineRule="exact"/>
              <w:jc w:val="center"/>
              <w:rPr>
                <w:szCs w:val="21"/>
              </w:rPr>
            </w:pPr>
            <w:r>
              <w:rPr>
                <w:szCs w:val="21"/>
              </w:rPr>
              <w:t>球磨</w:t>
            </w:r>
          </w:p>
        </w:tc>
        <w:tc>
          <w:tcPr>
            <w:tcW w:w="1339" w:type="dxa"/>
            <w:vAlign w:val="center"/>
          </w:tcPr>
          <w:p>
            <w:pPr>
              <w:spacing w:line="240" w:lineRule="exact"/>
              <w:jc w:val="center"/>
              <w:rPr>
                <w:szCs w:val="21"/>
              </w:rPr>
            </w:pPr>
            <w:r>
              <w:rPr>
                <w:szCs w:val="21"/>
              </w:rPr>
              <w:t>球磨机</w:t>
            </w:r>
          </w:p>
        </w:tc>
        <w:tc>
          <w:tcPr>
            <w:tcW w:w="1806" w:type="dxa"/>
            <w:vAlign w:val="center"/>
          </w:tcPr>
          <w:p>
            <w:pPr>
              <w:spacing w:line="240" w:lineRule="exact"/>
              <w:jc w:val="center"/>
              <w:rPr>
                <w:szCs w:val="21"/>
              </w:rPr>
            </w:pPr>
            <w:r>
              <w:rPr>
                <w:szCs w:val="21"/>
              </w:rPr>
              <w:t>MQG2436球磨机</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2</w:t>
            </w:r>
          </w:p>
        </w:tc>
        <w:tc>
          <w:tcPr>
            <w:tcW w:w="1468"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trPr>
        <w:tc>
          <w:tcPr>
            <w:tcW w:w="439" w:type="dxa"/>
            <w:vMerge w:val="continue"/>
            <w:vAlign w:val="center"/>
          </w:tcPr>
          <w:p>
            <w:pPr>
              <w:spacing w:line="240" w:lineRule="exact"/>
              <w:rPr>
                <w:szCs w:val="21"/>
              </w:rPr>
            </w:pPr>
          </w:p>
        </w:tc>
        <w:tc>
          <w:tcPr>
            <w:tcW w:w="1438" w:type="dxa"/>
            <w:gridSpan w:val="2"/>
            <w:vAlign w:val="center"/>
          </w:tcPr>
          <w:p>
            <w:pPr>
              <w:spacing w:line="240" w:lineRule="exact"/>
              <w:jc w:val="center"/>
              <w:rPr>
                <w:szCs w:val="21"/>
              </w:rPr>
            </w:pPr>
            <w:r>
              <w:rPr>
                <w:szCs w:val="21"/>
              </w:rPr>
              <w:t>分级</w:t>
            </w:r>
          </w:p>
        </w:tc>
        <w:tc>
          <w:tcPr>
            <w:tcW w:w="1339" w:type="dxa"/>
            <w:vAlign w:val="center"/>
          </w:tcPr>
          <w:p>
            <w:pPr>
              <w:spacing w:line="240" w:lineRule="exact"/>
              <w:jc w:val="center"/>
              <w:rPr>
                <w:szCs w:val="21"/>
              </w:rPr>
            </w:pPr>
            <w:r>
              <w:rPr>
                <w:szCs w:val="21"/>
              </w:rPr>
              <w:t>螺旋分级机</w:t>
            </w:r>
          </w:p>
        </w:tc>
        <w:tc>
          <w:tcPr>
            <w:tcW w:w="1806" w:type="dxa"/>
            <w:vAlign w:val="center"/>
          </w:tcPr>
          <w:p>
            <w:pPr>
              <w:spacing w:line="240" w:lineRule="exact"/>
              <w:jc w:val="center"/>
              <w:rPr>
                <w:szCs w:val="21"/>
              </w:rPr>
            </w:pPr>
            <w:r>
              <w:rPr>
                <w:szCs w:val="21"/>
              </w:rPr>
              <w:t>FLG-24</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2</w:t>
            </w:r>
          </w:p>
        </w:tc>
        <w:tc>
          <w:tcPr>
            <w:tcW w:w="1468"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restart"/>
            <w:vAlign w:val="center"/>
          </w:tcPr>
          <w:p>
            <w:pPr>
              <w:spacing w:line="240" w:lineRule="exact"/>
              <w:jc w:val="center"/>
              <w:rPr>
                <w:szCs w:val="21"/>
              </w:rPr>
            </w:pPr>
            <w:r>
              <w:rPr>
                <w:szCs w:val="21"/>
              </w:rPr>
              <w:t>铜</w:t>
            </w:r>
          </w:p>
          <w:p>
            <w:pPr>
              <w:spacing w:line="240" w:lineRule="exact"/>
              <w:jc w:val="center"/>
              <w:rPr>
                <w:szCs w:val="21"/>
              </w:rPr>
            </w:pPr>
            <w:r>
              <w:rPr>
                <w:szCs w:val="21"/>
              </w:rPr>
              <w:t>浮选</w:t>
            </w:r>
          </w:p>
        </w:tc>
        <w:tc>
          <w:tcPr>
            <w:tcW w:w="837" w:type="dxa"/>
            <w:vMerge w:val="restart"/>
            <w:vAlign w:val="center"/>
          </w:tcPr>
          <w:p>
            <w:pPr>
              <w:spacing w:line="240" w:lineRule="exact"/>
              <w:jc w:val="center"/>
              <w:rPr>
                <w:szCs w:val="21"/>
              </w:rPr>
            </w:pPr>
            <w:r>
              <w:rPr>
                <w:szCs w:val="21"/>
              </w:rPr>
              <w:t>粗选</w:t>
            </w:r>
          </w:p>
        </w:tc>
        <w:tc>
          <w:tcPr>
            <w:tcW w:w="1339" w:type="dxa"/>
            <w:vMerge w:val="restart"/>
            <w:vAlign w:val="center"/>
          </w:tcPr>
          <w:p>
            <w:pPr>
              <w:spacing w:line="240" w:lineRule="exact"/>
              <w:jc w:val="center"/>
              <w:rPr>
                <w:szCs w:val="21"/>
              </w:rPr>
            </w:pPr>
            <w:r>
              <w:rPr>
                <w:szCs w:val="21"/>
              </w:rPr>
              <w:t>浮选机</w:t>
            </w:r>
          </w:p>
        </w:tc>
        <w:tc>
          <w:tcPr>
            <w:tcW w:w="1806" w:type="dxa"/>
            <w:vAlign w:val="center"/>
          </w:tcPr>
          <w:p>
            <w:pPr>
              <w:spacing w:line="240" w:lineRule="exact"/>
              <w:jc w:val="center"/>
              <w:rPr>
                <w:szCs w:val="21"/>
              </w:rPr>
            </w:pPr>
            <w:r>
              <w:rPr>
                <w:szCs w:val="21"/>
              </w:rPr>
              <w:t>XCF-8</w:t>
            </w:r>
          </w:p>
        </w:tc>
        <w:tc>
          <w:tcPr>
            <w:tcW w:w="811" w:type="dxa"/>
            <w:vAlign w:val="center"/>
          </w:tcPr>
          <w:p>
            <w:pPr>
              <w:spacing w:line="240" w:lineRule="exact"/>
              <w:jc w:val="center"/>
              <w:rPr>
                <w:szCs w:val="21"/>
              </w:rPr>
            </w:pPr>
            <w:r>
              <w:rPr>
                <w:szCs w:val="21"/>
              </w:rPr>
              <w:t>台</w:t>
            </w:r>
          </w:p>
        </w:tc>
        <w:tc>
          <w:tcPr>
            <w:tcW w:w="1363" w:type="dxa"/>
            <w:vMerge w:val="restart"/>
            <w:vAlign w:val="center"/>
          </w:tcPr>
          <w:p>
            <w:pPr>
              <w:spacing w:line="240" w:lineRule="exact"/>
              <w:jc w:val="center"/>
              <w:rPr>
                <w:szCs w:val="21"/>
              </w:rPr>
            </w:pPr>
            <w:r>
              <w:rPr>
                <w:szCs w:val="21"/>
              </w:rPr>
              <w:t>4</w:t>
            </w:r>
          </w:p>
        </w:tc>
        <w:tc>
          <w:tcPr>
            <w:tcW w:w="1468"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Merge w:val="continue"/>
            <w:vAlign w:val="center"/>
          </w:tcPr>
          <w:p>
            <w:pPr>
              <w:spacing w:line="240" w:lineRule="exact"/>
              <w:jc w:val="center"/>
              <w:rPr>
                <w:szCs w:val="21"/>
              </w:rPr>
            </w:pPr>
          </w:p>
        </w:tc>
        <w:tc>
          <w:tcPr>
            <w:tcW w:w="1339" w:type="dxa"/>
            <w:vMerge w:val="continue"/>
            <w:vAlign w:val="center"/>
          </w:tcPr>
          <w:p>
            <w:pPr>
              <w:spacing w:line="240" w:lineRule="exact"/>
              <w:jc w:val="center"/>
              <w:rPr>
                <w:szCs w:val="21"/>
              </w:rPr>
            </w:pPr>
          </w:p>
        </w:tc>
        <w:tc>
          <w:tcPr>
            <w:tcW w:w="1806" w:type="dxa"/>
            <w:vAlign w:val="center"/>
          </w:tcPr>
          <w:p>
            <w:pPr>
              <w:spacing w:line="240" w:lineRule="exact"/>
              <w:jc w:val="center"/>
              <w:rPr>
                <w:szCs w:val="21"/>
              </w:rPr>
            </w:pPr>
            <w:r>
              <w:rPr>
                <w:szCs w:val="21"/>
              </w:rPr>
              <w:t>KYF-8</w:t>
            </w:r>
          </w:p>
        </w:tc>
        <w:tc>
          <w:tcPr>
            <w:tcW w:w="811" w:type="dxa"/>
            <w:vAlign w:val="center"/>
          </w:tcPr>
          <w:p>
            <w:pPr>
              <w:spacing w:line="240" w:lineRule="exact"/>
              <w:jc w:val="center"/>
              <w:rPr>
                <w:szCs w:val="21"/>
              </w:rPr>
            </w:pPr>
            <w:r>
              <w:rPr>
                <w:szCs w:val="21"/>
              </w:rPr>
              <w:t>台</w:t>
            </w:r>
          </w:p>
        </w:tc>
        <w:tc>
          <w:tcPr>
            <w:tcW w:w="1363" w:type="dxa"/>
            <w:vMerge w:val="continue"/>
            <w:vAlign w:val="center"/>
          </w:tcPr>
          <w:p>
            <w:pPr>
              <w:spacing w:line="240" w:lineRule="exact"/>
              <w:jc w:val="center"/>
              <w:rPr>
                <w:szCs w:val="21"/>
              </w:rPr>
            </w:pPr>
          </w:p>
        </w:tc>
        <w:tc>
          <w:tcPr>
            <w:tcW w:w="1468"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Merge w:val="restart"/>
            <w:vAlign w:val="center"/>
          </w:tcPr>
          <w:p>
            <w:pPr>
              <w:spacing w:line="240" w:lineRule="exact"/>
              <w:jc w:val="center"/>
              <w:rPr>
                <w:szCs w:val="21"/>
              </w:rPr>
            </w:pPr>
            <w:r>
              <w:rPr>
                <w:szCs w:val="21"/>
              </w:rPr>
              <w:t>扫选</w:t>
            </w:r>
          </w:p>
        </w:tc>
        <w:tc>
          <w:tcPr>
            <w:tcW w:w="1339" w:type="dxa"/>
            <w:vMerge w:val="restart"/>
            <w:vAlign w:val="center"/>
          </w:tcPr>
          <w:p>
            <w:pPr>
              <w:spacing w:line="240" w:lineRule="exact"/>
              <w:jc w:val="center"/>
              <w:rPr>
                <w:szCs w:val="21"/>
              </w:rPr>
            </w:pPr>
            <w:r>
              <w:rPr>
                <w:szCs w:val="21"/>
              </w:rPr>
              <w:t>浮选机</w:t>
            </w:r>
          </w:p>
        </w:tc>
        <w:tc>
          <w:tcPr>
            <w:tcW w:w="1806" w:type="dxa"/>
            <w:vAlign w:val="center"/>
          </w:tcPr>
          <w:p>
            <w:pPr>
              <w:spacing w:line="240" w:lineRule="exact"/>
              <w:jc w:val="center"/>
              <w:rPr>
                <w:szCs w:val="21"/>
              </w:rPr>
            </w:pPr>
            <w:r>
              <w:rPr>
                <w:szCs w:val="21"/>
              </w:rPr>
              <w:t>XCF-8</w:t>
            </w:r>
          </w:p>
        </w:tc>
        <w:tc>
          <w:tcPr>
            <w:tcW w:w="811" w:type="dxa"/>
            <w:vMerge w:val="restart"/>
            <w:vAlign w:val="center"/>
          </w:tcPr>
          <w:p>
            <w:pPr>
              <w:spacing w:line="240" w:lineRule="exact"/>
              <w:jc w:val="center"/>
              <w:rPr>
                <w:szCs w:val="21"/>
              </w:rPr>
            </w:pPr>
            <w:r>
              <w:rPr>
                <w:szCs w:val="21"/>
              </w:rPr>
              <w:t>槽</w:t>
            </w:r>
          </w:p>
        </w:tc>
        <w:tc>
          <w:tcPr>
            <w:tcW w:w="1363" w:type="dxa"/>
            <w:vMerge w:val="restart"/>
            <w:vAlign w:val="center"/>
          </w:tcPr>
          <w:p>
            <w:pPr>
              <w:spacing w:line="240" w:lineRule="exact"/>
              <w:jc w:val="center"/>
              <w:rPr>
                <w:szCs w:val="21"/>
              </w:rPr>
            </w:pPr>
            <w:r>
              <w:rPr>
                <w:szCs w:val="21"/>
              </w:rPr>
              <w:t>4</w:t>
            </w:r>
          </w:p>
        </w:tc>
        <w:tc>
          <w:tcPr>
            <w:tcW w:w="1468"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Merge w:val="continue"/>
            <w:vAlign w:val="center"/>
          </w:tcPr>
          <w:p>
            <w:pPr>
              <w:spacing w:line="240" w:lineRule="exact"/>
              <w:jc w:val="center"/>
              <w:rPr>
                <w:szCs w:val="21"/>
              </w:rPr>
            </w:pPr>
          </w:p>
        </w:tc>
        <w:tc>
          <w:tcPr>
            <w:tcW w:w="1339" w:type="dxa"/>
            <w:vMerge w:val="continue"/>
            <w:vAlign w:val="center"/>
          </w:tcPr>
          <w:p>
            <w:pPr>
              <w:spacing w:line="240" w:lineRule="exact"/>
              <w:jc w:val="center"/>
              <w:rPr>
                <w:szCs w:val="21"/>
              </w:rPr>
            </w:pPr>
          </w:p>
        </w:tc>
        <w:tc>
          <w:tcPr>
            <w:tcW w:w="1806" w:type="dxa"/>
            <w:vAlign w:val="center"/>
          </w:tcPr>
          <w:p>
            <w:pPr>
              <w:spacing w:line="240" w:lineRule="exact"/>
              <w:jc w:val="center"/>
              <w:rPr>
                <w:szCs w:val="21"/>
              </w:rPr>
            </w:pPr>
            <w:r>
              <w:rPr>
                <w:szCs w:val="21"/>
              </w:rPr>
              <w:t>KYF-8</w:t>
            </w:r>
          </w:p>
        </w:tc>
        <w:tc>
          <w:tcPr>
            <w:tcW w:w="811" w:type="dxa"/>
            <w:vMerge w:val="continue"/>
            <w:vAlign w:val="center"/>
          </w:tcPr>
          <w:p>
            <w:pPr>
              <w:spacing w:line="240" w:lineRule="exact"/>
              <w:jc w:val="center"/>
              <w:rPr>
                <w:szCs w:val="21"/>
              </w:rPr>
            </w:pPr>
          </w:p>
        </w:tc>
        <w:tc>
          <w:tcPr>
            <w:tcW w:w="1363" w:type="dxa"/>
            <w:vMerge w:val="continue"/>
            <w:vAlign w:val="center"/>
          </w:tcPr>
          <w:p>
            <w:pPr>
              <w:spacing w:line="240" w:lineRule="exact"/>
              <w:jc w:val="center"/>
              <w:rPr>
                <w:szCs w:val="21"/>
              </w:rPr>
            </w:pPr>
          </w:p>
        </w:tc>
        <w:tc>
          <w:tcPr>
            <w:tcW w:w="1468"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Align w:val="center"/>
          </w:tcPr>
          <w:p>
            <w:pPr>
              <w:spacing w:line="240" w:lineRule="exact"/>
              <w:jc w:val="center"/>
              <w:rPr>
                <w:szCs w:val="21"/>
              </w:rPr>
            </w:pPr>
            <w:r>
              <w:rPr>
                <w:szCs w:val="21"/>
              </w:rPr>
              <w:t>精选</w:t>
            </w:r>
          </w:p>
        </w:tc>
        <w:tc>
          <w:tcPr>
            <w:tcW w:w="1339" w:type="dxa"/>
            <w:vAlign w:val="center"/>
          </w:tcPr>
          <w:p>
            <w:pPr>
              <w:spacing w:line="240" w:lineRule="exact"/>
              <w:jc w:val="center"/>
              <w:rPr>
                <w:szCs w:val="21"/>
              </w:rPr>
            </w:pPr>
            <w:r>
              <w:rPr>
                <w:szCs w:val="21"/>
              </w:rPr>
              <w:t>浮选机</w:t>
            </w:r>
          </w:p>
        </w:tc>
        <w:tc>
          <w:tcPr>
            <w:tcW w:w="1806" w:type="dxa"/>
            <w:vAlign w:val="center"/>
          </w:tcPr>
          <w:p>
            <w:pPr>
              <w:spacing w:line="240" w:lineRule="exact"/>
              <w:jc w:val="center"/>
              <w:rPr>
                <w:szCs w:val="21"/>
              </w:rPr>
            </w:pPr>
            <w:r>
              <w:rPr>
                <w:szCs w:val="21"/>
              </w:rPr>
              <w:t>SF-4</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3</w:t>
            </w:r>
          </w:p>
        </w:tc>
        <w:tc>
          <w:tcPr>
            <w:tcW w:w="1468" w:type="dxa"/>
            <w:vMerge w:val="continue"/>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Align w:val="center"/>
          </w:tcPr>
          <w:p>
            <w:pPr>
              <w:spacing w:line="240" w:lineRule="exact"/>
              <w:jc w:val="center"/>
              <w:rPr>
                <w:szCs w:val="21"/>
              </w:rPr>
            </w:pPr>
            <w:r>
              <w:rPr>
                <w:szCs w:val="21"/>
              </w:rPr>
              <w:t>过滤</w:t>
            </w:r>
          </w:p>
        </w:tc>
        <w:tc>
          <w:tcPr>
            <w:tcW w:w="1339" w:type="dxa"/>
            <w:vAlign w:val="center"/>
          </w:tcPr>
          <w:p>
            <w:pPr>
              <w:spacing w:line="240" w:lineRule="exact"/>
              <w:jc w:val="center"/>
              <w:rPr>
                <w:szCs w:val="21"/>
              </w:rPr>
            </w:pPr>
            <w:r>
              <w:rPr>
                <w:szCs w:val="21"/>
              </w:rPr>
              <w:t>带式过滤机</w:t>
            </w:r>
          </w:p>
        </w:tc>
        <w:tc>
          <w:tcPr>
            <w:tcW w:w="1806" w:type="dxa"/>
            <w:vAlign w:val="center"/>
          </w:tcPr>
          <w:p>
            <w:pPr>
              <w:spacing w:line="240" w:lineRule="exact"/>
              <w:jc w:val="center"/>
              <w:rPr>
                <w:szCs w:val="21"/>
              </w:rPr>
            </w:pPr>
            <w:r>
              <w:rPr>
                <w:szCs w:val="21"/>
              </w:rPr>
              <w:t>DU9/1000</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1</w:t>
            </w: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Align w:val="center"/>
          </w:tcPr>
          <w:p>
            <w:pPr>
              <w:spacing w:line="240" w:lineRule="exact"/>
              <w:jc w:val="center"/>
              <w:rPr>
                <w:szCs w:val="21"/>
              </w:rPr>
            </w:pPr>
            <w:r>
              <w:rPr>
                <w:szCs w:val="21"/>
              </w:rPr>
              <w:t>浓缩</w:t>
            </w:r>
          </w:p>
        </w:tc>
        <w:tc>
          <w:tcPr>
            <w:tcW w:w="1339" w:type="dxa"/>
            <w:vAlign w:val="center"/>
          </w:tcPr>
          <w:p>
            <w:pPr>
              <w:spacing w:line="240" w:lineRule="exact"/>
              <w:jc w:val="center"/>
              <w:rPr>
                <w:szCs w:val="21"/>
              </w:rPr>
            </w:pPr>
            <w:r>
              <w:rPr>
                <w:szCs w:val="21"/>
              </w:rPr>
              <w:t>浓缩机</w:t>
            </w:r>
          </w:p>
        </w:tc>
        <w:tc>
          <w:tcPr>
            <w:tcW w:w="1806" w:type="dxa"/>
            <w:vAlign w:val="center"/>
          </w:tcPr>
          <w:p>
            <w:pPr>
              <w:spacing w:line="240" w:lineRule="exact"/>
              <w:jc w:val="center"/>
              <w:rPr>
                <w:szCs w:val="21"/>
              </w:rPr>
            </w:pPr>
            <w:r>
              <w:rPr>
                <w:szCs w:val="21"/>
              </w:rPr>
              <w:t>NZ9</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1</w:t>
            </w: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Align w:val="center"/>
          </w:tcPr>
          <w:p>
            <w:pPr>
              <w:spacing w:line="240" w:lineRule="exact"/>
              <w:jc w:val="center"/>
              <w:rPr>
                <w:szCs w:val="21"/>
              </w:rPr>
            </w:pPr>
            <w:r>
              <w:rPr>
                <w:szCs w:val="21"/>
              </w:rPr>
              <w:t>压滤</w:t>
            </w:r>
          </w:p>
        </w:tc>
        <w:tc>
          <w:tcPr>
            <w:tcW w:w="1339" w:type="dxa"/>
            <w:vAlign w:val="center"/>
          </w:tcPr>
          <w:p>
            <w:pPr>
              <w:spacing w:line="240" w:lineRule="exact"/>
              <w:jc w:val="center"/>
              <w:rPr>
                <w:szCs w:val="21"/>
              </w:rPr>
            </w:pPr>
            <w:r>
              <w:rPr>
                <w:szCs w:val="21"/>
              </w:rPr>
              <w:t>压滤机</w:t>
            </w:r>
          </w:p>
        </w:tc>
        <w:tc>
          <w:tcPr>
            <w:tcW w:w="1806" w:type="dxa"/>
            <w:vAlign w:val="center"/>
          </w:tcPr>
          <w:p>
            <w:pPr>
              <w:spacing w:line="240" w:lineRule="exact"/>
              <w:jc w:val="center"/>
              <w:rPr>
                <w:szCs w:val="21"/>
              </w:rPr>
            </w:pPr>
            <w:r>
              <w:rPr>
                <w:szCs w:val="21"/>
              </w:rPr>
              <w:t>XYZ20-45</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2</w:t>
            </w: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restart"/>
            <w:vAlign w:val="center"/>
          </w:tcPr>
          <w:p>
            <w:pPr>
              <w:spacing w:line="240" w:lineRule="exact"/>
              <w:jc w:val="center"/>
              <w:rPr>
                <w:szCs w:val="21"/>
              </w:rPr>
            </w:pPr>
            <w:r>
              <w:rPr>
                <w:szCs w:val="21"/>
              </w:rPr>
              <w:t>硫</w:t>
            </w:r>
          </w:p>
          <w:p>
            <w:pPr>
              <w:spacing w:line="240" w:lineRule="exact"/>
              <w:jc w:val="center"/>
              <w:rPr>
                <w:szCs w:val="21"/>
              </w:rPr>
            </w:pPr>
            <w:r>
              <w:rPr>
                <w:szCs w:val="21"/>
              </w:rPr>
              <w:t>浮选</w:t>
            </w:r>
          </w:p>
        </w:tc>
        <w:tc>
          <w:tcPr>
            <w:tcW w:w="837" w:type="dxa"/>
            <w:vMerge w:val="restart"/>
            <w:vAlign w:val="center"/>
          </w:tcPr>
          <w:p>
            <w:pPr>
              <w:spacing w:line="240" w:lineRule="exact"/>
              <w:jc w:val="center"/>
              <w:rPr>
                <w:szCs w:val="21"/>
              </w:rPr>
            </w:pPr>
            <w:r>
              <w:rPr>
                <w:szCs w:val="21"/>
              </w:rPr>
              <w:t>粗选</w:t>
            </w:r>
          </w:p>
        </w:tc>
        <w:tc>
          <w:tcPr>
            <w:tcW w:w="1339" w:type="dxa"/>
            <w:vMerge w:val="restart"/>
            <w:vAlign w:val="center"/>
          </w:tcPr>
          <w:p>
            <w:pPr>
              <w:spacing w:line="240" w:lineRule="exact"/>
              <w:jc w:val="center"/>
              <w:rPr>
                <w:szCs w:val="21"/>
              </w:rPr>
            </w:pPr>
            <w:r>
              <w:rPr>
                <w:szCs w:val="21"/>
              </w:rPr>
              <w:t>浮选机</w:t>
            </w:r>
          </w:p>
        </w:tc>
        <w:tc>
          <w:tcPr>
            <w:tcW w:w="1806" w:type="dxa"/>
            <w:vAlign w:val="center"/>
          </w:tcPr>
          <w:p>
            <w:pPr>
              <w:spacing w:line="240" w:lineRule="exact"/>
              <w:jc w:val="center"/>
              <w:rPr>
                <w:szCs w:val="21"/>
              </w:rPr>
            </w:pPr>
            <w:r>
              <w:rPr>
                <w:szCs w:val="21"/>
              </w:rPr>
              <w:t>XCF-8</w:t>
            </w:r>
          </w:p>
        </w:tc>
        <w:tc>
          <w:tcPr>
            <w:tcW w:w="811" w:type="dxa"/>
            <w:vMerge w:val="restart"/>
            <w:vAlign w:val="center"/>
          </w:tcPr>
          <w:p>
            <w:pPr>
              <w:spacing w:line="240" w:lineRule="exact"/>
              <w:jc w:val="center"/>
              <w:rPr>
                <w:szCs w:val="21"/>
              </w:rPr>
            </w:pPr>
            <w:r>
              <w:rPr>
                <w:szCs w:val="21"/>
              </w:rPr>
              <w:t>台</w:t>
            </w:r>
          </w:p>
        </w:tc>
        <w:tc>
          <w:tcPr>
            <w:tcW w:w="1363" w:type="dxa"/>
            <w:vMerge w:val="restart"/>
            <w:vAlign w:val="center"/>
          </w:tcPr>
          <w:p>
            <w:pPr>
              <w:spacing w:line="240" w:lineRule="exact"/>
              <w:jc w:val="center"/>
              <w:rPr>
                <w:szCs w:val="21"/>
              </w:rPr>
            </w:pPr>
            <w:r>
              <w:rPr>
                <w:szCs w:val="21"/>
              </w:rPr>
              <w:t>4</w:t>
            </w: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Merge w:val="continue"/>
            <w:vAlign w:val="center"/>
          </w:tcPr>
          <w:p>
            <w:pPr>
              <w:spacing w:line="240" w:lineRule="exact"/>
              <w:jc w:val="center"/>
              <w:rPr>
                <w:szCs w:val="21"/>
              </w:rPr>
            </w:pPr>
          </w:p>
        </w:tc>
        <w:tc>
          <w:tcPr>
            <w:tcW w:w="1339" w:type="dxa"/>
            <w:vMerge w:val="continue"/>
            <w:vAlign w:val="center"/>
          </w:tcPr>
          <w:p>
            <w:pPr>
              <w:spacing w:line="240" w:lineRule="exact"/>
              <w:jc w:val="center"/>
              <w:rPr>
                <w:szCs w:val="21"/>
              </w:rPr>
            </w:pPr>
          </w:p>
        </w:tc>
        <w:tc>
          <w:tcPr>
            <w:tcW w:w="1806" w:type="dxa"/>
            <w:vAlign w:val="center"/>
          </w:tcPr>
          <w:p>
            <w:pPr>
              <w:spacing w:line="240" w:lineRule="exact"/>
              <w:jc w:val="center"/>
              <w:rPr>
                <w:szCs w:val="21"/>
              </w:rPr>
            </w:pPr>
            <w:r>
              <w:rPr>
                <w:szCs w:val="21"/>
              </w:rPr>
              <w:t>KYF-8</w:t>
            </w:r>
          </w:p>
        </w:tc>
        <w:tc>
          <w:tcPr>
            <w:tcW w:w="811" w:type="dxa"/>
            <w:vMerge w:val="continue"/>
            <w:vAlign w:val="center"/>
          </w:tcPr>
          <w:p>
            <w:pPr>
              <w:spacing w:line="240" w:lineRule="exact"/>
              <w:jc w:val="center"/>
              <w:rPr>
                <w:szCs w:val="21"/>
              </w:rPr>
            </w:pPr>
          </w:p>
        </w:tc>
        <w:tc>
          <w:tcPr>
            <w:tcW w:w="1363" w:type="dxa"/>
            <w:vMerge w:val="continue"/>
            <w:vAlign w:val="center"/>
          </w:tcPr>
          <w:p>
            <w:pPr>
              <w:spacing w:line="240" w:lineRule="exact"/>
              <w:jc w:val="center"/>
              <w:rPr>
                <w:szCs w:val="21"/>
              </w:rPr>
            </w:pP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Merge w:val="restart"/>
            <w:vAlign w:val="center"/>
          </w:tcPr>
          <w:p>
            <w:pPr>
              <w:spacing w:line="240" w:lineRule="exact"/>
              <w:jc w:val="center"/>
              <w:rPr>
                <w:szCs w:val="21"/>
              </w:rPr>
            </w:pPr>
            <w:r>
              <w:rPr>
                <w:szCs w:val="21"/>
              </w:rPr>
              <w:t>扫选</w:t>
            </w:r>
          </w:p>
        </w:tc>
        <w:tc>
          <w:tcPr>
            <w:tcW w:w="1339" w:type="dxa"/>
            <w:vMerge w:val="restart"/>
            <w:vAlign w:val="center"/>
          </w:tcPr>
          <w:p>
            <w:pPr>
              <w:spacing w:line="240" w:lineRule="exact"/>
              <w:jc w:val="center"/>
              <w:rPr>
                <w:szCs w:val="21"/>
              </w:rPr>
            </w:pPr>
            <w:r>
              <w:rPr>
                <w:szCs w:val="21"/>
              </w:rPr>
              <w:t>浮选机</w:t>
            </w:r>
          </w:p>
        </w:tc>
        <w:tc>
          <w:tcPr>
            <w:tcW w:w="1806" w:type="dxa"/>
            <w:vAlign w:val="center"/>
          </w:tcPr>
          <w:p>
            <w:pPr>
              <w:spacing w:line="240" w:lineRule="exact"/>
              <w:jc w:val="center"/>
              <w:rPr>
                <w:szCs w:val="21"/>
              </w:rPr>
            </w:pPr>
            <w:r>
              <w:rPr>
                <w:szCs w:val="21"/>
              </w:rPr>
              <w:t>XCF-8</w:t>
            </w:r>
          </w:p>
        </w:tc>
        <w:tc>
          <w:tcPr>
            <w:tcW w:w="811" w:type="dxa"/>
            <w:vMerge w:val="restart"/>
            <w:vAlign w:val="center"/>
          </w:tcPr>
          <w:p>
            <w:pPr>
              <w:spacing w:line="240" w:lineRule="exact"/>
              <w:jc w:val="center"/>
              <w:rPr>
                <w:szCs w:val="21"/>
              </w:rPr>
            </w:pPr>
            <w:r>
              <w:rPr>
                <w:szCs w:val="21"/>
              </w:rPr>
              <w:t>槽</w:t>
            </w:r>
          </w:p>
        </w:tc>
        <w:tc>
          <w:tcPr>
            <w:tcW w:w="1363" w:type="dxa"/>
            <w:vMerge w:val="restart"/>
            <w:vAlign w:val="center"/>
          </w:tcPr>
          <w:p>
            <w:pPr>
              <w:spacing w:line="240" w:lineRule="exact"/>
              <w:jc w:val="center"/>
              <w:rPr>
                <w:szCs w:val="21"/>
              </w:rPr>
            </w:pPr>
            <w:r>
              <w:rPr>
                <w:szCs w:val="21"/>
              </w:rPr>
              <w:t>4</w:t>
            </w: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Merge w:val="continue"/>
            <w:vAlign w:val="center"/>
          </w:tcPr>
          <w:p>
            <w:pPr>
              <w:spacing w:line="240" w:lineRule="exact"/>
              <w:jc w:val="center"/>
              <w:rPr>
                <w:szCs w:val="21"/>
              </w:rPr>
            </w:pPr>
          </w:p>
        </w:tc>
        <w:tc>
          <w:tcPr>
            <w:tcW w:w="1339" w:type="dxa"/>
            <w:vMerge w:val="continue"/>
            <w:vAlign w:val="center"/>
          </w:tcPr>
          <w:p>
            <w:pPr>
              <w:spacing w:line="240" w:lineRule="exact"/>
              <w:jc w:val="center"/>
              <w:rPr>
                <w:szCs w:val="21"/>
              </w:rPr>
            </w:pPr>
          </w:p>
        </w:tc>
        <w:tc>
          <w:tcPr>
            <w:tcW w:w="1806" w:type="dxa"/>
            <w:vAlign w:val="center"/>
          </w:tcPr>
          <w:p>
            <w:pPr>
              <w:spacing w:line="240" w:lineRule="exact"/>
              <w:jc w:val="center"/>
              <w:rPr>
                <w:szCs w:val="21"/>
              </w:rPr>
            </w:pPr>
            <w:r>
              <w:rPr>
                <w:szCs w:val="21"/>
              </w:rPr>
              <w:t>KYF-8</w:t>
            </w:r>
          </w:p>
        </w:tc>
        <w:tc>
          <w:tcPr>
            <w:tcW w:w="811" w:type="dxa"/>
            <w:vMerge w:val="continue"/>
            <w:vAlign w:val="center"/>
          </w:tcPr>
          <w:p>
            <w:pPr>
              <w:spacing w:line="240" w:lineRule="exact"/>
              <w:jc w:val="center"/>
              <w:rPr>
                <w:szCs w:val="21"/>
              </w:rPr>
            </w:pPr>
          </w:p>
        </w:tc>
        <w:tc>
          <w:tcPr>
            <w:tcW w:w="1363" w:type="dxa"/>
            <w:vMerge w:val="continue"/>
            <w:vAlign w:val="center"/>
          </w:tcPr>
          <w:p>
            <w:pPr>
              <w:spacing w:line="240" w:lineRule="exact"/>
              <w:jc w:val="center"/>
              <w:rPr>
                <w:szCs w:val="21"/>
              </w:rPr>
            </w:pP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Align w:val="center"/>
          </w:tcPr>
          <w:p>
            <w:pPr>
              <w:spacing w:line="240" w:lineRule="exact"/>
              <w:jc w:val="center"/>
              <w:rPr>
                <w:szCs w:val="21"/>
              </w:rPr>
            </w:pPr>
            <w:r>
              <w:rPr>
                <w:szCs w:val="21"/>
              </w:rPr>
              <w:t>精选</w:t>
            </w:r>
          </w:p>
        </w:tc>
        <w:tc>
          <w:tcPr>
            <w:tcW w:w="1339" w:type="dxa"/>
            <w:vAlign w:val="center"/>
          </w:tcPr>
          <w:p>
            <w:pPr>
              <w:spacing w:line="240" w:lineRule="exact"/>
              <w:jc w:val="center"/>
              <w:rPr>
                <w:szCs w:val="21"/>
              </w:rPr>
            </w:pPr>
            <w:r>
              <w:rPr>
                <w:szCs w:val="21"/>
              </w:rPr>
              <w:t>浮选机</w:t>
            </w:r>
          </w:p>
        </w:tc>
        <w:tc>
          <w:tcPr>
            <w:tcW w:w="1806" w:type="dxa"/>
            <w:vAlign w:val="center"/>
          </w:tcPr>
          <w:p>
            <w:pPr>
              <w:spacing w:line="240" w:lineRule="exact"/>
              <w:jc w:val="center"/>
              <w:rPr>
                <w:szCs w:val="21"/>
              </w:rPr>
            </w:pPr>
            <w:r>
              <w:rPr>
                <w:szCs w:val="21"/>
              </w:rPr>
              <w:t>SF-4</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3</w:t>
            </w: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Align w:val="center"/>
          </w:tcPr>
          <w:p>
            <w:pPr>
              <w:spacing w:line="240" w:lineRule="exact"/>
              <w:jc w:val="center"/>
              <w:rPr>
                <w:szCs w:val="21"/>
              </w:rPr>
            </w:pPr>
            <w:r>
              <w:rPr>
                <w:szCs w:val="21"/>
              </w:rPr>
              <w:t>过滤</w:t>
            </w:r>
          </w:p>
        </w:tc>
        <w:tc>
          <w:tcPr>
            <w:tcW w:w="1339" w:type="dxa"/>
            <w:vAlign w:val="center"/>
          </w:tcPr>
          <w:p>
            <w:pPr>
              <w:spacing w:line="240" w:lineRule="exact"/>
              <w:jc w:val="center"/>
              <w:rPr>
                <w:szCs w:val="21"/>
              </w:rPr>
            </w:pPr>
            <w:r>
              <w:rPr>
                <w:szCs w:val="21"/>
              </w:rPr>
              <w:t>带式过滤机</w:t>
            </w:r>
          </w:p>
        </w:tc>
        <w:tc>
          <w:tcPr>
            <w:tcW w:w="1806" w:type="dxa"/>
            <w:vAlign w:val="center"/>
          </w:tcPr>
          <w:p>
            <w:pPr>
              <w:spacing w:line="240" w:lineRule="exact"/>
              <w:jc w:val="center"/>
              <w:rPr>
                <w:szCs w:val="21"/>
              </w:rPr>
            </w:pPr>
            <w:r>
              <w:rPr>
                <w:szCs w:val="21"/>
              </w:rPr>
              <w:t>DU20/1800</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1</w:t>
            </w: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Align w:val="center"/>
          </w:tcPr>
          <w:p>
            <w:pPr>
              <w:spacing w:line="240" w:lineRule="exact"/>
              <w:jc w:val="center"/>
              <w:rPr>
                <w:szCs w:val="21"/>
              </w:rPr>
            </w:pPr>
            <w:r>
              <w:rPr>
                <w:szCs w:val="21"/>
              </w:rPr>
              <w:t>浓缩</w:t>
            </w:r>
          </w:p>
        </w:tc>
        <w:tc>
          <w:tcPr>
            <w:tcW w:w="1339" w:type="dxa"/>
            <w:vAlign w:val="center"/>
          </w:tcPr>
          <w:p>
            <w:pPr>
              <w:spacing w:line="240" w:lineRule="exact"/>
              <w:jc w:val="center"/>
              <w:rPr>
                <w:szCs w:val="21"/>
              </w:rPr>
            </w:pPr>
            <w:r>
              <w:rPr>
                <w:szCs w:val="21"/>
              </w:rPr>
              <w:t>浓缩机</w:t>
            </w:r>
          </w:p>
        </w:tc>
        <w:tc>
          <w:tcPr>
            <w:tcW w:w="1806" w:type="dxa"/>
            <w:vAlign w:val="center"/>
          </w:tcPr>
          <w:p>
            <w:pPr>
              <w:spacing w:line="240" w:lineRule="exact"/>
              <w:jc w:val="center"/>
              <w:rPr>
                <w:szCs w:val="21"/>
              </w:rPr>
            </w:pPr>
            <w:r>
              <w:rPr>
                <w:szCs w:val="21"/>
              </w:rPr>
              <w:t>NZ15</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1</w:t>
            </w:r>
          </w:p>
        </w:tc>
        <w:tc>
          <w:tcPr>
            <w:tcW w:w="1468" w:type="dxa"/>
            <w:vMerge w:val="continue"/>
            <w:vAlign w:val="center"/>
          </w:tcPr>
          <w:p>
            <w:pPr>
              <w:spacing w:line="24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9" w:type="dxa"/>
            <w:vMerge w:val="continue"/>
            <w:vAlign w:val="center"/>
          </w:tcPr>
          <w:p>
            <w:pPr>
              <w:spacing w:line="240" w:lineRule="exact"/>
              <w:rPr>
                <w:szCs w:val="21"/>
              </w:rPr>
            </w:pPr>
          </w:p>
        </w:tc>
        <w:tc>
          <w:tcPr>
            <w:tcW w:w="601" w:type="dxa"/>
            <w:vMerge w:val="continue"/>
            <w:vAlign w:val="center"/>
          </w:tcPr>
          <w:p>
            <w:pPr>
              <w:spacing w:line="240" w:lineRule="exact"/>
              <w:jc w:val="center"/>
              <w:rPr>
                <w:szCs w:val="21"/>
              </w:rPr>
            </w:pPr>
          </w:p>
        </w:tc>
        <w:tc>
          <w:tcPr>
            <w:tcW w:w="837" w:type="dxa"/>
            <w:vAlign w:val="center"/>
          </w:tcPr>
          <w:p>
            <w:pPr>
              <w:spacing w:line="240" w:lineRule="exact"/>
              <w:jc w:val="center"/>
              <w:rPr>
                <w:szCs w:val="21"/>
              </w:rPr>
            </w:pPr>
            <w:r>
              <w:rPr>
                <w:szCs w:val="21"/>
              </w:rPr>
              <w:t>压滤</w:t>
            </w:r>
          </w:p>
        </w:tc>
        <w:tc>
          <w:tcPr>
            <w:tcW w:w="1339" w:type="dxa"/>
            <w:vAlign w:val="center"/>
          </w:tcPr>
          <w:p>
            <w:pPr>
              <w:spacing w:line="240" w:lineRule="exact"/>
              <w:jc w:val="center"/>
              <w:rPr>
                <w:szCs w:val="21"/>
              </w:rPr>
            </w:pPr>
            <w:r>
              <w:rPr>
                <w:szCs w:val="21"/>
              </w:rPr>
              <w:t>压滤机</w:t>
            </w:r>
          </w:p>
        </w:tc>
        <w:tc>
          <w:tcPr>
            <w:tcW w:w="1806" w:type="dxa"/>
            <w:vAlign w:val="center"/>
          </w:tcPr>
          <w:p>
            <w:pPr>
              <w:spacing w:line="240" w:lineRule="exact"/>
              <w:jc w:val="center"/>
              <w:rPr>
                <w:szCs w:val="21"/>
              </w:rPr>
            </w:pPr>
            <w:r>
              <w:rPr>
                <w:szCs w:val="21"/>
              </w:rPr>
              <w:t>XYZ60/1000</w:t>
            </w:r>
          </w:p>
        </w:tc>
        <w:tc>
          <w:tcPr>
            <w:tcW w:w="811" w:type="dxa"/>
            <w:vAlign w:val="center"/>
          </w:tcPr>
          <w:p>
            <w:pPr>
              <w:spacing w:line="240" w:lineRule="exact"/>
              <w:jc w:val="center"/>
              <w:rPr>
                <w:szCs w:val="21"/>
              </w:rPr>
            </w:pPr>
            <w:r>
              <w:rPr>
                <w:szCs w:val="21"/>
              </w:rPr>
              <w:t>台</w:t>
            </w:r>
          </w:p>
        </w:tc>
        <w:tc>
          <w:tcPr>
            <w:tcW w:w="1363" w:type="dxa"/>
            <w:vAlign w:val="center"/>
          </w:tcPr>
          <w:p>
            <w:pPr>
              <w:spacing w:line="240" w:lineRule="exact"/>
              <w:jc w:val="center"/>
              <w:rPr>
                <w:szCs w:val="21"/>
              </w:rPr>
            </w:pPr>
            <w:r>
              <w:rPr>
                <w:szCs w:val="21"/>
              </w:rPr>
              <w:t>2</w:t>
            </w:r>
          </w:p>
        </w:tc>
        <w:tc>
          <w:tcPr>
            <w:tcW w:w="1468" w:type="dxa"/>
            <w:vMerge w:val="continue"/>
            <w:vAlign w:val="center"/>
          </w:tcPr>
          <w:p>
            <w:pPr>
              <w:spacing w:line="240" w:lineRule="exact"/>
              <w:rPr>
                <w:szCs w:val="21"/>
              </w:rPr>
            </w:pPr>
          </w:p>
        </w:tc>
      </w:tr>
    </w:tbl>
    <w:p>
      <w:pPr>
        <w:pStyle w:val="5"/>
      </w:pPr>
      <w:r>
        <w:t>2.1.2.4主要原辅材料及能源消耗</w:t>
      </w:r>
    </w:p>
    <w:p>
      <w:pPr>
        <w:jc w:val="left"/>
        <w:rPr>
          <w:rFonts w:eastAsia="黑体"/>
          <w:sz w:val="22"/>
          <w:szCs w:val="22"/>
        </w:rPr>
      </w:pPr>
      <w:r>
        <w:rPr>
          <w:rFonts w:eastAsia="黑体"/>
          <w:sz w:val="22"/>
          <w:szCs w:val="22"/>
        </w:rPr>
        <w:t xml:space="preserve">   表2.1-4          现有650t/d浮选生产线原辅材料及能源消耗</w:t>
      </w:r>
    </w:p>
    <w:tbl>
      <w:tblPr>
        <w:tblStyle w:val="54"/>
        <w:tblW w:w="866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7"/>
        <w:gridCol w:w="2385"/>
        <w:gridCol w:w="1034"/>
        <w:gridCol w:w="1093"/>
        <w:gridCol w:w="3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jc w:val="center"/>
        </w:trPr>
        <w:tc>
          <w:tcPr>
            <w:tcW w:w="997" w:type="dxa"/>
            <w:vAlign w:val="center"/>
          </w:tcPr>
          <w:p>
            <w:pPr>
              <w:spacing w:line="240" w:lineRule="exact"/>
              <w:jc w:val="center"/>
              <w:rPr>
                <w:szCs w:val="21"/>
              </w:rPr>
            </w:pPr>
            <w:r>
              <w:rPr>
                <w:szCs w:val="21"/>
              </w:rPr>
              <w:t>序号</w:t>
            </w:r>
          </w:p>
        </w:tc>
        <w:tc>
          <w:tcPr>
            <w:tcW w:w="2385" w:type="dxa"/>
            <w:vAlign w:val="center"/>
          </w:tcPr>
          <w:p>
            <w:pPr>
              <w:spacing w:line="240" w:lineRule="exact"/>
              <w:jc w:val="center"/>
              <w:rPr>
                <w:szCs w:val="21"/>
              </w:rPr>
            </w:pPr>
            <w:r>
              <w:rPr>
                <w:szCs w:val="21"/>
              </w:rPr>
              <w:t>项目</w:t>
            </w:r>
          </w:p>
        </w:tc>
        <w:tc>
          <w:tcPr>
            <w:tcW w:w="1034" w:type="dxa"/>
            <w:vAlign w:val="center"/>
          </w:tcPr>
          <w:p>
            <w:pPr>
              <w:spacing w:line="240" w:lineRule="exact"/>
              <w:jc w:val="center"/>
              <w:rPr>
                <w:szCs w:val="21"/>
              </w:rPr>
            </w:pPr>
            <w:r>
              <w:rPr>
                <w:szCs w:val="21"/>
              </w:rPr>
              <w:t>单位</w:t>
            </w:r>
          </w:p>
        </w:tc>
        <w:tc>
          <w:tcPr>
            <w:tcW w:w="1093" w:type="dxa"/>
            <w:vAlign w:val="center"/>
          </w:tcPr>
          <w:p>
            <w:pPr>
              <w:spacing w:line="240" w:lineRule="exact"/>
              <w:jc w:val="center"/>
              <w:rPr>
                <w:szCs w:val="21"/>
              </w:rPr>
            </w:pPr>
            <w:r>
              <w:rPr>
                <w:szCs w:val="21"/>
              </w:rPr>
              <w:t>年耗量</w:t>
            </w:r>
          </w:p>
        </w:tc>
        <w:tc>
          <w:tcPr>
            <w:tcW w:w="3155" w:type="dxa"/>
            <w:vAlign w:val="center"/>
          </w:tcPr>
          <w:p>
            <w:pPr>
              <w:spacing w:line="240" w:lineRule="exact"/>
              <w:jc w:val="center"/>
              <w:rPr>
                <w:szCs w:val="21"/>
              </w:rPr>
            </w:pPr>
            <w:r>
              <w:rPr>
                <w:szCs w:val="21"/>
              </w:rPr>
              <w:t>每吨原矿消耗定额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997" w:type="dxa"/>
            <w:vAlign w:val="center"/>
          </w:tcPr>
          <w:p>
            <w:pPr>
              <w:spacing w:line="240" w:lineRule="exact"/>
              <w:jc w:val="center"/>
              <w:rPr>
                <w:szCs w:val="21"/>
              </w:rPr>
            </w:pPr>
            <w:r>
              <w:rPr>
                <w:szCs w:val="21"/>
              </w:rPr>
              <w:t>1</w:t>
            </w:r>
          </w:p>
        </w:tc>
        <w:tc>
          <w:tcPr>
            <w:tcW w:w="2385" w:type="dxa"/>
            <w:vAlign w:val="center"/>
          </w:tcPr>
          <w:p>
            <w:pPr>
              <w:spacing w:line="240" w:lineRule="exact"/>
              <w:jc w:val="center"/>
              <w:rPr>
                <w:szCs w:val="21"/>
              </w:rPr>
            </w:pPr>
            <w:r>
              <w:rPr>
                <w:szCs w:val="21"/>
              </w:rPr>
              <w:t>原料</w:t>
            </w:r>
          </w:p>
        </w:tc>
        <w:tc>
          <w:tcPr>
            <w:tcW w:w="1034" w:type="dxa"/>
            <w:vAlign w:val="center"/>
          </w:tcPr>
          <w:p>
            <w:pPr>
              <w:spacing w:line="240" w:lineRule="exact"/>
              <w:jc w:val="center"/>
              <w:rPr>
                <w:szCs w:val="21"/>
              </w:rPr>
            </w:pPr>
          </w:p>
        </w:tc>
        <w:tc>
          <w:tcPr>
            <w:tcW w:w="1093" w:type="dxa"/>
            <w:vAlign w:val="center"/>
          </w:tcPr>
          <w:p>
            <w:pPr>
              <w:spacing w:line="240" w:lineRule="exact"/>
              <w:jc w:val="center"/>
              <w:rPr>
                <w:szCs w:val="21"/>
              </w:rPr>
            </w:pPr>
          </w:p>
        </w:tc>
        <w:tc>
          <w:tcPr>
            <w:tcW w:w="3155" w:type="dxa"/>
            <w:vAlign w:val="center"/>
          </w:tcPr>
          <w:p>
            <w:pPr>
              <w:spacing w:line="240" w:lineRule="exac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jc w:val="center"/>
        </w:trPr>
        <w:tc>
          <w:tcPr>
            <w:tcW w:w="997" w:type="dxa"/>
            <w:vAlign w:val="center"/>
          </w:tcPr>
          <w:p>
            <w:pPr>
              <w:spacing w:line="240" w:lineRule="exact"/>
              <w:jc w:val="center"/>
              <w:rPr>
                <w:szCs w:val="21"/>
              </w:rPr>
            </w:pPr>
            <w:r>
              <w:rPr>
                <w:szCs w:val="21"/>
              </w:rPr>
              <w:t>1.1</w:t>
            </w:r>
          </w:p>
        </w:tc>
        <w:tc>
          <w:tcPr>
            <w:tcW w:w="2385" w:type="dxa"/>
            <w:vAlign w:val="center"/>
          </w:tcPr>
          <w:p>
            <w:pPr>
              <w:spacing w:line="240" w:lineRule="exact"/>
              <w:jc w:val="center"/>
              <w:rPr>
                <w:szCs w:val="21"/>
              </w:rPr>
            </w:pPr>
            <w:r>
              <w:rPr>
                <w:szCs w:val="21"/>
              </w:rPr>
              <w:t>矿石</w:t>
            </w:r>
          </w:p>
        </w:tc>
        <w:tc>
          <w:tcPr>
            <w:tcW w:w="1034" w:type="dxa"/>
            <w:vAlign w:val="center"/>
          </w:tcPr>
          <w:p>
            <w:pPr>
              <w:spacing w:line="240" w:lineRule="exact"/>
              <w:jc w:val="center"/>
              <w:rPr>
                <w:szCs w:val="21"/>
              </w:rPr>
            </w:pPr>
            <w:r>
              <w:rPr>
                <w:szCs w:val="21"/>
              </w:rPr>
              <w:t>t</w:t>
            </w:r>
          </w:p>
        </w:tc>
        <w:tc>
          <w:tcPr>
            <w:tcW w:w="1093" w:type="dxa"/>
            <w:vAlign w:val="center"/>
          </w:tcPr>
          <w:p>
            <w:pPr>
              <w:spacing w:line="240" w:lineRule="exact"/>
              <w:jc w:val="center"/>
              <w:rPr>
                <w:szCs w:val="21"/>
              </w:rPr>
            </w:pPr>
            <w:r>
              <w:rPr>
                <w:szCs w:val="21"/>
              </w:rPr>
              <w:t>200000</w:t>
            </w:r>
          </w:p>
        </w:tc>
        <w:tc>
          <w:tcPr>
            <w:tcW w:w="3155" w:type="dxa"/>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997" w:type="dxa"/>
            <w:vAlign w:val="center"/>
          </w:tcPr>
          <w:p>
            <w:pPr>
              <w:spacing w:line="240" w:lineRule="exact"/>
              <w:jc w:val="center"/>
              <w:rPr>
                <w:szCs w:val="21"/>
              </w:rPr>
            </w:pPr>
            <w:r>
              <w:rPr>
                <w:szCs w:val="21"/>
              </w:rPr>
              <w:t>2</w:t>
            </w:r>
          </w:p>
        </w:tc>
        <w:tc>
          <w:tcPr>
            <w:tcW w:w="2385" w:type="dxa"/>
            <w:vAlign w:val="center"/>
          </w:tcPr>
          <w:p>
            <w:pPr>
              <w:spacing w:line="240" w:lineRule="exact"/>
              <w:jc w:val="center"/>
              <w:rPr>
                <w:szCs w:val="21"/>
              </w:rPr>
            </w:pPr>
            <w:r>
              <w:rPr>
                <w:szCs w:val="21"/>
              </w:rPr>
              <w:t>辅料</w:t>
            </w:r>
          </w:p>
        </w:tc>
        <w:tc>
          <w:tcPr>
            <w:tcW w:w="1034" w:type="dxa"/>
            <w:vAlign w:val="center"/>
          </w:tcPr>
          <w:p>
            <w:pPr>
              <w:spacing w:line="240" w:lineRule="exact"/>
              <w:jc w:val="center"/>
              <w:rPr>
                <w:szCs w:val="21"/>
              </w:rPr>
            </w:pPr>
          </w:p>
        </w:tc>
        <w:tc>
          <w:tcPr>
            <w:tcW w:w="1093" w:type="dxa"/>
            <w:vAlign w:val="center"/>
          </w:tcPr>
          <w:p>
            <w:pPr>
              <w:spacing w:line="240" w:lineRule="exact"/>
              <w:jc w:val="center"/>
              <w:rPr>
                <w:szCs w:val="21"/>
              </w:rPr>
            </w:pPr>
          </w:p>
        </w:tc>
        <w:tc>
          <w:tcPr>
            <w:tcW w:w="3155" w:type="dxa"/>
            <w:vAlign w:val="center"/>
          </w:tcPr>
          <w:p>
            <w:pPr>
              <w:spacing w:line="240" w:lineRule="exac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997" w:type="dxa"/>
            <w:vAlign w:val="center"/>
          </w:tcPr>
          <w:p>
            <w:pPr>
              <w:spacing w:line="240" w:lineRule="exact"/>
              <w:jc w:val="center"/>
              <w:rPr>
                <w:szCs w:val="21"/>
              </w:rPr>
            </w:pPr>
            <w:r>
              <w:rPr>
                <w:szCs w:val="21"/>
              </w:rPr>
              <w:t>2.1</w:t>
            </w:r>
          </w:p>
        </w:tc>
        <w:tc>
          <w:tcPr>
            <w:tcW w:w="2385" w:type="dxa"/>
            <w:vAlign w:val="center"/>
          </w:tcPr>
          <w:p>
            <w:pPr>
              <w:spacing w:line="240" w:lineRule="exact"/>
              <w:jc w:val="center"/>
              <w:rPr>
                <w:szCs w:val="21"/>
              </w:rPr>
            </w:pPr>
            <w:r>
              <w:rPr>
                <w:szCs w:val="21"/>
              </w:rPr>
              <w:t>衬板</w:t>
            </w:r>
          </w:p>
        </w:tc>
        <w:tc>
          <w:tcPr>
            <w:tcW w:w="1034" w:type="dxa"/>
            <w:vAlign w:val="center"/>
          </w:tcPr>
          <w:p>
            <w:pPr>
              <w:spacing w:line="240" w:lineRule="exact"/>
              <w:jc w:val="center"/>
              <w:rPr>
                <w:szCs w:val="21"/>
              </w:rPr>
            </w:pPr>
            <w:r>
              <w:rPr>
                <w:szCs w:val="21"/>
              </w:rPr>
              <w:t>t</w:t>
            </w:r>
          </w:p>
        </w:tc>
        <w:tc>
          <w:tcPr>
            <w:tcW w:w="1093" w:type="dxa"/>
            <w:vAlign w:val="center"/>
          </w:tcPr>
          <w:p>
            <w:pPr>
              <w:spacing w:line="240" w:lineRule="exact"/>
              <w:jc w:val="center"/>
              <w:rPr>
                <w:szCs w:val="21"/>
              </w:rPr>
            </w:pPr>
            <w:r>
              <w:rPr>
                <w:szCs w:val="21"/>
              </w:rPr>
              <w:t>156</w:t>
            </w:r>
          </w:p>
        </w:tc>
        <w:tc>
          <w:tcPr>
            <w:tcW w:w="3155" w:type="dxa"/>
            <w:vAlign w:val="center"/>
          </w:tcPr>
          <w:p>
            <w:pPr>
              <w:spacing w:line="240" w:lineRule="exact"/>
              <w:jc w:val="center"/>
              <w:rPr>
                <w:szCs w:val="21"/>
              </w:rPr>
            </w:pPr>
            <w:r>
              <w:rPr>
                <w:szCs w:val="21"/>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997" w:type="dxa"/>
            <w:vAlign w:val="center"/>
          </w:tcPr>
          <w:p>
            <w:pPr>
              <w:spacing w:line="240" w:lineRule="exact"/>
              <w:jc w:val="center"/>
              <w:rPr>
                <w:szCs w:val="21"/>
              </w:rPr>
            </w:pPr>
            <w:r>
              <w:rPr>
                <w:szCs w:val="21"/>
              </w:rPr>
              <w:t>2.2</w:t>
            </w:r>
          </w:p>
        </w:tc>
        <w:tc>
          <w:tcPr>
            <w:tcW w:w="2385" w:type="dxa"/>
            <w:vAlign w:val="center"/>
          </w:tcPr>
          <w:p>
            <w:pPr>
              <w:spacing w:line="240" w:lineRule="exact"/>
              <w:jc w:val="center"/>
              <w:rPr>
                <w:szCs w:val="21"/>
              </w:rPr>
            </w:pPr>
            <w:r>
              <w:rPr>
                <w:szCs w:val="21"/>
              </w:rPr>
              <w:t>钢球</w:t>
            </w:r>
          </w:p>
        </w:tc>
        <w:tc>
          <w:tcPr>
            <w:tcW w:w="1034" w:type="dxa"/>
            <w:vAlign w:val="center"/>
          </w:tcPr>
          <w:p>
            <w:pPr>
              <w:spacing w:line="240" w:lineRule="exact"/>
              <w:jc w:val="center"/>
              <w:rPr>
                <w:szCs w:val="21"/>
              </w:rPr>
            </w:pPr>
            <w:r>
              <w:rPr>
                <w:szCs w:val="21"/>
              </w:rPr>
              <w:t>t</w:t>
            </w:r>
          </w:p>
        </w:tc>
        <w:tc>
          <w:tcPr>
            <w:tcW w:w="1093" w:type="dxa"/>
            <w:vAlign w:val="center"/>
          </w:tcPr>
          <w:p>
            <w:pPr>
              <w:spacing w:line="240" w:lineRule="exact"/>
              <w:jc w:val="center"/>
              <w:rPr>
                <w:szCs w:val="21"/>
              </w:rPr>
            </w:pPr>
            <w:r>
              <w:rPr>
                <w:szCs w:val="21"/>
              </w:rPr>
              <w:t>29.25</w:t>
            </w:r>
          </w:p>
        </w:tc>
        <w:tc>
          <w:tcPr>
            <w:tcW w:w="3155" w:type="dxa"/>
            <w:vAlign w:val="center"/>
          </w:tcPr>
          <w:p>
            <w:pPr>
              <w:spacing w:line="240" w:lineRule="exact"/>
              <w:jc w:val="center"/>
              <w:rPr>
                <w:szCs w:val="21"/>
              </w:rPr>
            </w:pPr>
            <w:r>
              <w:rPr>
                <w:szCs w:val="21"/>
              </w:rPr>
              <w:t>0.00015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997" w:type="dxa"/>
            <w:vAlign w:val="center"/>
          </w:tcPr>
          <w:p>
            <w:pPr>
              <w:spacing w:line="240" w:lineRule="exact"/>
              <w:jc w:val="center"/>
              <w:rPr>
                <w:szCs w:val="21"/>
              </w:rPr>
            </w:pPr>
            <w:r>
              <w:rPr>
                <w:szCs w:val="21"/>
              </w:rPr>
              <w:t>2.3</w:t>
            </w:r>
          </w:p>
        </w:tc>
        <w:tc>
          <w:tcPr>
            <w:tcW w:w="2385" w:type="dxa"/>
            <w:vAlign w:val="center"/>
          </w:tcPr>
          <w:p>
            <w:pPr>
              <w:spacing w:line="240" w:lineRule="exact"/>
              <w:jc w:val="center"/>
              <w:rPr>
                <w:szCs w:val="21"/>
              </w:rPr>
            </w:pPr>
            <w:r>
              <w:rPr>
                <w:szCs w:val="21"/>
              </w:rPr>
              <w:t>筛网</w:t>
            </w:r>
          </w:p>
        </w:tc>
        <w:tc>
          <w:tcPr>
            <w:tcW w:w="1034" w:type="dxa"/>
            <w:vAlign w:val="center"/>
          </w:tcPr>
          <w:p>
            <w:pPr>
              <w:spacing w:line="240" w:lineRule="exact"/>
              <w:jc w:val="center"/>
              <w:rPr>
                <w:szCs w:val="21"/>
              </w:rPr>
            </w:pPr>
            <w:r>
              <w:rPr>
                <w:szCs w:val="21"/>
              </w:rPr>
              <w:t>t</w:t>
            </w:r>
          </w:p>
        </w:tc>
        <w:tc>
          <w:tcPr>
            <w:tcW w:w="1093" w:type="dxa"/>
            <w:vAlign w:val="center"/>
          </w:tcPr>
          <w:p>
            <w:pPr>
              <w:spacing w:line="240" w:lineRule="exact"/>
              <w:jc w:val="center"/>
              <w:rPr>
                <w:szCs w:val="21"/>
              </w:rPr>
            </w:pPr>
            <w:r>
              <w:rPr>
                <w:szCs w:val="21"/>
              </w:rPr>
              <w:t>4.95</w:t>
            </w:r>
          </w:p>
        </w:tc>
        <w:tc>
          <w:tcPr>
            <w:tcW w:w="3155" w:type="dxa"/>
            <w:vAlign w:val="center"/>
          </w:tcPr>
          <w:p>
            <w:pPr>
              <w:spacing w:line="240" w:lineRule="exact"/>
              <w:jc w:val="center"/>
              <w:rPr>
                <w:szCs w:val="21"/>
              </w:rPr>
            </w:pPr>
            <w:r>
              <w:rPr>
                <w:szCs w:val="21"/>
              </w:rPr>
              <w:t>0.00066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997" w:type="dxa"/>
            <w:vAlign w:val="center"/>
          </w:tcPr>
          <w:p>
            <w:pPr>
              <w:spacing w:line="240" w:lineRule="exact"/>
              <w:jc w:val="center"/>
              <w:rPr>
                <w:szCs w:val="21"/>
              </w:rPr>
            </w:pPr>
            <w:r>
              <w:rPr>
                <w:szCs w:val="21"/>
              </w:rPr>
              <w:t>2.4</w:t>
            </w:r>
          </w:p>
        </w:tc>
        <w:tc>
          <w:tcPr>
            <w:tcW w:w="2385" w:type="dxa"/>
            <w:vAlign w:val="center"/>
          </w:tcPr>
          <w:p>
            <w:pPr>
              <w:spacing w:line="240" w:lineRule="exact"/>
              <w:jc w:val="center"/>
              <w:rPr>
                <w:szCs w:val="21"/>
              </w:rPr>
            </w:pPr>
            <w:r>
              <w:rPr>
                <w:szCs w:val="21"/>
              </w:rPr>
              <w:t>2#油</w:t>
            </w:r>
          </w:p>
        </w:tc>
        <w:tc>
          <w:tcPr>
            <w:tcW w:w="1034" w:type="dxa"/>
            <w:vAlign w:val="center"/>
          </w:tcPr>
          <w:p>
            <w:pPr>
              <w:spacing w:line="240" w:lineRule="exact"/>
              <w:jc w:val="center"/>
              <w:rPr>
                <w:szCs w:val="21"/>
              </w:rPr>
            </w:pPr>
            <w:r>
              <w:rPr>
                <w:szCs w:val="21"/>
              </w:rPr>
              <w:t>t</w:t>
            </w:r>
          </w:p>
        </w:tc>
        <w:tc>
          <w:tcPr>
            <w:tcW w:w="1093" w:type="dxa"/>
            <w:vAlign w:val="center"/>
          </w:tcPr>
          <w:p>
            <w:pPr>
              <w:spacing w:line="240" w:lineRule="exact"/>
              <w:jc w:val="center"/>
              <w:rPr>
                <w:szCs w:val="21"/>
              </w:rPr>
            </w:pPr>
            <w:r>
              <w:rPr>
                <w:szCs w:val="21"/>
              </w:rPr>
              <w:t>5.85</w:t>
            </w:r>
          </w:p>
        </w:tc>
        <w:tc>
          <w:tcPr>
            <w:tcW w:w="3155" w:type="dxa"/>
            <w:vAlign w:val="center"/>
          </w:tcPr>
          <w:p>
            <w:pPr>
              <w:spacing w:line="240" w:lineRule="exact"/>
              <w:jc w:val="center"/>
              <w:rPr>
                <w:szCs w:val="21"/>
              </w:rPr>
            </w:pPr>
            <w:r>
              <w:rPr>
                <w:szCs w:val="21"/>
              </w:rPr>
              <w:t>0.00003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997" w:type="dxa"/>
            <w:vAlign w:val="center"/>
          </w:tcPr>
          <w:p>
            <w:pPr>
              <w:spacing w:line="240" w:lineRule="exact"/>
              <w:jc w:val="center"/>
              <w:rPr>
                <w:szCs w:val="21"/>
              </w:rPr>
            </w:pPr>
            <w:r>
              <w:rPr>
                <w:szCs w:val="21"/>
              </w:rPr>
              <w:t>2.5</w:t>
            </w:r>
          </w:p>
        </w:tc>
        <w:tc>
          <w:tcPr>
            <w:tcW w:w="2385" w:type="dxa"/>
            <w:vAlign w:val="center"/>
          </w:tcPr>
          <w:p>
            <w:pPr>
              <w:spacing w:line="240" w:lineRule="exact"/>
              <w:jc w:val="center"/>
              <w:rPr>
                <w:szCs w:val="21"/>
              </w:rPr>
            </w:pPr>
            <w:r>
              <w:rPr>
                <w:szCs w:val="21"/>
              </w:rPr>
              <w:t>丁黄药</w:t>
            </w:r>
          </w:p>
        </w:tc>
        <w:tc>
          <w:tcPr>
            <w:tcW w:w="1034" w:type="dxa"/>
            <w:vAlign w:val="center"/>
          </w:tcPr>
          <w:p>
            <w:pPr>
              <w:spacing w:line="240" w:lineRule="exact"/>
              <w:jc w:val="center"/>
              <w:rPr>
                <w:szCs w:val="21"/>
              </w:rPr>
            </w:pPr>
            <w:r>
              <w:rPr>
                <w:szCs w:val="21"/>
              </w:rPr>
              <w:t>t</w:t>
            </w:r>
          </w:p>
        </w:tc>
        <w:tc>
          <w:tcPr>
            <w:tcW w:w="1093" w:type="dxa"/>
            <w:vAlign w:val="center"/>
          </w:tcPr>
          <w:p>
            <w:pPr>
              <w:spacing w:line="240" w:lineRule="exact"/>
              <w:jc w:val="center"/>
              <w:rPr>
                <w:szCs w:val="21"/>
              </w:rPr>
            </w:pPr>
            <w:r>
              <w:rPr>
                <w:szCs w:val="21"/>
              </w:rPr>
              <w:t>29.25</w:t>
            </w:r>
          </w:p>
        </w:tc>
        <w:tc>
          <w:tcPr>
            <w:tcW w:w="3155" w:type="dxa"/>
            <w:vAlign w:val="center"/>
          </w:tcPr>
          <w:p>
            <w:pPr>
              <w:spacing w:line="240" w:lineRule="exact"/>
              <w:jc w:val="center"/>
              <w:rPr>
                <w:szCs w:val="21"/>
              </w:rPr>
            </w:pPr>
            <w:r>
              <w:rPr>
                <w:szCs w:val="21"/>
              </w:rPr>
              <w:t>0.00015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97" w:type="dxa"/>
            <w:vAlign w:val="center"/>
          </w:tcPr>
          <w:p>
            <w:pPr>
              <w:spacing w:line="240" w:lineRule="exact"/>
              <w:jc w:val="center"/>
              <w:rPr>
                <w:szCs w:val="21"/>
              </w:rPr>
            </w:pPr>
            <w:r>
              <w:rPr>
                <w:szCs w:val="21"/>
              </w:rPr>
              <w:t>3</w:t>
            </w:r>
          </w:p>
        </w:tc>
        <w:tc>
          <w:tcPr>
            <w:tcW w:w="2385" w:type="dxa"/>
            <w:vAlign w:val="center"/>
          </w:tcPr>
          <w:p>
            <w:pPr>
              <w:spacing w:line="240" w:lineRule="exact"/>
              <w:jc w:val="center"/>
              <w:rPr>
                <w:szCs w:val="21"/>
              </w:rPr>
            </w:pPr>
            <w:r>
              <w:rPr>
                <w:szCs w:val="21"/>
              </w:rPr>
              <w:t>动力</w:t>
            </w:r>
          </w:p>
        </w:tc>
        <w:tc>
          <w:tcPr>
            <w:tcW w:w="1034" w:type="dxa"/>
            <w:vAlign w:val="center"/>
          </w:tcPr>
          <w:p>
            <w:pPr>
              <w:spacing w:line="240" w:lineRule="exact"/>
              <w:jc w:val="center"/>
              <w:rPr>
                <w:szCs w:val="21"/>
              </w:rPr>
            </w:pPr>
          </w:p>
        </w:tc>
        <w:tc>
          <w:tcPr>
            <w:tcW w:w="1093" w:type="dxa"/>
            <w:vAlign w:val="center"/>
          </w:tcPr>
          <w:p>
            <w:pPr>
              <w:spacing w:line="240" w:lineRule="exact"/>
              <w:jc w:val="center"/>
              <w:rPr>
                <w:szCs w:val="21"/>
              </w:rPr>
            </w:pPr>
          </w:p>
        </w:tc>
        <w:tc>
          <w:tcPr>
            <w:tcW w:w="3155" w:type="dxa"/>
            <w:vAlign w:val="center"/>
          </w:tcPr>
          <w:p>
            <w:pPr>
              <w:spacing w:line="240" w:lineRule="exac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997" w:type="dxa"/>
            <w:vAlign w:val="center"/>
          </w:tcPr>
          <w:p>
            <w:pPr>
              <w:spacing w:line="240" w:lineRule="exact"/>
              <w:jc w:val="center"/>
              <w:rPr>
                <w:szCs w:val="21"/>
              </w:rPr>
            </w:pPr>
            <w:r>
              <w:rPr>
                <w:szCs w:val="21"/>
              </w:rPr>
              <w:t>3.1</w:t>
            </w:r>
          </w:p>
        </w:tc>
        <w:tc>
          <w:tcPr>
            <w:tcW w:w="2385" w:type="dxa"/>
            <w:vAlign w:val="center"/>
          </w:tcPr>
          <w:p>
            <w:pPr>
              <w:spacing w:line="240" w:lineRule="exact"/>
              <w:jc w:val="center"/>
              <w:rPr>
                <w:szCs w:val="21"/>
              </w:rPr>
            </w:pPr>
            <w:r>
              <w:rPr>
                <w:szCs w:val="21"/>
              </w:rPr>
              <w:t>电</w:t>
            </w:r>
          </w:p>
        </w:tc>
        <w:tc>
          <w:tcPr>
            <w:tcW w:w="1034" w:type="dxa"/>
            <w:vAlign w:val="center"/>
          </w:tcPr>
          <w:p>
            <w:pPr>
              <w:spacing w:line="240" w:lineRule="exact"/>
              <w:jc w:val="center"/>
              <w:rPr>
                <w:szCs w:val="21"/>
              </w:rPr>
            </w:pPr>
            <w:r>
              <w:rPr>
                <w:szCs w:val="21"/>
              </w:rPr>
              <w:t>kW.h</w:t>
            </w:r>
          </w:p>
        </w:tc>
        <w:tc>
          <w:tcPr>
            <w:tcW w:w="1093" w:type="dxa"/>
            <w:vAlign w:val="center"/>
          </w:tcPr>
          <w:p>
            <w:pPr>
              <w:spacing w:line="240" w:lineRule="exact"/>
              <w:jc w:val="center"/>
              <w:rPr>
                <w:szCs w:val="21"/>
              </w:rPr>
            </w:pPr>
            <w:r>
              <w:rPr>
                <w:szCs w:val="21"/>
              </w:rPr>
              <w:t>5655000</w:t>
            </w:r>
          </w:p>
        </w:tc>
        <w:tc>
          <w:tcPr>
            <w:tcW w:w="3155" w:type="dxa"/>
            <w:vAlign w:val="center"/>
          </w:tcPr>
          <w:p>
            <w:pPr>
              <w:spacing w:line="240" w:lineRule="exact"/>
              <w:jc w:val="center"/>
              <w:rPr>
                <w:szCs w:val="21"/>
              </w:rPr>
            </w:pPr>
            <w:r>
              <w:rPr>
                <w:szCs w:val="21"/>
              </w:rPr>
              <w:t>29</w:t>
            </w:r>
          </w:p>
        </w:tc>
      </w:tr>
    </w:tbl>
    <w:p>
      <w:pPr>
        <w:pStyle w:val="5"/>
        <w:rPr>
          <w:rFonts w:ascii="Times New Roman" w:hAnsi="Times New Roman"/>
        </w:rPr>
      </w:pPr>
      <w:r>
        <w:rPr>
          <w:rFonts w:ascii="Times New Roman" w:hAnsi="Times New Roman"/>
        </w:rPr>
        <w:t>2.1.2.5总平面布置</w:t>
      </w:r>
    </w:p>
    <w:p>
      <w:pPr>
        <w:pStyle w:val="88"/>
        <w:spacing w:line="360" w:lineRule="auto"/>
        <w:rPr>
          <w:bCs/>
          <w:color w:val="auto"/>
        </w:rPr>
      </w:pPr>
      <w:r>
        <w:rPr>
          <w:bCs/>
          <w:color w:val="auto"/>
        </w:rPr>
        <w:t xml:space="preserve">    破碎车间：根据工艺要求，采用两段开路破碎工艺流程。粗碎和细碎集中布置于一个跨间。</w:t>
      </w:r>
    </w:p>
    <w:p>
      <w:pPr>
        <w:pStyle w:val="88"/>
        <w:spacing w:line="360" w:lineRule="auto"/>
        <w:rPr>
          <w:bCs/>
          <w:color w:val="auto"/>
        </w:rPr>
      </w:pPr>
      <w:r>
        <w:rPr>
          <w:bCs/>
          <w:color w:val="auto"/>
        </w:rPr>
        <w:t xml:space="preserve">    磨矿、浮选车间：磨矿和浮选设备，相对集中配置在上下相邻二个跨间，有利于生产调整和操作管理，减少操作工人。</w:t>
      </w:r>
    </w:p>
    <w:p>
      <w:pPr>
        <w:pStyle w:val="88"/>
        <w:spacing w:line="360" w:lineRule="auto"/>
        <w:rPr>
          <w:bCs/>
          <w:color w:val="auto"/>
        </w:rPr>
      </w:pPr>
      <w:r>
        <w:rPr>
          <w:bCs/>
          <w:color w:val="auto"/>
        </w:rPr>
        <w:t xml:space="preserve">    脱水车间：浓密为露天作业，过滤为室内作业。</w:t>
      </w:r>
    </w:p>
    <w:p>
      <w:pPr>
        <w:pStyle w:val="88"/>
        <w:spacing w:line="360" w:lineRule="auto"/>
        <w:rPr>
          <w:bCs/>
          <w:color w:val="auto"/>
        </w:rPr>
      </w:pPr>
      <w:r>
        <w:rPr>
          <w:bCs/>
          <w:color w:val="auto"/>
        </w:rPr>
        <w:t xml:space="preserve">    破碎车间与磨矿车间的设备联结、产品的运输，均为皮带运输，最终产品采用皮带运输进入精矿场堆存。磨矿及各浮选作业，除主矿管自流外，其余用砂泵输送矿浆。</w:t>
      </w:r>
    </w:p>
    <w:p>
      <w:pPr>
        <w:pStyle w:val="88"/>
        <w:spacing w:line="360" w:lineRule="auto"/>
        <w:rPr>
          <w:bCs/>
          <w:color w:val="auto"/>
        </w:rPr>
      </w:pPr>
      <w:r>
        <w:rPr>
          <w:bCs/>
          <w:color w:val="auto"/>
        </w:rPr>
        <w:t xml:space="preserve">    精粉堆场位于现有650t/d选场</w:t>
      </w:r>
    </w:p>
    <w:p>
      <w:pPr>
        <w:pStyle w:val="5"/>
        <w:rPr>
          <w:rFonts w:ascii="Times New Roman" w:hAnsi="Times New Roman"/>
        </w:rPr>
      </w:pPr>
      <w:r>
        <w:rPr>
          <w:rFonts w:ascii="Times New Roman" w:hAnsi="Times New Roman"/>
        </w:rPr>
        <w:t>2.1.2.7生产工艺及产污环节</w:t>
      </w:r>
    </w:p>
    <w:p>
      <w:pPr>
        <w:pStyle w:val="88"/>
        <w:ind w:firstLine="480"/>
        <w:rPr>
          <w:color w:val="auto"/>
        </w:rPr>
      </w:pPr>
      <w:r>
        <w:rPr>
          <w:color w:val="auto"/>
        </w:rPr>
        <w:t>1、破碎工段</w:t>
      </w:r>
    </w:p>
    <w:p>
      <w:pPr>
        <w:pStyle w:val="88"/>
        <w:ind w:firstLine="480"/>
        <w:rPr>
          <w:color w:val="auto"/>
        </w:rPr>
      </w:pPr>
      <w:r>
        <w:rPr>
          <w:color w:val="auto"/>
        </w:rPr>
        <w:t>采用两段开路破碎工艺。矿石由原矿仓经1000×1900槽式给料机进入PE400×600颚式破碎机粗碎，粗碎后经1#皮带输送到ZD1224自定中心振动筛，筛下产物经2#皮带输送到粉矿仓，筛上产物进入PEX250×1000颚式破碎机细碎，细碎后产物经2#皮带输送到粉矿仓，由粉矿仓进入球磨机。</w:t>
      </w:r>
    </w:p>
    <w:p>
      <w:pPr>
        <w:pStyle w:val="88"/>
        <w:ind w:firstLine="480"/>
        <w:rPr>
          <w:color w:val="auto"/>
        </w:rPr>
      </w:pPr>
      <w:r>
        <w:rPr>
          <w:color w:val="auto"/>
        </w:rPr>
        <w:t>2、磨矿及分级工段</w:t>
      </w:r>
    </w:p>
    <w:p>
      <w:pPr>
        <w:pStyle w:val="88"/>
        <w:ind w:firstLine="480"/>
        <w:rPr>
          <w:color w:val="auto"/>
        </w:rPr>
      </w:pPr>
      <w:r>
        <w:rPr>
          <w:color w:val="auto"/>
        </w:rPr>
        <w:t>采用一段闭路磨矿工艺，矿石粉由矿粉仓经DK1300圆盘给料机放矿到3#、4#皮带输送到MQG2436球磨机进行磨矿作业。然后进入FLG-24螺旋分级机进行分级，低于200目的矿浆进入搅拌浮选，大于200目的矿浆闭路返回球磨机再磨。</w:t>
      </w:r>
    </w:p>
    <w:p>
      <w:pPr>
        <w:pStyle w:val="88"/>
        <w:ind w:firstLine="480"/>
        <w:rPr>
          <w:color w:val="auto"/>
        </w:rPr>
      </w:pPr>
      <w:r>
        <w:rPr>
          <w:color w:val="auto"/>
        </w:rPr>
        <w:t>3、选矿工段</w:t>
      </w:r>
    </w:p>
    <w:p>
      <w:pPr>
        <w:pStyle w:val="88"/>
        <w:ind w:firstLine="480"/>
        <w:rPr>
          <w:color w:val="auto"/>
        </w:rPr>
      </w:pPr>
      <w:r>
        <w:rPr>
          <w:color w:val="auto"/>
        </w:rPr>
        <w:t>浮选铜工艺过程：</w:t>
      </w:r>
    </w:p>
    <w:p>
      <w:pPr>
        <w:pStyle w:val="88"/>
        <w:ind w:firstLine="480"/>
        <w:rPr>
          <w:color w:val="auto"/>
        </w:rPr>
      </w:pPr>
      <w:r>
        <w:rPr>
          <w:color w:val="auto"/>
        </w:rPr>
        <w:t>分级溢流直接进入GBJΦ3000×3000搅拌桶加药调浆后，矿浆自流到XCF-8充气式浮选机和KYF-8充气式浮选机中进行粗选铜作业，粗选铜精矿流到1台SF-4浮选机中进行精选，精选铜精矿经旋流器和DU9/1000带式过滤机过滤脱水、NZ-9浓缩机浓缩、XYZ20-45压滤机压滤后即为最终铜精矿，堆存至铜精矿堆场，精选尾矿返回到粗选流程。</w:t>
      </w:r>
    </w:p>
    <w:p>
      <w:pPr>
        <w:pStyle w:val="88"/>
        <w:ind w:firstLine="480"/>
        <w:rPr>
          <w:color w:val="auto"/>
        </w:rPr>
      </w:pPr>
      <w:r>
        <w:rPr>
          <w:color w:val="auto"/>
        </w:rPr>
        <w:t>铜粗选尾矿进入XCF-8充气式浮选机和KYF-8充气式浮选机进行扫选，铜</w:t>
      </w:r>
    </w:p>
    <w:p>
      <w:pPr>
        <w:pStyle w:val="88"/>
        <w:ind w:firstLine="480"/>
        <w:rPr>
          <w:color w:val="auto"/>
        </w:rPr>
      </w:pPr>
      <w:r>
        <w:rPr>
          <w:color w:val="auto"/>
        </w:rPr>
        <w:t>扫选精矿返回到粗选流程，铜扫选尾矿进入硫浮选过程。</w:t>
      </w:r>
    </w:p>
    <w:p>
      <w:pPr>
        <w:pStyle w:val="88"/>
        <w:ind w:firstLine="480"/>
        <w:rPr>
          <w:color w:val="auto"/>
        </w:rPr>
      </w:pPr>
      <w:r>
        <w:rPr>
          <w:color w:val="auto"/>
        </w:rPr>
        <w:t>浮选硫工艺过程：</w:t>
      </w:r>
    </w:p>
    <w:p>
      <w:pPr>
        <w:pStyle w:val="88"/>
        <w:ind w:firstLine="480"/>
        <w:rPr>
          <w:color w:val="auto"/>
        </w:rPr>
      </w:pPr>
      <w:r>
        <w:rPr>
          <w:color w:val="auto"/>
        </w:rPr>
        <w:t>铜扫选尾矿Φ2000搅拌桶调浆后，矿浆进入XCF-8充气式浮选机和KYF-8充气式浮选机中进行硫粗选作业，粗选硫精矿流到1台SF-4浮选机中进行精选，精选硫精矿经旋流器和DU20/1800带式过滤机过滤脱水、NZ-15浓缩机浓缩、XYZ60</w:t>
      </w:r>
      <w:r>
        <w:rPr>
          <w:color w:val="auto"/>
        </w:rPr>
        <w:tab/>
      </w:r>
      <w:r>
        <w:rPr>
          <w:color w:val="auto"/>
        </w:rPr>
        <w:t>/1000压滤机压滤后即为最终硫精矿，堆存至硫精矿堆场，精选尾矿返回到粗选流程。</w:t>
      </w:r>
    </w:p>
    <w:p>
      <w:pPr>
        <w:pStyle w:val="88"/>
        <w:ind w:firstLine="480"/>
        <w:rPr>
          <w:color w:val="auto"/>
        </w:rPr>
        <w:sectPr>
          <w:pgSz w:w="11906" w:h="16838"/>
          <w:pgMar w:top="1440" w:right="1797" w:bottom="1440" w:left="1797" w:header="851" w:footer="992" w:gutter="0"/>
          <w:cols w:space="425" w:num="1"/>
          <w:docGrid w:type="linesAndChars" w:linePitch="312" w:charSpace="0"/>
        </w:sectPr>
      </w:pPr>
      <w:r>
        <w:rPr>
          <w:color w:val="auto"/>
        </w:rPr>
        <w:t>硫粗选尾矿进入XCF-8充气式浮选机和KYF-8充气式浮选机进行扫选，硫扫选精矿返回到粗选流程，扫选尾矿进入尾矿库。现有选厂工程平面布置图见图2.1-4。</w:t>
      </w:r>
    </w:p>
    <w:p>
      <w:pPr>
        <w:pStyle w:val="88"/>
        <w:ind w:firstLine="422"/>
        <w:rPr>
          <w:color w:val="auto"/>
        </w:rPr>
        <w:sectPr>
          <w:pgSz w:w="16838" w:h="11906" w:orient="landscape"/>
          <w:pgMar w:top="1797" w:right="1440" w:bottom="1797" w:left="1440" w:header="851" w:footer="992" w:gutter="0"/>
          <w:cols w:space="425" w:num="1"/>
          <w:docGrid w:type="linesAndChars" w:linePitch="312" w:charSpace="0"/>
        </w:sectPr>
      </w:pPr>
      <w:r>
        <w:rPr>
          <w:b/>
          <w:color w:val="auto"/>
          <w:sz w:val="21"/>
          <w:szCs w:val="20"/>
        </w:rPr>
        <w:pict>
          <v:shape id="_x0000_s5358" o:spid="_x0000_s5358" o:spt="202" type="#_x0000_t202" style="position:absolute;left:0pt;margin-left:187.5pt;margin-top:410.4pt;height:21.75pt;width:267.75pt;z-index:251681792;mso-width-relative:page;mso-height-relative:page;" filled="f" stroked="f" coordsize="21600,21600">
            <v:path/>
            <v:fill on="f" focussize="0,0"/>
            <v:stroke on="f" joinstyle="miter"/>
            <v:imagedata o:title=""/>
            <o:lock v:ext="edit"/>
            <v:textbox>
              <w:txbxContent>
                <w:p>
                  <w:pPr>
                    <w:rPr>
                      <w:b/>
                    </w:rPr>
                  </w:pPr>
                  <w:r>
                    <w:rPr>
                      <w:rFonts w:hint="eastAsia"/>
                      <w:b/>
                    </w:rPr>
                    <w:t xml:space="preserve">图2.1-4  </w:t>
                  </w:r>
                  <w:r>
                    <w:rPr>
                      <w:rFonts w:hAnsi="宋体"/>
                      <w:b/>
                      <w:szCs w:val="20"/>
                    </w:rPr>
                    <w:t>现有</w:t>
                  </w:r>
                  <w:r>
                    <w:rPr>
                      <w:b/>
                      <w:szCs w:val="20"/>
                    </w:rPr>
                    <w:t>650t/d</w:t>
                  </w:r>
                  <w:r>
                    <w:rPr>
                      <w:rFonts w:hAnsi="宋体"/>
                      <w:b/>
                      <w:szCs w:val="20"/>
                    </w:rPr>
                    <w:t>浮选及办公生活区平面</w:t>
                  </w:r>
                  <w:r>
                    <w:rPr>
                      <w:rFonts w:hint="eastAsia" w:hAnsi="宋体"/>
                      <w:b/>
                      <w:szCs w:val="20"/>
                    </w:rPr>
                    <w:t>布置图</w:t>
                  </w:r>
                </w:p>
              </w:txbxContent>
            </v:textbox>
          </v:shape>
        </w:pict>
      </w:r>
      <w:r>
        <w:rPr>
          <w:b/>
          <w:color w:val="auto"/>
          <w:sz w:val="21"/>
          <w:szCs w:val="20"/>
        </w:rPr>
        <w:drawing>
          <wp:anchor distT="0" distB="0" distL="114300" distR="114300" simplePos="0" relativeHeight="251680768" behindDoc="1" locked="0" layoutInCell="1" allowOverlap="1">
            <wp:simplePos x="0" y="0"/>
            <wp:positionH relativeFrom="column">
              <wp:posOffset>9525</wp:posOffset>
            </wp:positionH>
            <wp:positionV relativeFrom="paragraph">
              <wp:posOffset>10795</wp:posOffset>
            </wp:positionV>
            <wp:extent cx="8863330" cy="5172075"/>
            <wp:effectExtent l="19050" t="19050" r="13970" b="28575"/>
            <wp:wrapNone/>
            <wp:docPr id="18" name="图片 18" descr="650平面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50平面图-Model"/>
                    <pic:cNvPicPr>
                      <a:picLocks noChangeAspect="1" noChangeArrowheads="1"/>
                    </pic:cNvPicPr>
                  </pic:nvPicPr>
                  <pic:blipFill>
                    <a:blip r:embed="rId20"/>
                    <a:srcRect/>
                    <a:stretch>
                      <a:fillRect/>
                    </a:stretch>
                  </pic:blipFill>
                  <pic:spPr>
                    <a:xfrm>
                      <a:off x="0" y="0"/>
                      <a:ext cx="8863330" cy="5172075"/>
                    </a:xfrm>
                    <a:prstGeom prst="rect">
                      <a:avLst/>
                    </a:prstGeom>
                    <a:noFill/>
                    <a:ln w="19050" cmpd="dbl">
                      <a:solidFill>
                        <a:srgbClr val="000000"/>
                      </a:solidFill>
                      <a:miter lim="800000"/>
                      <a:headEnd/>
                      <a:tailEnd/>
                    </a:ln>
                    <a:effectLst/>
                  </pic:spPr>
                </pic:pic>
              </a:graphicData>
            </a:graphic>
          </wp:anchor>
        </w:drawing>
      </w:r>
    </w:p>
    <w:p>
      <w:pPr>
        <w:pStyle w:val="88"/>
        <w:ind w:firstLine="480"/>
        <w:rPr>
          <w:color w:val="auto"/>
        </w:rPr>
      </w:pPr>
      <w:r>
        <w:rPr>
          <w:color w:val="auto"/>
        </w:rPr>
        <w:pict>
          <v:shape id="_x0000_s5359" o:spid="_x0000_s5359" o:spt="75" type="#_x0000_t75" style="position:absolute;left:0pt;margin-left:114.25pt;margin-top:73.65pt;height:623.25pt;width:402pt;mso-position-horizontal-relative:page;mso-position-vertical-relative:page;z-index:-251632640;mso-width-relative:page;mso-height-relative:page;" filled="f" o:preferrelative="t" stroked="t" coordsize="21600,21600">
            <v:path/>
            <v:fill on="f" focussize="0,0"/>
            <v:stroke weight="1.5pt" linestyle="thinThin"/>
            <v:imagedata r:id="rId21" o:title=""/>
            <o:lock v:ext="edit" aspectratio="t"/>
          </v:shape>
        </w:pict>
      </w: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p>
    <w:p>
      <w:pPr>
        <w:pStyle w:val="88"/>
        <w:ind w:firstLine="480"/>
        <w:rPr>
          <w:color w:val="auto"/>
        </w:rPr>
      </w:pPr>
      <w:r>
        <w:rPr>
          <w:color w:val="auto"/>
        </w:rPr>
        <w:pict>
          <v:shape id="_x0000_s5360" o:spid="_x0000_s5360" o:spt="202" type="#_x0000_t202" style="position:absolute;left:0pt;margin-left:138.15pt;margin-top:5.25pt;height:24.75pt;width:249pt;z-index:251684864;mso-width-relative:page;mso-height-relative:page;" filled="f" stroked="f" coordsize="21600,21600">
            <v:path/>
            <v:fill on="f" focussize="0,0"/>
            <v:stroke on="f" joinstyle="miter"/>
            <v:imagedata o:title=""/>
            <o:lock v:ext="edit"/>
            <v:textbox>
              <w:txbxContent>
                <w:p>
                  <w:r>
                    <w:rPr>
                      <w:rFonts w:hAnsi="宋体"/>
                      <w:b/>
                      <w:spacing w:val="2"/>
                      <w:szCs w:val="20"/>
                    </w:rPr>
                    <w:t>图</w:t>
                  </w:r>
                  <w:r>
                    <w:rPr>
                      <w:rFonts w:hint="eastAsia" w:hAnsi="宋体"/>
                      <w:b/>
                      <w:spacing w:val="2"/>
                      <w:szCs w:val="20"/>
                    </w:rPr>
                    <w:t>2</w:t>
                  </w:r>
                  <w:r>
                    <w:rPr>
                      <w:b/>
                      <w:spacing w:val="2"/>
                      <w:szCs w:val="20"/>
                    </w:rPr>
                    <w:t xml:space="preserve">.1-5 </w:t>
                  </w:r>
                  <w:r>
                    <w:rPr>
                      <w:rFonts w:hAnsi="宋体"/>
                      <w:b/>
                      <w:szCs w:val="20"/>
                    </w:rPr>
                    <w:t>现有</w:t>
                  </w:r>
                  <w:r>
                    <w:rPr>
                      <w:b/>
                      <w:szCs w:val="20"/>
                    </w:rPr>
                    <w:t>650t/d</w:t>
                  </w:r>
                  <w:r>
                    <w:rPr>
                      <w:rFonts w:hAnsi="宋体"/>
                      <w:b/>
                      <w:szCs w:val="20"/>
                    </w:rPr>
                    <w:t>浮选生产工艺及产污环节</w:t>
                  </w:r>
                  <w:r>
                    <w:rPr>
                      <w:rFonts w:hint="eastAsia" w:hAnsi="宋体"/>
                      <w:b/>
                      <w:szCs w:val="20"/>
                    </w:rPr>
                    <w:t>图</w:t>
                  </w:r>
                </w:p>
              </w:txbxContent>
            </v:textbox>
          </v:shape>
        </w:pict>
      </w:r>
    </w:p>
    <w:p>
      <w:pPr>
        <w:pStyle w:val="88"/>
        <w:ind w:firstLine="480"/>
        <w:rPr>
          <w:color w:val="auto"/>
        </w:rPr>
      </w:pPr>
    </w:p>
    <w:p>
      <w:pPr>
        <w:pStyle w:val="88"/>
        <w:ind w:firstLine="480"/>
        <w:rPr>
          <w:color w:val="auto"/>
        </w:rPr>
      </w:pPr>
    </w:p>
    <w:p>
      <w:pPr>
        <w:pStyle w:val="74"/>
      </w:pPr>
      <w:bookmarkStart w:id="185" w:name="_Toc470358610"/>
      <w:r>
        <w:t>2.1.3银家沟尾矿库工程概况</w:t>
      </w:r>
      <w:bookmarkEnd w:id="185"/>
    </w:p>
    <w:p>
      <w:pPr>
        <w:pStyle w:val="5"/>
        <w:rPr>
          <w:rFonts w:ascii="Times New Roman" w:hAnsi="Times New Roman"/>
        </w:rPr>
      </w:pPr>
      <w:bookmarkStart w:id="186" w:name="_Toc198719044"/>
      <w:bookmarkStart w:id="187" w:name="_Toc199133708"/>
      <w:bookmarkStart w:id="188" w:name="_Toc213577050"/>
      <w:bookmarkStart w:id="189" w:name="_Toc234687518"/>
      <w:bookmarkStart w:id="190" w:name="_Toc198719045"/>
      <w:bookmarkStart w:id="191" w:name="_Toc199133709"/>
      <w:bookmarkStart w:id="192" w:name="_Toc213577051"/>
      <w:bookmarkStart w:id="193" w:name="_Toc234687519"/>
      <w:bookmarkStart w:id="194" w:name="_Toc234687521"/>
      <w:bookmarkStart w:id="195" w:name="_Toc234687528"/>
      <w:r>
        <w:rPr>
          <w:rFonts w:ascii="Times New Roman" w:hAnsi="Times New Roman"/>
        </w:rPr>
        <w:t>2.1.3.1尾矿库类型</w:t>
      </w:r>
    </w:p>
    <w:p>
      <w:pPr>
        <w:pStyle w:val="88"/>
        <w:spacing w:line="360" w:lineRule="auto"/>
        <w:ind w:firstLine="480"/>
        <w:rPr>
          <w:color w:val="auto"/>
          <w:szCs w:val="20"/>
        </w:rPr>
      </w:pPr>
      <w:r>
        <w:rPr>
          <w:color w:val="auto"/>
          <w:szCs w:val="20"/>
        </w:rPr>
        <w:t>本项目尾矿库类型为山谷型尾矿库，尾矿库位于银家沟沟口上方370m位置。采用一面筑坝，在库区后部修筑有拦水坝，将库区后部汛期雨水直接通过风井导入排水系统排至库区下游水体。</w:t>
      </w:r>
    </w:p>
    <w:p>
      <w:pPr>
        <w:pStyle w:val="88"/>
        <w:spacing w:line="360" w:lineRule="auto"/>
        <w:ind w:firstLine="480"/>
        <w:rPr>
          <w:color w:val="auto"/>
          <w:szCs w:val="20"/>
        </w:rPr>
      </w:pPr>
      <w:r>
        <w:rPr>
          <w:color w:val="auto"/>
          <w:szCs w:val="20"/>
        </w:rPr>
        <w:t>初期坝坝型采用透水堆石坝。</w:t>
      </w:r>
    </w:p>
    <w:bookmarkEnd w:id="186"/>
    <w:bookmarkEnd w:id="187"/>
    <w:bookmarkEnd w:id="188"/>
    <w:bookmarkEnd w:id="189"/>
    <w:p>
      <w:pPr>
        <w:pStyle w:val="5"/>
        <w:rPr>
          <w:rFonts w:ascii="Times New Roman" w:hAnsi="Times New Roman"/>
        </w:rPr>
      </w:pPr>
      <w:r>
        <w:rPr>
          <w:rFonts w:ascii="Times New Roman" w:hAnsi="Times New Roman"/>
        </w:rPr>
        <w:t>2.1.3.2库容及使用年限</w:t>
      </w:r>
      <w:bookmarkEnd w:id="190"/>
      <w:bookmarkEnd w:id="191"/>
      <w:bookmarkEnd w:id="192"/>
    </w:p>
    <w:p>
      <w:pPr>
        <w:pStyle w:val="88"/>
        <w:spacing w:line="360" w:lineRule="auto"/>
        <w:ind w:firstLine="480"/>
        <w:rPr>
          <w:color w:val="auto"/>
          <w:szCs w:val="20"/>
        </w:rPr>
      </w:pPr>
      <w:r>
        <w:rPr>
          <w:color w:val="auto"/>
          <w:szCs w:val="20"/>
        </w:rPr>
        <w:t>根据库容计算结果，当终期坝坝顶标高为1060m时，几何库容为261.3万m</w:t>
      </w:r>
      <w:r>
        <w:rPr>
          <w:color w:val="auto"/>
          <w:szCs w:val="20"/>
          <w:vertAlign w:val="superscript"/>
        </w:rPr>
        <w:t>3</w:t>
      </w:r>
      <w:r>
        <w:rPr>
          <w:color w:val="auto"/>
          <w:szCs w:val="20"/>
        </w:rPr>
        <w:t>，可容纳418万吨尾矿砂。</w:t>
      </w:r>
    </w:p>
    <w:p>
      <w:pPr>
        <w:pStyle w:val="88"/>
        <w:spacing w:line="360" w:lineRule="auto"/>
        <w:ind w:firstLine="480"/>
        <w:rPr>
          <w:color w:val="auto"/>
          <w:szCs w:val="20"/>
        </w:rPr>
      </w:pPr>
      <w:r>
        <w:rPr>
          <w:color w:val="auto"/>
          <w:szCs w:val="20"/>
        </w:rPr>
        <w:t>尾矿库2005年投入使用，目前已消耗库容近91万m</w:t>
      </w:r>
      <w:r>
        <w:rPr>
          <w:color w:val="auto"/>
          <w:szCs w:val="20"/>
          <w:vertAlign w:val="superscript"/>
        </w:rPr>
        <w:t>3</w:t>
      </w:r>
      <w:r>
        <w:rPr>
          <w:color w:val="auto"/>
          <w:szCs w:val="20"/>
        </w:rPr>
        <w:t>，本尾矿库还剩有效库容为170×10</w:t>
      </w:r>
      <w:r>
        <w:rPr>
          <w:color w:val="auto"/>
          <w:szCs w:val="20"/>
          <w:vertAlign w:val="superscript"/>
        </w:rPr>
        <w:t>4</w:t>
      </w:r>
      <w:r>
        <w:rPr>
          <w:color w:val="auto"/>
          <w:szCs w:val="20"/>
        </w:rPr>
        <w:t>m</w:t>
      </w:r>
      <w:r>
        <w:rPr>
          <w:color w:val="auto"/>
          <w:szCs w:val="20"/>
          <w:vertAlign w:val="superscript"/>
        </w:rPr>
        <w:t>3</w:t>
      </w:r>
      <w:r>
        <w:rPr>
          <w:color w:val="auto"/>
          <w:szCs w:val="20"/>
        </w:rPr>
        <w:t>。</w:t>
      </w:r>
    </w:p>
    <w:p>
      <w:pPr>
        <w:pStyle w:val="5"/>
        <w:rPr>
          <w:rFonts w:ascii="Times New Roman" w:hAnsi="Times New Roman"/>
        </w:rPr>
      </w:pPr>
      <w:r>
        <w:rPr>
          <w:rFonts w:ascii="Times New Roman" w:hAnsi="Times New Roman"/>
        </w:rPr>
        <w:t>2.1.3.3尾矿库等级划分</w:t>
      </w:r>
    </w:p>
    <w:p>
      <w:pPr>
        <w:pStyle w:val="88"/>
        <w:spacing w:line="360" w:lineRule="auto"/>
        <w:ind w:firstLine="480"/>
        <w:rPr>
          <w:color w:val="auto"/>
          <w:szCs w:val="20"/>
        </w:rPr>
      </w:pPr>
      <w:r>
        <w:rPr>
          <w:color w:val="auto"/>
          <w:szCs w:val="20"/>
        </w:rPr>
        <w:t>根据库容计算结果，当终期坝坝顶标高为1060m时，几何库容为261.3万m</w:t>
      </w:r>
      <w:r>
        <w:rPr>
          <w:color w:val="auto"/>
          <w:szCs w:val="20"/>
          <w:vertAlign w:val="superscript"/>
        </w:rPr>
        <w:t>3</w:t>
      </w:r>
      <w:r>
        <w:rPr>
          <w:color w:val="auto"/>
          <w:szCs w:val="20"/>
        </w:rPr>
        <w:t>，初期坝坝低标高为1000m，总坝高为60m。尾矿库下游无重要城镇、工矿企业及交通干线。该尾矿库为三等库。</w:t>
      </w:r>
    </w:p>
    <w:bookmarkEnd w:id="193"/>
    <w:p>
      <w:pPr>
        <w:pStyle w:val="5"/>
        <w:rPr>
          <w:rFonts w:ascii="Times New Roman" w:hAnsi="Times New Roman"/>
        </w:rPr>
      </w:pPr>
      <w:r>
        <w:rPr>
          <w:rFonts w:ascii="Times New Roman" w:hAnsi="Times New Roman"/>
        </w:rPr>
        <w:t>2.1.3.6初期坝、堆积坝</w:t>
      </w:r>
    </w:p>
    <w:p>
      <w:pPr>
        <w:jc w:val="left"/>
        <w:rPr>
          <w:rFonts w:eastAsia="黑体"/>
          <w:sz w:val="22"/>
          <w:szCs w:val="22"/>
        </w:rPr>
      </w:pPr>
      <w:r>
        <w:rPr>
          <w:rFonts w:eastAsia="黑体"/>
          <w:sz w:val="22"/>
          <w:szCs w:val="22"/>
        </w:rPr>
        <w:t xml:space="preserve">   表2.1-6                    初期坝、堆积坝特征表</w:t>
      </w:r>
    </w:p>
    <w:tbl>
      <w:tblPr>
        <w:tblStyle w:val="54"/>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102" w:type="dxa"/>
            <w:vAlign w:val="center"/>
          </w:tcPr>
          <w:p>
            <w:pPr>
              <w:spacing w:line="240" w:lineRule="exact"/>
              <w:jc w:val="center"/>
              <w:rPr>
                <w:szCs w:val="21"/>
              </w:rPr>
            </w:pPr>
            <w:r>
              <w:rPr>
                <w:szCs w:val="21"/>
              </w:rPr>
              <w:t>项目</w:t>
            </w:r>
          </w:p>
        </w:tc>
        <w:tc>
          <w:tcPr>
            <w:tcW w:w="7426" w:type="dxa"/>
            <w:vAlign w:val="center"/>
          </w:tcPr>
          <w:p>
            <w:pPr>
              <w:spacing w:line="240" w:lineRule="exact"/>
              <w:jc w:val="center"/>
              <w:rPr>
                <w:szCs w:val="21"/>
              </w:rPr>
            </w:pPr>
            <w:r>
              <w:rPr>
                <w:szCs w:val="21"/>
              </w:rPr>
              <w:t>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1102" w:type="dxa"/>
            <w:vAlign w:val="center"/>
          </w:tcPr>
          <w:p>
            <w:pPr>
              <w:spacing w:line="240" w:lineRule="exact"/>
              <w:jc w:val="center"/>
              <w:rPr>
                <w:szCs w:val="21"/>
              </w:rPr>
            </w:pPr>
            <w:r>
              <w:rPr>
                <w:szCs w:val="21"/>
              </w:rPr>
              <w:t>初期坝组成</w:t>
            </w:r>
          </w:p>
        </w:tc>
        <w:tc>
          <w:tcPr>
            <w:tcW w:w="7426" w:type="dxa"/>
            <w:vAlign w:val="center"/>
          </w:tcPr>
          <w:p>
            <w:pPr>
              <w:spacing w:line="240" w:lineRule="exact"/>
              <w:rPr>
                <w:szCs w:val="21"/>
              </w:rPr>
            </w:pPr>
            <w:r>
              <w:rPr>
                <w:szCs w:val="21"/>
              </w:rPr>
              <w:t>透水堆石坝，由坝体、上下游干砌石护坡及坝肩截洪沟，上游面反滤层、坝体位移、侵润线观测设施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1102" w:type="dxa"/>
            <w:vAlign w:val="center"/>
          </w:tcPr>
          <w:p>
            <w:pPr>
              <w:spacing w:line="240" w:lineRule="exact"/>
              <w:jc w:val="center"/>
              <w:rPr>
                <w:szCs w:val="21"/>
              </w:rPr>
            </w:pPr>
            <w:r>
              <w:rPr>
                <w:szCs w:val="21"/>
              </w:rPr>
              <w:t>初期坝坝体规格</w:t>
            </w:r>
          </w:p>
        </w:tc>
        <w:tc>
          <w:tcPr>
            <w:tcW w:w="7426" w:type="dxa"/>
            <w:vAlign w:val="center"/>
          </w:tcPr>
          <w:p>
            <w:pPr>
              <w:spacing w:line="240" w:lineRule="exact"/>
              <w:rPr>
                <w:szCs w:val="21"/>
              </w:rPr>
            </w:pPr>
            <w:r>
              <w:rPr>
                <w:szCs w:val="21"/>
              </w:rPr>
              <w:t>标高1020m、高20m，顶宽4m，标高1010m处设置2m马道，上游坡比1:1.6m，下游坡比1:1.8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jc w:val="center"/>
        </w:trPr>
        <w:tc>
          <w:tcPr>
            <w:tcW w:w="1102" w:type="dxa"/>
            <w:vAlign w:val="center"/>
          </w:tcPr>
          <w:p>
            <w:pPr>
              <w:spacing w:line="240" w:lineRule="exact"/>
              <w:jc w:val="center"/>
              <w:rPr>
                <w:szCs w:val="21"/>
              </w:rPr>
            </w:pPr>
            <w:r>
              <w:rPr>
                <w:szCs w:val="21"/>
              </w:rPr>
              <w:t>堆积坝坝体规格</w:t>
            </w:r>
          </w:p>
        </w:tc>
        <w:tc>
          <w:tcPr>
            <w:tcW w:w="7426" w:type="dxa"/>
            <w:vAlign w:val="center"/>
          </w:tcPr>
          <w:p>
            <w:pPr>
              <w:spacing w:line="240" w:lineRule="exact"/>
              <w:rPr>
                <w:szCs w:val="21"/>
              </w:rPr>
            </w:pPr>
            <w:r>
              <w:rPr>
                <w:szCs w:val="21"/>
              </w:rPr>
              <w:t>冲积法筑坝。尾砂堆积坝坝顶宽度2m，高度2m，上游坡比1:1，下游坡度1:2，分层夯实共筑二十级堆积坝，第二十级堆积坝坝顶宽15m，高度为2m，下游平均坡比1:4。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102" w:type="dxa"/>
            <w:vAlign w:val="center"/>
          </w:tcPr>
          <w:p>
            <w:pPr>
              <w:spacing w:line="240" w:lineRule="exact"/>
              <w:jc w:val="center"/>
              <w:rPr>
                <w:szCs w:val="21"/>
              </w:rPr>
            </w:pPr>
            <w:r>
              <w:rPr>
                <w:szCs w:val="21"/>
              </w:rPr>
              <w:t>排渗水沟</w:t>
            </w:r>
          </w:p>
        </w:tc>
        <w:tc>
          <w:tcPr>
            <w:tcW w:w="7426" w:type="dxa"/>
            <w:vAlign w:val="center"/>
          </w:tcPr>
          <w:p>
            <w:pPr>
              <w:spacing w:line="240" w:lineRule="exact"/>
              <w:rPr>
                <w:szCs w:val="21"/>
              </w:rPr>
            </w:pPr>
            <w:r>
              <w:rPr>
                <w:szCs w:val="21"/>
              </w:rPr>
              <w:t>初期坝下游坡脚、沿坝脚横向设渗水排水沟，两端以自然地形的坡度流向中间部位纵向排水沟（断面尺寸B×H=0.5m×0.5m），由中间引至下游，断面400×500mm浆砌石结构。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102" w:type="dxa"/>
            <w:vAlign w:val="center"/>
          </w:tcPr>
          <w:p>
            <w:pPr>
              <w:spacing w:line="240" w:lineRule="exact"/>
              <w:jc w:val="center"/>
              <w:rPr>
                <w:szCs w:val="21"/>
              </w:rPr>
            </w:pPr>
            <w:r>
              <w:rPr>
                <w:szCs w:val="21"/>
              </w:rPr>
              <w:t>排渗</w:t>
            </w:r>
          </w:p>
        </w:tc>
        <w:tc>
          <w:tcPr>
            <w:tcW w:w="7426" w:type="dxa"/>
            <w:vAlign w:val="center"/>
          </w:tcPr>
          <w:p>
            <w:pPr>
              <w:adjustRightInd w:val="0"/>
              <w:spacing w:line="240" w:lineRule="exact"/>
              <w:rPr>
                <w:szCs w:val="21"/>
              </w:rPr>
            </w:pPr>
            <w:r>
              <w:rPr>
                <w:szCs w:val="21"/>
              </w:rPr>
              <w:t>坝堆石体上游设反滤层和保护层，反滤层由砂、砾、卵石组成，粒径沿渗流方向由细到粗。堆石体下游干砌石护坡，下游坡坝脚设横向渗水排水沟，两端以自然地形坡度流向中间部位引至下游，其断面为宽×深=0.4×0.5m。</w:t>
            </w:r>
          </w:p>
          <w:p>
            <w:pPr>
              <w:spacing w:line="240" w:lineRule="exact"/>
              <w:rPr>
                <w:szCs w:val="21"/>
              </w:rPr>
            </w:pPr>
            <w:r>
              <w:rPr>
                <w:szCs w:val="21"/>
              </w:rPr>
              <w:t>坝顶埋设纵向排渗管一排8根，其横向间距为8m，管内径为80mm，采用钢管或高强度塑料管，单根长35m，其中钻孔段28m，不钻孔段7m。钻孔段外包透水土工布，土工布400g/cm</w:t>
            </w:r>
            <w:r>
              <w:rPr>
                <w:szCs w:val="21"/>
                <w:vertAlign w:val="superscript"/>
              </w:rPr>
              <w:t>2</w:t>
            </w:r>
            <w:r>
              <w:rPr>
                <w:szCs w:val="21"/>
              </w:rPr>
              <w:t>，并将其库内关口堵死。在初期坝坝顶和第二级堆积坝坝顶设渗水排水沟，以后每隔两级堆积坝均设置同样的排渗沟，其断面为宽×深=0.4×0.5m，浆砌石结构，以1%的坡度流向两端，与坝肩截水沟相通。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102" w:type="dxa"/>
            <w:vAlign w:val="center"/>
          </w:tcPr>
          <w:p>
            <w:pPr>
              <w:spacing w:line="240" w:lineRule="exact"/>
              <w:jc w:val="center"/>
              <w:rPr>
                <w:szCs w:val="21"/>
              </w:rPr>
            </w:pPr>
            <w:r>
              <w:rPr>
                <w:szCs w:val="21"/>
              </w:rPr>
              <w:t>护坡</w:t>
            </w:r>
          </w:p>
        </w:tc>
        <w:tc>
          <w:tcPr>
            <w:tcW w:w="7426" w:type="dxa"/>
            <w:vAlign w:val="center"/>
          </w:tcPr>
          <w:p>
            <w:pPr>
              <w:adjustRightInd w:val="0"/>
              <w:spacing w:line="240" w:lineRule="exact"/>
              <w:rPr>
                <w:szCs w:val="21"/>
              </w:rPr>
            </w:pPr>
            <w:r>
              <w:rPr>
                <w:szCs w:val="21"/>
              </w:rPr>
              <w:t>下游坡面采用覆土、植草等措施，覆土厚度0.3m。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102" w:type="dxa"/>
            <w:vAlign w:val="center"/>
          </w:tcPr>
          <w:p>
            <w:pPr>
              <w:spacing w:line="240" w:lineRule="exact"/>
              <w:jc w:val="center"/>
              <w:rPr>
                <w:szCs w:val="21"/>
              </w:rPr>
            </w:pPr>
            <w:r>
              <w:rPr>
                <w:szCs w:val="21"/>
              </w:rPr>
              <w:t>坝肩截洪沟</w:t>
            </w:r>
          </w:p>
        </w:tc>
        <w:tc>
          <w:tcPr>
            <w:tcW w:w="7426" w:type="dxa"/>
            <w:vAlign w:val="center"/>
          </w:tcPr>
          <w:p>
            <w:pPr>
              <w:adjustRightInd w:val="0"/>
              <w:spacing w:line="240" w:lineRule="exact"/>
              <w:rPr>
                <w:szCs w:val="21"/>
              </w:rPr>
            </w:pPr>
            <w:r>
              <w:rPr>
                <w:szCs w:val="21"/>
              </w:rPr>
              <w:t>岸坡上沿坝角顺地形地势设置坝肩截洪沟，从终期坝顶向下分别与初期坝的坝肩截洪沟相连，其作用使排除渗水和截排水山坡雨水，以防止山坡雨水直接冲刷坝肩及坝体，全部采用浆砌石砌筑，其断面为宽×深=600×800mm，其沟底标高地域横向坝顶排水沟底标高0.3m，每期堆积坝的坝肩排水沟口伸入库内，伸入库内的沟口采用扇形扩宽，沟底及两边部分采用尾砂编织袋砌护。</w:t>
            </w:r>
          </w:p>
        </w:tc>
      </w:tr>
    </w:tbl>
    <w:p>
      <w:pPr>
        <w:pStyle w:val="5"/>
      </w:pPr>
      <w:r>
        <w:t>2.1.3.7最终堆积坝坝顶标高</w:t>
      </w:r>
    </w:p>
    <w:p>
      <w:pPr>
        <w:spacing w:line="360" w:lineRule="auto"/>
        <w:ind w:firstLine="480" w:firstLineChars="200"/>
        <w:rPr>
          <w:rFonts w:eastAsiaTheme="majorEastAsia"/>
          <w:bCs/>
          <w:sz w:val="24"/>
        </w:rPr>
      </w:pPr>
      <w:r>
        <w:rPr>
          <w:rFonts w:eastAsiaTheme="majorEastAsia"/>
          <w:bCs/>
          <w:sz w:val="24"/>
        </w:rPr>
        <w:t>设计终期坝坝顶标高为1060m。</w:t>
      </w:r>
    </w:p>
    <w:bookmarkEnd w:id="194"/>
    <w:p>
      <w:pPr>
        <w:pStyle w:val="5"/>
      </w:pPr>
      <w:r>
        <w:t>2.1.3.8尾矿库排水排洪方案</w:t>
      </w:r>
    </w:p>
    <w:p>
      <w:pPr>
        <w:spacing w:line="360" w:lineRule="auto"/>
        <w:ind w:firstLine="480" w:firstLineChars="200"/>
        <w:rPr>
          <w:rFonts w:eastAsiaTheme="majorEastAsia"/>
          <w:sz w:val="24"/>
        </w:rPr>
      </w:pPr>
      <w:r>
        <w:rPr>
          <w:rFonts w:eastAsiaTheme="majorEastAsia"/>
          <w:sz w:val="24"/>
        </w:rPr>
        <w:t>排水、排洪系统库外采用拦洪坝-排水隧洞方案，库内设计为窗口井+排水隧洞方案。确定的隧洞断面尺寸为B×H=1.8m×1.8m，直壁圆拱型。</w:t>
      </w:r>
    </w:p>
    <w:p>
      <w:pPr>
        <w:spacing w:line="360" w:lineRule="auto"/>
        <w:ind w:firstLine="480" w:firstLineChars="200"/>
        <w:rPr>
          <w:rFonts w:eastAsiaTheme="majorEastAsia"/>
          <w:sz w:val="24"/>
        </w:rPr>
      </w:pPr>
      <w:r>
        <w:rPr>
          <w:rFonts w:eastAsiaTheme="majorEastAsia"/>
          <w:sz w:val="24"/>
        </w:rPr>
        <w:t>拦洪坝为均质土坝，坝高10m，坝顶宽3m，上游坡比1:1.6，上游坡面采用三七土、不透水土工布作防水层防水，下游坡比1:1.5，浆砌毛石护坡、砂浆勾缝。上游来水通过废弃风井进入左侧排水隧洞导入下游。</w:t>
      </w:r>
    </w:p>
    <w:p>
      <w:pPr>
        <w:spacing w:line="360" w:lineRule="auto"/>
        <w:ind w:firstLine="480" w:firstLineChars="200"/>
        <w:rPr>
          <w:rFonts w:eastAsiaTheme="majorEastAsia"/>
          <w:sz w:val="24"/>
        </w:rPr>
      </w:pPr>
      <w:r>
        <w:rPr>
          <w:rFonts w:eastAsiaTheme="majorEastAsia"/>
          <w:sz w:val="24"/>
        </w:rPr>
        <w:t>库内排水井坐落于基岩上，壁厚0.3m，直径2.4m。排水隧洞采用直壁圆拱型，断面尺寸为B×H=1.8m×1.8m。支隧洞采用直壁圆拱型，直壁高1.2m，拱高0.4m，宽1.6m。</w:t>
      </w:r>
    </w:p>
    <w:p>
      <w:pPr>
        <w:pStyle w:val="5"/>
      </w:pPr>
      <w:r>
        <w:t>2.1.3.9尾矿排放方式</w:t>
      </w:r>
      <w:bookmarkEnd w:id="195"/>
    </w:p>
    <w:p>
      <w:pPr>
        <w:spacing w:line="360" w:lineRule="auto"/>
        <w:ind w:firstLine="480" w:firstLineChars="200"/>
        <w:rPr>
          <w:rFonts w:eastAsiaTheme="majorEastAsia"/>
          <w:sz w:val="24"/>
        </w:rPr>
      </w:pPr>
      <w:bookmarkStart w:id="196" w:name="_Toc234687530"/>
      <w:bookmarkStart w:id="197" w:name="_Toc234687531"/>
      <w:r>
        <w:rPr>
          <w:rFonts w:eastAsiaTheme="majorEastAsia"/>
          <w:sz w:val="24"/>
        </w:rPr>
        <w:t>尾矿自选矿厂流出后用直径150mmPVC管沿地形铺设自流输送至库区坝前向库内分散放矿。</w:t>
      </w:r>
      <w:bookmarkEnd w:id="196"/>
      <w:r>
        <w:rPr>
          <w:rFonts w:eastAsiaTheme="majorEastAsia"/>
          <w:sz w:val="24"/>
        </w:rPr>
        <w:t>尾矿排放为湿式排放，采用上游法筑坝，尾矿分层堆筑。</w:t>
      </w:r>
    </w:p>
    <w:p>
      <w:pPr>
        <w:pStyle w:val="5"/>
      </w:pPr>
      <w:r>
        <w:t>2.1.3.10尾矿库</w:t>
      </w:r>
      <w:bookmarkEnd w:id="197"/>
      <w:r>
        <w:t>下游废水处理站及事故水池</w:t>
      </w:r>
    </w:p>
    <w:p>
      <w:pPr>
        <w:spacing w:line="360" w:lineRule="auto"/>
        <w:ind w:firstLine="480" w:firstLineChars="200"/>
        <w:rPr>
          <w:rFonts w:eastAsiaTheme="majorEastAsia"/>
          <w:sz w:val="24"/>
        </w:rPr>
      </w:pPr>
      <w:r>
        <w:rPr>
          <w:rFonts w:eastAsiaTheme="majorEastAsia"/>
          <w:sz w:val="24"/>
        </w:rPr>
        <w:t>1、废水处理站</w:t>
      </w:r>
    </w:p>
    <w:p>
      <w:pPr>
        <w:spacing w:line="360" w:lineRule="auto"/>
        <w:ind w:firstLine="480" w:firstLineChars="200"/>
        <w:rPr>
          <w:rFonts w:eastAsiaTheme="majorEastAsia"/>
          <w:sz w:val="24"/>
        </w:rPr>
      </w:pPr>
      <w:r>
        <w:rPr>
          <w:rFonts w:eastAsiaTheme="majorEastAsia"/>
          <w:sz w:val="24"/>
        </w:rPr>
        <w:t>尾矿库下游建设有200t/h废水处理站2座，采用添加聚丙烯酰胺絮凝法进行尾矿库废水的处理。处理后废水与矿坑涌水一起排放至下游水体。</w:t>
      </w:r>
    </w:p>
    <w:p>
      <w:pPr>
        <w:spacing w:line="360" w:lineRule="auto"/>
        <w:ind w:firstLine="480" w:firstLineChars="200"/>
        <w:rPr>
          <w:rFonts w:eastAsiaTheme="majorEastAsia"/>
          <w:sz w:val="24"/>
        </w:rPr>
      </w:pPr>
      <w:r>
        <w:rPr>
          <w:rFonts w:eastAsiaTheme="majorEastAsia"/>
          <w:sz w:val="24"/>
        </w:rPr>
        <w:t>2、事故水池</w:t>
      </w:r>
    </w:p>
    <w:p>
      <w:pPr>
        <w:spacing w:line="360" w:lineRule="auto"/>
        <w:ind w:firstLine="480" w:firstLineChars="200"/>
        <w:rPr>
          <w:rFonts w:eastAsiaTheme="majorEastAsia"/>
          <w:sz w:val="24"/>
        </w:rPr>
      </w:pPr>
      <w:r>
        <w:rPr>
          <w:rFonts w:eastAsiaTheme="majorEastAsia"/>
          <w:sz w:val="24"/>
        </w:rPr>
        <w:t>尾矿库下游现有事故水池一座，规格为长×宽×高=71.5m×17.5m×1.5m.</w:t>
      </w:r>
    </w:p>
    <w:p>
      <w:pPr>
        <w:pStyle w:val="5"/>
      </w:pPr>
      <w:r>
        <w:t>2.1.3.11尾矿库现状</w:t>
      </w:r>
    </w:p>
    <w:p>
      <w:pPr>
        <w:spacing w:line="360" w:lineRule="auto"/>
        <w:ind w:firstLine="480" w:firstLineChars="200"/>
        <w:rPr>
          <w:rFonts w:eastAsiaTheme="majorEastAsia"/>
          <w:sz w:val="24"/>
        </w:rPr>
      </w:pPr>
      <w:r>
        <w:rPr>
          <w:rFonts w:eastAsiaTheme="majorEastAsia"/>
          <w:sz w:val="24"/>
        </w:rPr>
        <w:t>根据甲方提供的相关材料、图纸以及评价人员现场踏勘，现将银家沟硫铁矿尾矿库现状简介如下：</w:t>
      </w:r>
    </w:p>
    <w:p>
      <w:pPr>
        <w:numPr>
          <w:ilvl w:val="0"/>
          <w:numId w:val="2"/>
        </w:numPr>
        <w:spacing w:line="360" w:lineRule="auto"/>
        <w:rPr>
          <w:rFonts w:eastAsiaTheme="majorEastAsia"/>
          <w:sz w:val="24"/>
        </w:rPr>
      </w:pPr>
      <w:r>
        <w:rPr>
          <w:rFonts w:eastAsiaTheme="majorEastAsia"/>
          <w:sz w:val="24"/>
        </w:rPr>
        <w:t>初期坝</w:t>
      </w:r>
    </w:p>
    <w:p>
      <w:pPr>
        <w:spacing w:line="360" w:lineRule="auto"/>
        <w:ind w:firstLine="480" w:firstLineChars="200"/>
        <w:rPr>
          <w:rFonts w:eastAsiaTheme="majorEastAsia"/>
          <w:sz w:val="24"/>
        </w:rPr>
      </w:pPr>
      <w:r>
        <w:rPr>
          <w:rFonts w:eastAsiaTheme="majorEastAsia"/>
          <w:sz w:val="24"/>
        </w:rPr>
        <w:t>初期坝为透水堆石坝，坝顶标高+1020m，坝高约20 m，坝顶宽3.5m，坝顶长65.7m，下游坡比1:1.8，上游坡比1:1.6。初期坝外坡设有两条马道，标高 +1006m马道宽2.0m，标高+1011m处马道宽1.5m。</w:t>
      </w:r>
    </w:p>
    <w:p>
      <w:pPr>
        <w:spacing w:line="360" w:lineRule="auto"/>
        <w:ind w:firstLine="480" w:firstLineChars="200"/>
        <w:rPr>
          <w:rFonts w:eastAsiaTheme="majorEastAsia"/>
          <w:sz w:val="24"/>
        </w:rPr>
      </w:pPr>
      <w:r>
        <w:rPr>
          <w:rFonts w:eastAsiaTheme="majorEastAsia"/>
          <w:sz w:val="24"/>
        </w:rPr>
        <w:t>初期坝两坝肩设有浆砌石截洪沟，断面尺寸B×H=0.8m×0.5m；初期坝外坡中部设有纵向排水沟，断面尺寸B×H=0.5m×0.5m。</w:t>
      </w:r>
    </w:p>
    <w:p>
      <w:pPr>
        <w:topLinePunct/>
        <w:spacing w:line="360" w:lineRule="auto"/>
        <w:ind w:firstLine="480" w:firstLineChars="200"/>
        <w:rPr>
          <w:rFonts w:eastAsiaTheme="majorEastAsia"/>
          <w:sz w:val="24"/>
        </w:rPr>
      </w:pPr>
      <w:r>
        <w:rPr>
          <w:rFonts w:eastAsiaTheme="majorEastAsia"/>
          <w:sz w:val="24"/>
        </w:rPr>
        <w:t>初期坝坝体未发现沉陷、裂缝、坍塌、滑坡现象，未发现坝体变形。</w:t>
      </w:r>
    </w:p>
    <w:p>
      <w:pPr>
        <w:tabs>
          <w:tab w:val="left" w:pos="3300"/>
        </w:tabs>
        <w:spacing w:line="360" w:lineRule="auto"/>
        <w:ind w:firstLine="480" w:firstLineChars="200"/>
        <w:rPr>
          <w:rFonts w:eastAsiaTheme="majorEastAsia"/>
          <w:sz w:val="24"/>
        </w:rPr>
      </w:pPr>
      <w:r>
        <w:rPr>
          <w:rFonts w:eastAsiaTheme="majorEastAsia"/>
          <w:sz w:val="24"/>
        </w:rPr>
        <w:t>2、堆积坝</w:t>
      </w:r>
    </w:p>
    <w:p>
      <w:pPr>
        <w:spacing w:line="360" w:lineRule="auto"/>
        <w:ind w:firstLine="480" w:firstLineChars="200"/>
        <w:rPr>
          <w:rFonts w:eastAsiaTheme="majorEastAsia"/>
          <w:sz w:val="24"/>
        </w:rPr>
      </w:pPr>
      <w:r>
        <w:rPr>
          <w:rFonts w:eastAsiaTheme="majorEastAsia"/>
          <w:sz w:val="24"/>
        </w:rPr>
        <w:t>硫铁矿尾矿库堆积坝采用上游式冲击法筑坝，已堆积六级子坝，第六级子坝尚未形成坝顶平台宽度。</w:t>
      </w:r>
    </w:p>
    <w:p>
      <w:pPr>
        <w:spacing w:line="360" w:lineRule="auto"/>
        <w:ind w:firstLine="480" w:firstLineChars="200"/>
        <w:rPr>
          <w:rFonts w:eastAsiaTheme="majorEastAsia"/>
          <w:sz w:val="24"/>
        </w:rPr>
      </w:pPr>
      <w:r>
        <w:rPr>
          <w:rFonts w:eastAsiaTheme="majorEastAsia"/>
          <w:sz w:val="24"/>
        </w:rPr>
        <w:t>初期坝留设平台宽度10m，一级子坝坝高6m，外坡比1:2，坝坡覆土植草护坡，一级子坝坝坡脚设置有横向排水沟，断面尺寸为B×H=0.4m×0.4m；坝坡覆土植草护坡。</w:t>
      </w:r>
    </w:p>
    <w:p>
      <w:pPr>
        <w:spacing w:line="360" w:lineRule="auto"/>
        <w:ind w:firstLine="480" w:firstLineChars="200"/>
        <w:rPr>
          <w:rFonts w:eastAsiaTheme="majorEastAsia"/>
          <w:sz w:val="24"/>
        </w:rPr>
      </w:pPr>
      <w:r>
        <w:rPr>
          <w:rFonts w:eastAsiaTheme="majorEastAsia"/>
          <w:sz w:val="24"/>
        </w:rPr>
        <w:t>二级子坝留设平台宽度20m，二级子坝高4m，坝顶宽3m，外坡比约1:2。</w:t>
      </w:r>
    </w:p>
    <w:p>
      <w:pPr>
        <w:spacing w:line="360" w:lineRule="auto"/>
        <w:ind w:firstLine="480" w:firstLineChars="200"/>
        <w:rPr>
          <w:rFonts w:eastAsiaTheme="majorEastAsia"/>
          <w:sz w:val="24"/>
        </w:rPr>
      </w:pPr>
      <w:r>
        <w:rPr>
          <w:rFonts w:eastAsiaTheme="majorEastAsia"/>
          <w:sz w:val="24"/>
        </w:rPr>
        <w:t>三级子坝坝高2m，坝顶宽2m，外坡比约1:2，坝坡覆土植草护坡。三级子坝坝坡脚设置有横向排水沟，断面尺寸为B×H=0.4m×0.4m，砖砌混凝土结构。</w:t>
      </w:r>
    </w:p>
    <w:p>
      <w:pPr>
        <w:spacing w:line="360" w:lineRule="auto"/>
        <w:ind w:firstLine="480" w:firstLineChars="200"/>
        <w:rPr>
          <w:rFonts w:eastAsiaTheme="majorEastAsia"/>
          <w:sz w:val="24"/>
        </w:rPr>
      </w:pPr>
      <w:r>
        <w:rPr>
          <w:rFonts w:eastAsiaTheme="majorEastAsia"/>
          <w:sz w:val="24"/>
        </w:rPr>
        <w:t>四级子坝坝高2m，坝顶宽4m，外坡比约1:2，坝坡覆土植草护坡。</w:t>
      </w:r>
    </w:p>
    <w:p>
      <w:pPr>
        <w:spacing w:line="360" w:lineRule="auto"/>
        <w:ind w:firstLine="480" w:firstLineChars="200"/>
        <w:rPr>
          <w:rFonts w:eastAsiaTheme="majorEastAsia"/>
          <w:sz w:val="24"/>
        </w:rPr>
      </w:pPr>
      <w:r>
        <w:rPr>
          <w:rFonts w:eastAsiaTheme="majorEastAsia"/>
          <w:sz w:val="24"/>
        </w:rPr>
        <w:t>五级子坝坝高2m，顶宽3.5m，外坡比约1:2，坝坡覆土植草护坡。五级子坝坝坡脚设置有横向排水沟，断面尺寸为B×H=0.4m×0.4m，砖砌混凝土结构。水平排渗管为钢管，一排6个，内径50mm，坝坡覆土植草护坡。</w:t>
      </w:r>
    </w:p>
    <w:p>
      <w:pPr>
        <w:spacing w:line="360" w:lineRule="auto"/>
        <w:ind w:firstLine="480" w:firstLineChars="200"/>
        <w:rPr>
          <w:rFonts w:eastAsiaTheme="majorEastAsia"/>
          <w:sz w:val="24"/>
        </w:rPr>
      </w:pPr>
      <w:r>
        <w:rPr>
          <w:rFonts w:eastAsiaTheme="majorEastAsia"/>
          <w:sz w:val="24"/>
        </w:rPr>
        <w:t>六级子坝坝高3m，外坡比1：2，未进行覆土护坡。</w:t>
      </w:r>
    </w:p>
    <w:p>
      <w:pPr>
        <w:spacing w:line="360" w:lineRule="auto"/>
        <w:ind w:firstLine="480" w:firstLineChars="200"/>
        <w:rPr>
          <w:rFonts w:eastAsiaTheme="majorEastAsia"/>
          <w:sz w:val="24"/>
        </w:rPr>
      </w:pPr>
      <w:r>
        <w:rPr>
          <w:rFonts w:eastAsiaTheme="majorEastAsia"/>
          <w:sz w:val="24"/>
        </w:rPr>
        <w:t>堆积坝左坝肩排水沟断面b×h=1.0m×1.0m，右坝肩排水沟断面b×h=0.8m×0.8m。堆积坝总坝高19m，平均外坡比为1:4.2。</w:t>
      </w:r>
    </w:p>
    <w:p>
      <w:pPr>
        <w:spacing w:line="360" w:lineRule="auto"/>
        <w:ind w:firstLine="480" w:firstLineChars="200"/>
        <w:rPr>
          <w:rFonts w:eastAsiaTheme="majorEastAsia"/>
          <w:sz w:val="24"/>
        </w:rPr>
      </w:pPr>
      <w:r>
        <w:rPr>
          <w:rFonts w:eastAsiaTheme="majorEastAsia"/>
          <w:sz w:val="24"/>
        </w:rPr>
        <w:t>3、排渗设施</w:t>
      </w:r>
    </w:p>
    <w:p>
      <w:pPr>
        <w:spacing w:line="360" w:lineRule="auto"/>
        <w:ind w:firstLine="480" w:firstLineChars="200"/>
        <w:rPr>
          <w:rFonts w:eastAsiaTheme="majorEastAsia"/>
          <w:sz w:val="24"/>
        </w:rPr>
      </w:pPr>
      <w:r>
        <w:rPr>
          <w:rFonts w:eastAsiaTheme="majorEastAsia"/>
          <w:sz w:val="24"/>
        </w:rPr>
        <w:t>初期坝内坡设置有反滤层。经现场踏勘，在一级子坝坝脚有6根pvc排渗管，内径50mm，在二级子坝坝顶、四级子坝坝顶均设置有水平排渗钢管，一排6个，内径50mm。</w:t>
      </w:r>
    </w:p>
    <w:p>
      <w:pPr>
        <w:spacing w:line="360" w:lineRule="auto"/>
        <w:ind w:firstLine="480" w:firstLineChars="200"/>
        <w:rPr>
          <w:rFonts w:eastAsiaTheme="majorEastAsia"/>
          <w:sz w:val="24"/>
        </w:rPr>
      </w:pPr>
      <w:r>
        <w:rPr>
          <w:rFonts w:eastAsiaTheme="majorEastAsia"/>
          <w:sz w:val="24"/>
        </w:rPr>
        <w:t>4、排水防洪设施</w:t>
      </w:r>
    </w:p>
    <w:p>
      <w:pPr>
        <w:spacing w:line="360" w:lineRule="auto"/>
        <w:ind w:firstLine="480" w:firstLineChars="200"/>
        <w:rPr>
          <w:rFonts w:eastAsiaTheme="majorEastAsia"/>
          <w:sz w:val="24"/>
        </w:rPr>
      </w:pPr>
      <w:r>
        <w:rPr>
          <w:rFonts w:eastAsiaTheme="majorEastAsia"/>
          <w:sz w:val="24"/>
        </w:rPr>
        <w:t>该尾矿库现状排水泄洪系统为2#拦洪坝以上采用2#拦洪坝+泄洪井+2#排水隧洞的排水型式；1#、2#拦洪坝之间采用1#拦洪坝+1#排水隧洞，1#拦洪坝以下库区采用排水井+1#排水隧洞+消力池的排水型式。</w:t>
      </w:r>
    </w:p>
    <w:p>
      <w:pPr>
        <w:spacing w:line="360" w:lineRule="auto"/>
        <w:ind w:firstLine="480" w:firstLineChars="200"/>
        <w:rPr>
          <w:rFonts w:eastAsiaTheme="majorEastAsia"/>
          <w:sz w:val="24"/>
        </w:rPr>
      </w:pPr>
      <w:r>
        <w:rPr>
          <w:sz w:val="24"/>
        </w:rPr>
        <w:t>①</w:t>
      </w:r>
      <w:r>
        <w:rPr>
          <w:rFonts w:eastAsiaTheme="majorEastAsia"/>
          <w:sz w:val="24"/>
        </w:rPr>
        <w:t>2#拦洪坝以上</w:t>
      </w:r>
    </w:p>
    <w:p>
      <w:pPr>
        <w:spacing w:line="360" w:lineRule="auto"/>
        <w:ind w:firstLine="480" w:firstLineChars="200"/>
        <w:rPr>
          <w:rFonts w:eastAsiaTheme="majorEastAsia"/>
          <w:sz w:val="24"/>
        </w:rPr>
      </w:pPr>
      <w:r>
        <w:rPr>
          <w:rFonts w:eastAsiaTheme="majorEastAsia"/>
          <w:sz w:val="24"/>
        </w:rPr>
        <w:t>2#拦洪坝采用堆石坝，坝高1.5m，坝长约20m。</w:t>
      </w:r>
    </w:p>
    <w:p>
      <w:pPr>
        <w:spacing w:line="360" w:lineRule="auto"/>
        <w:ind w:firstLine="480" w:firstLineChars="200"/>
        <w:rPr>
          <w:rFonts w:eastAsiaTheme="majorEastAsia"/>
          <w:sz w:val="24"/>
        </w:rPr>
      </w:pPr>
      <w:r>
        <w:rPr>
          <w:rFonts w:eastAsiaTheme="majorEastAsia"/>
          <w:sz w:val="24"/>
        </w:rPr>
        <w:t>808泄洪井井口标高+1106m，井口内径2m，深约60m。2#排水隧洞为直壁圆拱型，直壁高1.4m，拱高0.6m，宽2.0m，坡降0.053，总长1926m。</w:t>
      </w:r>
    </w:p>
    <w:p>
      <w:pPr>
        <w:spacing w:line="360" w:lineRule="auto"/>
        <w:ind w:firstLine="480" w:firstLineChars="200"/>
        <w:rPr>
          <w:rFonts w:eastAsiaTheme="majorEastAsia"/>
          <w:sz w:val="24"/>
        </w:rPr>
      </w:pPr>
      <w:r>
        <w:rPr>
          <w:sz w:val="24"/>
        </w:rPr>
        <w:t>②</w:t>
      </w:r>
      <w:r>
        <w:rPr>
          <w:rFonts w:eastAsiaTheme="majorEastAsia"/>
          <w:sz w:val="24"/>
        </w:rPr>
        <w:t>1#、2#拦洪坝之间</w:t>
      </w:r>
    </w:p>
    <w:p>
      <w:pPr>
        <w:spacing w:line="360" w:lineRule="auto"/>
        <w:ind w:firstLine="480" w:firstLineChars="200"/>
        <w:rPr>
          <w:rFonts w:eastAsiaTheme="majorEastAsia"/>
          <w:sz w:val="24"/>
        </w:rPr>
      </w:pPr>
      <w:r>
        <w:rPr>
          <w:rFonts w:eastAsiaTheme="majorEastAsia"/>
          <w:sz w:val="24"/>
        </w:rPr>
        <w:t>1#拦洪坝坝高7.1m，坝顶标高1070.9m，临水坡坡比1:1.8，内坡坡比1:1.7，坝顶宽3.8m，拦洪坝为均质土坝，临水坡设置有防渗层防水，拦洪坝顶有排水沟，断面b×h=0.5m×0.5m。1#排水隧洞为直壁圆拱型，直壁高1.4m，拱高0.6m，宽2.0m，坡降0.075，总长922m。</w:t>
      </w:r>
    </w:p>
    <w:p>
      <w:pPr>
        <w:spacing w:line="360" w:lineRule="auto"/>
        <w:ind w:firstLine="480" w:firstLineChars="200"/>
        <w:rPr>
          <w:sz w:val="24"/>
        </w:rPr>
      </w:pPr>
      <w:r>
        <w:rPr>
          <w:sz w:val="24"/>
        </w:rPr>
        <w:t>③1#拦洪坝以下</w:t>
      </w:r>
    </w:p>
    <w:p>
      <w:pPr>
        <w:spacing w:line="360" w:lineRule="auto"/>
        <w:ind w:firstLine="480" w:firstLineChars="200"/>
        <w:rPr>
          <w:sz w:val="24"/>
        </w:rPr>
      </w:pPr>
      <w:r>
        <w:rPr>
          <w:sz w:val="24"/>
        </w:rPr>
        <w:t>库内已修建3个排水井，1#、2#排水井已被淹没并封堵，3#排水井为窗口式，砖砌混凝土结构，内径1.5m，井壁厚370mm，每层设6个孔，每个孔为100mm×100mm，窗口中心间距（层高）300mm。4#排水井在建，框架式，钢筋混凝土结构，井筒高度9m。排水井进水口高程1031m，井顶高程1040m。3#排水井通过支隧洞与1#排水隧洞相连。</w:t>
      </w:r>
    </w:p>
    <w:p>
      <w:pPr>
        <w:spacing w:line="360" w:lineRule="auto"/>
        <w:ind w:firstLine="480" w:firstLineChars="200"/>
        <w:rPr>
          <w:sz w:val="24"/>
        </w:rPr>
      </w:pPr>
      <w:r>
        <w:rPr>
          <w:sz w:val="24"/>
        </w:rPr>
        <w:t>在右侧山坡上修筑有截洪沟，截洪沟断面b×h=0.5m×0.5m，拦挡右侧山坡上汇水，截洪沟长度1390m，坡降0.062。</w:t>
      </w:r>
    </w:p>
    <w:p>
      <w:pPr>
        <w:spacing w:line="360" w:lineRule="auto"/>
        <w:ind w:firstLine="480" w:firstLineChars="200"/>
        <w:rPr>
          <w:sz w:val="24"/>
        </w:rPr>
      </w:pPr>
      <w:r>
        <w:rPr>
          <w:sz w:val="24"/>
        </w:rPr>
        <w:t>5、尾矿输送、排放及回水</w:t>
      </w:r>
    </w:p>
    <w:p>
      <w:pPr>
        <w:spacing w:line="360" w:lineRule="auto"/>
        <w:ind w:firstLine="480" w:firstLineChars="200"/>
        <w:rPr>
          <w:sz w:val="24"/>
        </w:rPr>
      </w:pPr>
      <w:r>
        <w:rPr>
          <w:sz w:val="24"/>
        </w:rPr>
        <w:t xml:space="preserve">现有尾矿输送方式为自流输送，采用内径150mmpvc管道在坝前采用多支管小流量均匀放矿，现场勘查时，干滩长度约230m，滩面坡度2.5%。 </w:t>
      </w:r>
    </w:p>
    <w:p>
      <w:pPr>
        <w:spacing w:line="360" w:lineRule="auto"/>
        <w:ind w:firstLine="480" w:firstLineChars="200"/>
        <w:rPr>
          <w:sz w:val="24"/>
        </w:rPr>
      </w:pPr>
      <w:r>
        <w:rPr>
          <w:sz w:val="24"/>
        </w:rPr>
        <w:t>该尾矿库将正常生产的矿浆澄清水，通过排水井——排水隧洞排入初期坝下游污水处理系统净化后，直接排入下游。</w:t>
      </w:r>
    </w:p>
    <w:p>
      <w:pPr>
        <w:spacing w:line="360" w:lineRule="auto"/>
        <w:ind w:firstLine="480" w:firstLineChars="200"/>
        <w:rPr>
          <w:rFonts w:eastAsiaTheme="majorEastAsia"/>
          <w:sz w:val="24"/>
        </w:rPr>
        <w:sectPr>
          <w:pgSz w:w="11906" w:h="16838"/>
          <w:pgMar w:top="1440" w:right="1797" w:bottom="1440" w:left="1797" w:header="851" w:footer="992" w:gutter="0"/>
          <w:cols w:space="425" w:num="1"/>
          <w:docGrid w:type="linesAndChars" w:linePitch="312" w:charSpace="0"/>
        </w:sectPr>
      </w:pPr>
    </w:p>
    <w:p>
      <w:pPr>
        <w:spacing w:line="360" w:lineRule="auto"/>
        <w:ind w:firstLine="420" w:firstLineChars="200"/>
        <w:rPr>
          <w:rFonts w:eastAsiaTheme="majorEastAsia"/>
          <w:sz w:val="24"/>
        </w:rPr>
        <w:sectPr>
          <w:pgSz w:w="16838" w:h="11906" w:orient="landscape"/>
          <w:pgMar w:top="1797" w:right="1440" w:bottom="1797" w:left="1440" w:header="851" w:footer="992" w:gutter="0"/>
          <w:cols w:space="425" w:num="1"/>
          <w:docGrid w:type="linesAndChars" w:linePitch="312" w:charSpace="0"/>
        </w:sectPr>
      </w:pPr>
      <w:r>
        <w:rPr>
          <w:szCs w:val="20"/>
        </w:rPr>
        <w:drawing>
          <wp:anchor distT="0" distB="0" distL="114300" distR="114300" simplePos="0" relativeHeight="251685888" behindDoc="1" locked="0" layoutInCell="1" allowOverlap="1">
            <wp:simplePos x="0" y="0"/>
            <wp:positionH relativeFrom="column">
              <wp:posOffset>523875</wp:posOffset>
            </wp:positionH>
            <wp:positionV relativeFrom="paragraph">
              <wp:posOffset>-258445</wp:posOffset>
            </wp:positionV>
            <wp:extent cx="7724775" cy="6031865"/>
            <wp:effectExtent l="19050" t="0" r="9525" b="0"/>
            <wp:wrapNone/>
            <wp:docPr id="48" name="图片 48" descr="企业现状实测平面图-Model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企业现状实测平面图-Model0000"/>
                    <pic:cNvPicPr>
                      <a:picLocks noChangeAspect="1" noChangeArrowheads="1"/>
                    </pic:cNvPicPr>
                  </pic:nvPicPr>
                  <pic:blipFill>
                    <a:blip r:embed="rId22"/>
                    <a:srcRect/>
                    <a:stretch>
                      <a:fillRect/>
                    </a:stretch>
                  </pic:blipFill>
                  <pic:spPr>
                    <a:xfrm>
                      <a:off x="0" y="0"/>
                      <a:ext cx="7724775" cy="6031865"/>
                    </a:xfrm>
                    <a:prstGeom prst="rect">
                      <a:avLst/>
                    </a:prstGeom>
                    <a:noFill/>
                    <a:ln w="9525">
                      <a:noFill/>
                      <a:miter lim="800000"/>
                      <a:headEnd/>
                      <a:tailEnd/>
                    </a:ln>
                  </pic:spPr>
                </pic:pic>
              </a:graphicData>
            </a:graphic>
          </wp:anchor>
        </w:drawing>
      </w:r>
      <w:r>
        <w:rPr>
          <w:szCs w:val="20"/>
        </w:rPr>
        <w:pict>
          <v:shape id="_x0000_s5361" o:spid="_x0000_s5361" o:spt="202" type="#_x0000_t202" style="position:absolute;left:0pt;margin-left:54.75pt;margin-top:412.65pt;height:35.25pt;width:234.75pt;z-index:251686912;mso-width-relative:page;mso-height-relative:page;" fillcolor="#FFFF00" filled="f" stroked="f" coordsize="21600,21600">
            <v:path/>
            <v:fill on="f" focussize="0,0"/>
            <v:stroke on="f" color="#0000FF" joinstyle="miter"/>
            <v:imagedata o:title=""/>
            <o:lock v:ext="edit"/>
            <v:textbox>
              <w:txbxContent>
                <w:p>
                  <w:pPr>
                    <w:rPr>
                      <w:rFonts w:ascii="黑体" w:hAnsi="黑体" w:eastAsia="黑体"/>
                      <w:sz w:val="28"/>
                      <w:szCs w:val="28"/>
                    </w:rPr>
                  </w:pPr>
                  <w:r>
                    <w:rPr>
                      <w:rFonts w:hint="eastAsia" w:ascii="黑体" w:hAnsi="黑体" w:eastAsia="黑体"/>
                      <w:sz w:val="28"/>
                      <w:szCs w:val="28"/>
                    </w:rPr>
                    <w:t>图2.1-6 现有尾矿库平面布置图</w:t>
                  </w:r>
                </w:p>
              </w:txbxContent>
            </v:textbox>
          </v:shape>
        </w:pict>
      </w:r>
    </w:p>
    <w:p>
      <w:pPr>
        <w:pStyle w:val="74"/>
        <w:spacing w:beforeLines="50"/>
      </w:pPr>
      <w:bookmarkStart w:id="198" w:name="_Toc470358611"/>
      <w:r>
        <w:rPr>
          <w:szCs w:val="24"/>
        </w:rPr>
        <w:t>2.1.4</w:t>
      </w:r>
      <w:r>
        <w:t>劳动定员和工作制度</w:t>
      </w:r>
      <w:bookmarkEnd w:id="198"/>
    </w:p>
    <w:p>
      <w:pPr>
        <w:pStyle w:val="88"/>
        <w:spacing w:line="360" w:lineRule="auto"/>
        <w:rPr>
          <w:color w:val="auto"/>
        </w:rPr>
      </w:pPr>
      <w:r>
        <w:rPr>
          <w:color w:val="auto"/>
        </w:rPr>
        <w:t xml:space="preserve">   原有工程劳动定员180人。企业年度生产日取定为300天，其余为停产检修设备时间。主生产车间的工作制度实行日3班、每班8h连续作业。各职能部门均实行8h工作制。</w:t>
      </w:r>
    </w:p>
    <w:p>
      <w:pPr>
        <w:pStyle w:val="74"/>
        <w:rPr>
          <w:szCs w:val="24"/>
        </w:rPr>
      </w:pPr>
      <w:bookmarkStart w:id="199" w:name="_Toc470358612"/>
      <w:r>
        <w:rPr>
          <w:szCs w:val="24"/>
        </w:rPr>
        <w:t>2.1.5现有工程环境影响评价文件执行情况</w:t>
      </w:r>
      <w:bookmarkEnd w:id="199"/>
    </w:p>
    <w:p>
      <w:pPr>
        <w:pStyle w:val="5"/>
      </w:pPr>
      <w:r>
        <w:t>2.1.5.1</w:t>
      </w:r>
      <w:r>
        <w:rPr>
          <w:kern w:val="20"/>
        </w:rPr>
        <w:t>原有工程环评及批复环保措施执行情况</w:t>
      </w:r>
    </w:p>
    <w:p>
      <w:pPr>
        <w:pStyle w:val="88"/>
        <w:spacing w:line="360" w:lineRule="auto"/>
        <w:rPr>
          <w:color w:val="auto"/>
        </w:rPr>
      </w:pPr>
      <w:r>
        <w:rPr>
          <w:color w:val="auto"/>
        </w:rPr>
        <w:t xml:space="preserve">   </w:t>
      </w:r>
      <w:r>
        <w:rPr>
          <w:color w:val="auto"/>
          <w:kern w:val="20"/>
        </w:rPr>
        <w:t>1996年8月，灵宝市银家沟硫铁矿委托河南省环境保护研究所针对50万t/a采选扩建工程编制了《河南省灵宝银家沟硫铁矿采选扩建工程环境影响报告书》，原河南环境保护局以豫环监（1997）47号文件对该项目进行了批复。由于多种原因，银家沟硫铁矿未形成50万t/a采选能力，也未进行建设项目竣工环境保护验收。</w:t>
      </w:r>
      <w:r>
        <w:rPr>
          <w:color w:val="auto"/>
        </w:rPr>
        <w:t>环评及批复环保措施执行情况见表2.1-7。</w:t>
      </w:r>
    </w:p>
    <w:p>
      <w:pPr>
        <w:pStyle w:val="88"/>
        <w:adjustRightInd w:val="0"/>
        <w:snapToGrid w:val="0"/>
        <w:spacing w:line="240" w:lineRule="auto"/>
        <w:rPr>
          <w:rFonts w:eastAsia="黑体"/>
          <w:color w:val="auto"/>
          <w:sz w:val="22"/>
          <w:szCs w:val="22"/>
        </w:rPr>
      </w:pPr>
      <w:r>
        <w:rPr>
          <w:color w:val="auto"/>
        </w:rPr>
        <w:t xml:space="preserve">  </w:t>
      </w:r>
      <w:r>
        <w:rPr>
          <w:rFonts w:eastAsia="黑体"/>
          <w:color w:val="auto"/>
          <w:sz w:val="22"/>
          <w:szCs w:val="22"/>
        </w:rPr>
        <w:t xml:space="preserve">    表2.1-7          现有工程环保措施执行及变化情况一览表</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068"/>
        <w:gridCol w:w="3362"/>
        <w:gridCol w:w="972"/>
        <w:gridCol w:w="2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35" w:type="dxa"/>
            <w:gridSpan w:val="2"/>
            <w:vAlign w:val="center"/>
          </w:tcPr>
          <w:p>
            <w:pPr>
              <w:adjustRightInd w:val="0"/>
              <w:snapToGrid w:val="0"/>
              <w:jc w:val="center"/>
              <w:rPr>
                <w:szCs w:val="21"/>
              </w:rPr>
            </w:pPr>
            <w:r>
              <w:rPr>
                <w:szCs w:val="21"/>
              </w:rPr>
              <w:t>项目</w:t>
            </w:r>
          </w:p>
        </w:tc>
        <w:tc>
          <w:tcPr>
            <w:tcW w:w="3362" w:type="dxa"/>
            <w:vAlign w:val="center"/>
          </w:tcPr>
          <w:p>
            <w:pPr>
              <w:adjustRightInd w:val="0"/>
              <w:snapToGrid w:val="0"/>
              <w:jc w:val="center"/>
              <w:rPr>
                <w:szCs w:val="21"/>
              </w:rPr>
            </w:pPr>
            <w:r>
              <w:rPr>
                <w:szCs w:val="21"/>
              </w:rPr>
              <w:t>环境影响报告书提出的环境监测计划及环保要求</w:t>
            </w:r>
          </w:p>
        </w:tc>
        <w:tc>
          <w:tcPr>
            <w:tcW w:w="972" w:type="dxa"/>
            <w:vAlign w:val="center"/>
          </w:tcPr>
          <w:p>
            <w:pPr>
              <w:adjustRightInd w:val="0"/>
              <w:snapToGrid w:val="0"/>
              <w:jc w:val="center"/>
              <w:rPr>
                <w:szCs w:val="21"/>
              </w:rPr>
            </w:pPr>
            <w:r>
              <w:rPr>
                <w:szCs w:val="21"/>
              </w:rPr>
              <w:t>执行情况</w:t>
            </w:r>
          </w:p>
        </w:tc>
        <w:tc>
          <w:tcPr>
            <w:tcW w:w="2653" w:type="dxa"/>
            <w:vAlign w:val="center"/>
          </w:tcPr>
          <w:p>
            <w:pPr>
              <w:adjustRightInd w:val="0"/>
              <w:snapToGrid w:val="0"/>
              <w:jc w:val="center"/>
              <w:rPr>
                <w:szCs w:val="21"/>
              </w:rPr>
            </w:pPr>
            <w:r>
              <w:rPr>
                <w:szCs w:val="21"/>
              </w:rPr>
              <w:t>建设变化情况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67" w:type="dxa"/>
            <w:vMerge w:val="restart"/>
            <w:vAlign w:val="center"/>
          </w:tcPr>
          <w:p>
            <w:pPr>
              <w:adjustRightInd w:val="0"/>
              <w:snapToGrid w:val="0"/>
              <w:jc w:val="center"/>
              <w:rPr>
                <w:szCs w:val="21"/>
              </w:rPr>
            </w:pPr>
            <w:r>
              <w:rPr>
                <w:szCs w:val="21"/>
              </w:rPr>
              <w:t>采矿</w:t>
            </w:r>
          </w:p>
        </w:tc>
        <w:tc>
          <w:tcPr>
            <w:tcW w:w="1068" w:type="dxa"/>
            <w:vAlign w:val="center"/>
          </w:tcPr>
          <w:p>
            <w:pPr>
              <w:adjustRightInd w:val="0"/>
              <w:snapToGrid w:val="0"/>
              <w:jc w:val="center"/>
              <w:rPr>
                <w:szCs w:val="21"/>
              </w:rPr>
            </w:pPr>
            <w:r>
              <w:rPr>
                <w:szCs w:val="21"/>
              </w:rPr>
              <w:t>矿坑涌水</w:t>
            </w:r>
          </w:p>
        </w:tc>
        <w:tc>
          <w:tcPr>
            <w:tcW w:w="3362" w:type="dxa"/>
            <w:vAlign w:val="center"/>
          </w:tcPr>
          <w:p>
            <w:pPr>
              <w:adjustRightInd w:val="0"/>
              <w:snapToGrid w:val="0"/>
              <w:jc w:val="center"/>
              <w:rPr>
                <w:szCs w:val="21"/>
              </w:rPr>
            </w:pPr>
            <w:r>
              <w:rPr>
                <w:szCs w:val="21"/>
              </w:rPr>
              <w:t>矿坑涌水监测，发现酸化用石灰处理</w:t>
            </w:r>
          </w:p>
        </w:tc>
        <w:tc>
          <w:tcPr>
            <w:tcW w:w="972" w:type="dxa"/>
            <w:vAlign w:val="center"/>
          </w:tcPr>
          <w:p>
            <w:pPr>
              <w:adjustRightInd w:val="0"/>
              <w:snapToGrid w:val="0"/>
              <w:jc w:val="center"/>
              <w:rPr>
                <w:szCs w:val="21"/>
              </w:rPr>
            </w:pPr>
            <w:r>
              <w:rPr>
                <w:szCs w:val="21"/>
              </w:rPr>
              <w:t>已实施</w:t>
            </w:r>
          </w:p>
        </w:tc>
        <w:tc>
          <w:tcPr>
            <w:tcW w:w="2653" w:type="dxa"/>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67" w:type="dxa"/>
            <w:vMerge w:val="continue"/>
            <w:vAlign w:val="center"/>
          </w:tcPr>
          <w:p>
            <w:pPr>
              <w:adjustRightInd w:val="0"/>
              <w:snapToGrid w:val="0"/>
              <w:jc w:val="center"/>
              <w:rPr>
                <w:szCs w:val="21"/>
              </w:rPr>
            </w:pPr>
          </w:p>
        </w:tc>
        <w:tc>
          <w:tcPr>
            <w:tcW w:w="1068" w:type="dxa"/>
            <w:vAlign w:val="center"/>
          </w:tcPr>
          <w:p>
            <w:pPr>
              <w:adjustRightInd w:val="0"/>
              <w:snapToGrid w:val="0"/>
              <w:jc w:val="center"/>
              <w:rPr>
                <w:szCs w:val="21"/>
              </w:rPr>
            </w:pPr>
            <w:r>
              <w:rPr>
                <w:szCs w:val="21"/>
              </w:rPr>
              <w:t>废石堆场扬尘</w:t>
            </w:r>
          </w:p>
        </w:tc>
        <w:tc>
          <w:tcPr>
            <w:tcW w:w="3362" w:type="dxa"/>
            <w:vAlign w:val="center"/>
          </w:tcPr>
          <w:p>
            <w:pPr>
              <w:adjustRightInd w:val="0"/>
              <w:snapToGrid w:val="0"/>
              <w:jc w:val="center"/>
              <w:rPr>
                <w:szCs w:val="21"/>
              </w:rPr>
            </w:pPr>
            <w:r>
              <w:rPr>
                <w:szCs w:val="21"/>
              </w:rPr>
              <w:t>洒水车洒水抑尘</w:t>
            </w:r>
          </w:p>
        </w:tc>
        <w:tc>
          <w:tcPr>
            <w:tcW w:w="972" w:type="dxa"/>
            <w:vAlign w:val="center"/>
          </w:tcPr>
          <w:p>
            <w:pPr>
              <w:adjustRightInd w:val="0"/>
              <w:snapToGrid w:val="0"/>
              <w:jc w:val="center"/>
              <w:rPr>
                <w:szCs w:val="21"/>
              </w:rPr>
            </w:pPr>
            <w:r>
              <w:rPr>
                <w:szCs w:val="21"/>
              </w:rPr>
              <w:t>已实施</w:t>
            </w:r>
          </w:p>
        </w:tc>
        <w:tc>
          <w:tcPr>
            <w:tcW w:w="2653" w:type="dxa"/>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67" w:type="dxa"/>
            <w:vMerge w:val="continue"/>
            <w:vAlign w:val="center"/>
          </w:tcPr>
          <w:p>
            <w:pPr>
              <w:adjustRightInd w:val="0"/>
              <w:snapToGrid w:val="0"/>
              <w:jc w:val="center"/>
              <w:rPr>
                <w:szCs w:val="21"/>
              </w:rPr>
            </w:pPr>
          </w:p>
        </w:tc>
        <w:tc>
          <w:tcPr>
            <w:tcW w:w="1068" w:type="dxa"/>
            <w:vAlign w:val="center"/>
          </w:tcPr>
          <w:p>
            <w:pPr>
              <w:adjustRightInd w:val="0"/>
              <w:snapToGrid w:val="0"/>
              <w:jc w:val="center"/>
              <w:rPr>
                <w:szCs w:val="21"/>
              </w:rPr>
            </w:pPr>
            <w:r>
              <w:rPr>
                <w:szCs w:val="21"/>
              </w:rPr>
              <w:t>工广噪声</w:t>
            </w:r>
          </w:p>
        </w:tc>
        <w:tc>
          <w:tcPr>
            <w:tcW w:w="3362" w:type="dxa"/>
            <w:vAlign w:val="center"/>
          </w:tcPr>
          <w:p>
            <w:pPr>
              <w:adjustRightInd w:val="0"/>
              <w:snapToGrid w:val="0"/>
              <w:jc w:val="center"/>
              <w:rPr>
                <w:szCs w:val="21"/>
              </w:rPr>
            </w:pPr>
            <w:r>
              <w:rPr>
                <w:szCs w:val="21"/>
              </w:rPr>
              <w:t>室内布置</w:t>
            </w:r>
          </w:p>
        </w:tc>
        <w:tc>
          <w:tcPr>
            <w:tcW w:w="972" w:type="dxa"/>
            <w:vAlign w:val="center"/>
          </w:tcPr>
          <w:p>
            <w:pPr>
              <w:adjustRightInd w:val="0"/>
              <w:snapToGrid w:val="0"/>
              <w:jc w:val="center"/>
              <w:rPr>
                <w:szCs w:val="21"/>
              </w:rPr>
            </w:pPr>
            <w:r>
              <w:rPr>
                <w:szCs w:val="21"/>
              </w:rPr>
              <w:t>已实施</w:t>
            </w:r>
          </w:p>
        </w:tc>
        <w:tc>
          <w:tcPr>
            <w:tcW w:w="2653" w:type="dxa"/>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67" w:type="dxa"/>
            <w:vMerge w:val="continue"/>
            <w:vAlign w:val="center"/>
          </w:tcPr>
          <w:p>
            <w:pPr>
              <w:adjustRightInd w:val="0"/>
              <w:snapToGrid w:val="0"/>
              <w:jc w:val="center"/>
              <w:rPr>
                <w:szCs w:val="21"/>
              </w:rPr>
            </w:pPr>
          </w:p>
        </w:tc>
        <w:tc>
          <w:tcPr>
            <w:tcW w:w="1068" w:type="dxa"/>
            <w:vAlign w:val="center"/>
          </w:tcPr>
          <w:p>
            <w:pPr>
              <w:adjustRightInd w:val="0"/>
              <w:snapToGrid w:val="0"/>
              <w:jc w:val="center"/>
              <w:rPr>
                <w:szCs w:val="21"/>
              </w:rPr>
            </w:pPr>
            <w:r>
              <w:rPr>
                <w:szCs w:val="21"/>
              </w:rPr>
              <w:t>废石</w:t>
            </w:r>
          </w:p>
        </w:tc>
        <w:tc>
          <w:tcPr>
            <w:tcW w:w="3362" w:type="dxa"/>
            <w:vAlign w:val="center"/>
          </w:tcPr>
          <w:p>
            <w:pPr>
              <w:adjustRightInd w:val="0"/>
              <w:snapToGrid w:val="0"/>
              <w:jc w:val="center"/>
              <w:rPr>
                <w:szCs w:val="21"/>
              </w:rPr>
            </w:pPr>
            <w:r>
              <w:rPr>
                <w:szCs w:val="21"/>
              </w:rPr>
              <w:t>废石堆场集中堆存</w:t>
            </w:r>
          </w:p>
        </w:tc>
        <w:tc>
          <w:tcPr>
            <w:tcW w:w="972" w:type="dxa"/>
            <w:vAlign w:val="center"/>
          </w:tcPr>
          <w:p>
            <w:pPr>
              <w:adjustRightInd w:val="0"/>
              <w:snapToGrid w:val="0"/>
              <w:jc w:val="center"/>
              <w:rPr>
                <w:szCs w:val="21"/>
              </w:rPr>
            </w:pPr>
            <w:r>
              <w:rPr>
                <w:szCs w:val="21"/>
              </w:rPr>
              <w:t>已实施</w:t>
            </w:r>
          </w:p>
        </w:tc>
        <w:tc>
          <w:tcPr>
            <w:tcW w:w="2653" w:type="dxa"/>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467" w:type="dxa"/>
            <w:vMerge w:val="restart"/>
            <w:vAlign w:val="center"/>
          </w:tcPr>
          <w:p>
            <w:pPr>
              <w:adjustRightInd w:val="0"/>
              <w:snapToGrid w:val="0"/>
              <w:jc w:val="center"/>
              <w:rPr>
                <w:szCs w:val="21"/>
              </w:rPr>
            </w:pPr>
            <w:r>
              <w:rPr>
                <w:szCs w:val="21"/>
              </w:rPr>
              <w:t>选矿</w:t>
            </w:r>
          </w:p>
        </w:tc>
        <w:tc>
          <w:tcPr>
            <w:tcW w:w="1068" w:type="dxa"/>
            <w:vAlign w:val="center"/>
          </w:tcPr>
          <w:p>
            <w:pPr>
              <w:adjustRightInd w:val="0"/>
              <w:snapToGrid w:val="0"/>
              <w:jc w:val="center"/>
              <w:rPr>
                <w:szCs w:val="21"/>
              </w:rPr>
            </w:pPr>
            <w:r>
              <w:rPr>
                <w:szCs w:val="21"/>
              </w:rPr>
              <w:t>选矿废水</w:t>
            </w:r>
          </w:p>
        </w:tc>
        <w:tc>
          <w:tcPr>
            <w:tcW w:w="3362" w:type="dxa"/>
            <w:vAlign w:val="center"/>
          </w:tcPr>
          <w:p>
            <w:pPr>
              <w:adjustRightInd w:val="0"/>
              <w:snapToGrid w:val="0"/>
              <w:jc w:val="center"/>
              <w:rPr>
                <w:szCs w:val="21"/>
              </w:rPr>
            </w:pPr>
            <w:r>
              <w:rPr>
                <w:szCs w:val="21"/>
              </w:rPr>
              <w:t>回水池沉淀后70%回用，30%排放</w:t>
            </w:r>
          </w:p>
        </w:tc>
        <w:tc>
          <w:tcPr>
            <w:tcW w:w="972" w:type="dxa"/>
            <w:vAlign w:val="center"/>
          </w:tcPr>
          <w:p>
            <w:pPr>
              <w:adjustRightInd w:val="0"/>
              <w:snapToGrid w:val="0"/>
              <w:jc w:val="center"/>
              <w:rPr>
                <w:szCs w:val="21"/>
              </w:rPr>
            </w:pPr>
            <w:r>
              <w:rPr>
                <w:szCs w:val="21"/>
              </w:rPr>
              <w:t xml:space="preserve">/ </w:t>
            </w:r>
          </w:p>
        </w:tc>
        <w:tc>
          <w:tcPr>
            <w:tcW w:w="2653" w:type="dxa"/>
            <w:vAlign w:val="center"/>
          </w:tcPr>
          <w:p>
            <w:pPr>
              <w:adjustRightInd w:val="0"/>
              <w:snapToGrid w:val="0"/>
              <w:jc w:val="center"/>
              <w:rPr>
                <w:szCs w:val="21"/>
              </w:rPr>
            </w:pPr>
            <w:r>
              <w:rPr>
                <w:szCs w:val="21"/>
              </w:rPr>
              <w:t>絮凝沉淀处理后不外排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67" w:type="dxa"/>
            <w:vMerge w:val="continue"/>
            <w:vAlign w:val="center"/>
          </w:tcPr>
          <w:p>
            <w:pPr>
              <w:adjustRightInd w:val="0"/>
              <w:snapToGrid w:val="0"/>
              <w:jc w:val="center"/>
              <w:rPr>
                <w:szCs w:val="21"/>
              </w:rPr>
            </w:pPr>
          </w:p>
        </w:tc>
        <w:tc>
          <w:tcPr>
            <w:tcW w:w="1068" w:type="dxa"/>
            <w:vAlign w:val="center"/>
          </w:tcPr>
          <w:p>
            <w:pPr>
              <w:adjustRightInd w:val="0"/>
              <w:snapToGrid w:val="0"/>
              <w:jc w:val="center"/>
              <w:rPr>
                <w:szCs w:val="21"/>
              </w:rPr>
            </w:pPr>
            <w:r>
              <w:rPr>
                <w:szCs w:val="21"/>
              </w:rPr>
              <w:t>破碎筛分粉尘</w:t>
            </w:r>
          </w:p>
        </w:tc>
        <w:tc>
          <w:tcPr>
            <w:tcW w:w="3362" w:type="dxa"/>
            <w:vAlign w:val="center"/>
          </w:tcPr>
          <w:p>
            <w:pPr>
              <w:adjustRightInd w:val="0"/>
              <w:snapToGrid w:val="0"/>
              <w:jc w:val="center"/>
              <w:rPr>
                <w:szCs w:val="21"/>
              </w:rPr>
            </w:pPr>
            <w:r>
              <w:rPr>
                <w:szCs w:val="21"/>
              </w:rPr>
              <w:t>冲击式除尘机组</w:t>
            </w:r>
          </w:p>
        </w:tc>
        <w:tc>
          <w:tcPr>
            <w:tcW w:w="972" w:type="dxa"/>
            <w:vAlign w:val="center"/>
          </w:tcPr>
          <w:p>
            <w:pPr>
              <w:adjustRightInd w:val="0"/>
              <w:snapToGrid w:val="0"/>
              <w:jc w:val="center"/>
              <w:rPr>
                <w:szCs w:val="21"/>
              </w:rPr>
            </w:pPr>
            <w:r>
              <w:rPr>
                <w:szCs w:val="21"/>
              </w:rPr>
              <w:t>/</w:t>
            </w:r>
          </w:p>
        </w:tc>
        <w:tc>
          <w:tcPr>
            <w:tcW w:w="2653" w:type="dxa"/>
            <w:vAlign w:val="center"/>
          </w:tcPr>
          <w:p>
            <w:pPr>
              <w:adjustRightInd w:val="0"/>
              <w:snapToGrid w:val="0"/>
              <w:jc w:val="center"/>
              <w:rPr>
                <w:szCs w:val="21"/>
              </w:rPr>
            </w:pPr>
            <w:r>
              <w:rPr>
                <w:szCs w:val="21"/>
              </w:rPr>
              <w:t>已经建设2套“除尘罩+袋式除尘器+15m排气筒”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67" w:type="dxa"/>
            <w:vMerge w:val="continue"/>
            <w:vAlign w:val="center"/>
          </w:tcPr>
          <w:p>
            <w:pPr>
              <w:adjustRightInd w:val="0"/>
              <w:snapToGrid w:val="0"/>
              <w:jc w:val="center"/>
              <w:rPr>
                <w:szCs w:val="21"/>
              </w:rPr>
            </w:pPr>
          </w:p>
        </w:tc>
        <w:tc>
          <w:tcPr>
            <w:tcW w:w="1068" w:type="dxa"/>
            <w:vAlign w:val="center"/>
          </w:tcPr>
          <w:p>
            <w:pPr>
              <w:adjustRightInd w:val="0"/>
              <w:snapToGrid w:val="0"/>
              <w:jc w:val="center"/>
              <w:rPr>
                <w:szCs w:val="21"/>
              </w:rPr>
            </w:pPr>
            <w:r>
              <w:rPr>
                <w:szCs w:val="21"/>
              </w:rPr>
              <w:t>选矿噪声</w:t>
            </w:r>
          </w:p>
        </w:tc>
        <w:tc>
          <w:tcPr>
            <w:tcW w:w="3362" w:type="dxa"/>
            <w:vAlign w:val="center"/>
          </w:tcPr>
          <w:p>
            <w:pPr>
              <w:adjustRightInd w:val="0"/>
              <w:snapToGrid w:val="0"/>
              <w:jc w:val="center"/>
              <w:rPr>
                <w:szCs w:val="21"/>
              </w:rPr>
            </w:pPr>
            <w:r>
              <w:rPr>
                <w:szCs w:val="21"/>
              </w:rPr>
              <w:t>室内布置</w:t>
            </w:r>
          </w:p>
        </w:tc>
        <w:tc>
          <w:tcPr>
            <w:tcW w:w="972" w:type="dxa"/>
            <w:vAlign w:val="center"/>
          </w:tcPr>
          <w:p>
            <w:pPr>
              <w:adjustRightInd w:val="0"/>
              <w:snapToGrid w:val="0"/>
              <w:jc w:val="center"/>
              <w:rPr>
                <w:szCs w:val="21"/>
              </w:rPr>
            </w:pPr>
            <w:r>
              <w:rPr>
                <w:szCs w:val="21"/>
              </w:rPr>
              <w:t>已实施</w:t>
            </w:r>
          </w:p>
        </w:tc>
        <w:tc>
          <w:tcPr>
            <w:tcW w:w="2653" w:type="dxa"/>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67" w:type="dxa"/>
            <w:vMerge w:val="continue"/>
            <w:vAlign w:val="center"/>
          </w:tcPr>
          <w:p>
            <w:pPr>
              <w:adjustRightInd w:val="0"/>
              <w:snapToGrid w:val="0"/>
              <w:jc w:val="center"/>
              <w:rPr>
                <w:szCs w:val="21"/>
              </w:rPr>
            </w:pPr>
          </w:p>
        </w:tc>
        <w:tc>
          <w:tcPr>
            <w:tcW w:w="1068" w:type="dxa"/>
            <w:vAlign w:val="center"/>
          </w:tcPr>
          <w:p>
            <w:pPr>
              <w:adjustRightInd w:val="0"/>
              <w:snapToGrid w:val="0"/>
              <w:jc w:val="center"/>
              <w:rPr>
                <w:szCs w:val="21"/>
              </w:rPr>
            </w:pPr>
            <w:r>
              <w:rPr>
                <w:szCs w:val="21"/>
              </w:rPr>
              <w:t>尾矿</w:t>
            </w:r>
          </w:p>
        </w:tc>
        <w:tc>
          <w:tcPr>
            <w:tcW w:w="3362" w:type="dxa"/>
            <w:vAlign w:val="center"/>
          </w:tcPr>
          <w:p>
            <w:pPr>
              <w:adjustRightInd w:val="0"/>
              <w:snapToGrid w:val="0"/>
              <w:jc w:val="center"/>
              <w:rPr>
                <w:szCs w:val="21"/>
              </w:rPr>
            </w:pPr>
            <w:r>
              <w:rPr>
                <w:szCs w:val="21"/>
              </w:rPr>
              <w:t>尾矿库集中堆存</w:t>
            </w:r>
          </w:p>
        </w:tc>
        <w:tc>
          <w:tcPr>
            <w:tcW w:w="972" w:type="dxa"/>
            <w:vAlign w:val="center"/>
          </w:tcPr>
          <w:p>
            <w:pPr>
              <w:adjustRightInd w:val="0"/>
              <w:snapToGrid w:val="0"/>
              <w:jc w:val="center"/>
              <w:rPr>
                <w:szCs w:val="21"/>
              </w:rPr>
            </w:pPr>
            <w:r>
              <w:rPr>
                <w:szCs w:val="21"/>
              </w:rPr>
              <w:t>已实施</w:t>
            </w:r>
          </w:p>
        </w:tc>
        <w:tc>
          <w:tcPr>
            <w:tcW w:w="2653" w:type="dxa"/>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67" w:type="dxa"/>
            <w:vAlign w:val="center"/>
          </w:tcPr>
          <w:p>
            <w:pPr>
              <w:adjustRightInd w:val="0"/>
              <w:snapToGrid w:val="0"/>
              <w:jc w:val="center"/>
              <w:rPr>
                <w:szCs w:val="21"/>
              </w:rPr>
            </w:pPr>
            <w:r>
              <w:rPr>
                <w:szCs w:val="21"/>
              </w:rPr>
              <w:t>尾矿库</w:t>
            </w:r>
          </w:p>
        </w:tc>
        <w:tc>
          <w:tcPr>
            <w:tcW w:w="1068" w:type="dxa"/>
            <w:vAlign w:val="center"/>
          </w:tcPr>
          <w:p>
            <w:pPr>
              <w:adjustRightInd w:val="0"/>
              <w:snapToGrid w:val="0"/>
              <w:jc w:val="center"/>
              <w:rPr>
                <w:szCs w:val="21"/>
              </w:rPr>
            </w:pPr>
            <w:r>
              <w:rPr>
                <w:szCs w:val="21"/>
              </w:rPr>
              <w:t>尾矿库溢流水</w:t>
            </w:r>
          </w:p>
        </w:tc>
        <w:tc>
          <w:tcPr>
            <w:tcW w:w="3362" w:type="dxa"/>
            <w:vAlign w:val="center"/>
          </w:tcPr>
          <w:p>
            <w:pPr>
              <w:adjustRightInd w:val="0"/>
              <w:snapToGrid w:val="0"/>
              <w:jc w:val="center"/>
              <w:rPr>
                <w:szCs w:val="21"/>
              </w:rPr>
            </w:pPr>
            <w:r>
              <w:rPr>
                <w:szCs w:val="21"/>
              </w:rPr>
              <w:t>建设初期可不建回水实施，但采用粘土碾压防渗，并进行回水方案的论证</w:t>
            </w:r>
          </w:p>
        </w:tc>
        <w:tc>
          <w:tcPr>
            <w:tcW w:w="972" w:type="dxa"/>
            <w:vAlign w:val="center"/>
          </w:tcPr>
          <w:p>
            <w:pPr>
              <w:adjustRightInd w:val="0"/>
              <w:snapToGrid w:val="0"/>
              <w:jc w:val="center"/>
              <w:rPr>
                <w:szCs w:val="21"/>
              </w:rPr>
            </w:pPr>
            <w:r>
              <w:rPr>
                <w:szCs w:val="21"/>
              </w:rPr>
              <w:t>/</w:t>
            </w:r>
          </w:p>
        </w:tc>
        <w:tc>
          <w:tcPr>
            <w:tcW w:w="2653" w:type="dxa"/>
            <w:vAlign w:val="center"/>
          </w:tcPr>
          <w:p>
            <w:pPr>
              <w:adjustRightInd w:val="0"/>
              <w:snapToGrid w:val="0"/>
              <w:jc w:val="center"/>
              <w:rPr>
                <w:szCs w:val="21"/>
              </w:rPr>
            </w:pPr>
            <w:r>
              <w:rPr>
                <w:szCs w:val="21"/>
              </w:rPr>
              <w:t>现状已经已经建设回水池收集尾矿澄清水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67" w:type="dxa"/>
            <w:vMerge w:val="restart"/>
            <w:vAlign w:val="center"/>
          </w:tcPr>
          <w:p>
            <w:pPr>
              <w:adjustRightInd w:val="0"/>
              <w:snapToGrid w:val="0"/>
              <w:jc w:val="center"/>
              <w:rPr>
                <w:szCs w:val="21"/>
              </w:rPr>
            </w:pPr>
            <w:r>
              <w:rPr>
                <w:szCs w:val="21"/>
              </w:rPr>
              <w:t>其他</w:t>
            </w:r>
          </w:p>
        </w:tc>
        <w:tc>
          <w:tcPr>
            <w:tcW w:w="1068" w:type="dxa"/>
            <w:vAlign w:val="center"/>
          </w:tcPr>
          <w:p>
            <w:pPr>
              <w:adjustRightInd w:val="0"/>
              <w:snapToGrid w:val="0"/>
              <w:jc w:val="center"/>
              <w:rPr>
                <w:szCs w:val="21"/>
              </w:rPr>
            </w:pPr>
            <w:r>
              <w:rPr>
                <w:szCs w:val="21"/>
              </w:rPr>
              <w:t>生活污水</w:t>
            </w:r>
          </w:p>
        </w:tc>
        <w:tc>
          <w:tcPr>
            <w:tcW w:w="3362" w:type="dxa"/>
            <w:vAlign w:val="center"/>
          </w:tcPr>
          <w:p>
            <w:pPr>
              <w:adjustRightInd w:val="0"/>
              <w:snapToGrid w:val="0"/>
              <w:jc w:val="center"/>
              <w:rPr>
                <w:szCs w:val="21"/>
              </w:rPr>
            </w:pPr>
            <w:r>
              <w:rPr>
                <w:szCs w:val="21"/>
              </w:rPr>
              <w:t>生活污水综合处理成套设备处理后达标排放</w:t>
            </w:r>
          </w:p>
        </w:tc>
        <w:tc>
          <w:tcPr>
            <w:tcW w:w="972" w:type="dxa"/>
            <w:vAlign w:val="center"/>
          </w:tcPr>
          <w:p>
            <w:pPr>
              <w:adjustRightInd w:val="0"/>
              <w:snapToGrid w:val="0"/>
              <w:jc w:val="center"/>
              <w:rPr>
                <w:szCs w:val="21"/>
              </w:rPr>
            </w:pPr>
            <w:r>
              <w:rPr>
                <w:szCs w:val="21"/>
              </w:rPr>
              <w:t>未实施</w:t>
            </w:r>
          </w:p>
        </w:tc>
        <w:tc>
          <w:tcPr>
            <w:tcW w:w="2653" w:type="dxa"/>
            <w:vAlign w:val="center"/>
          </w:tcPr>
          <w:p>
            <w:pPr>
              <w:adjustRightInd w:val="0"/>
              <w:snapToGrid w:val="0"/>
              <w:jc w:val="center"/>
              <w:rPr>
                <w:szCs w:val="21"/>
              </w:rPr>
            </w:pPr>
            <w:r>
              <w:rPr>
                <w:szCs w:val="21"/>
              </w:rPr>
              <w:t>排入尾矿库后，与尾矿库澄清水一并经絮凝处理车间，处理后全部外排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467" w:type="dxa"/>
            <w:vMerge w:val="continue"/>
            <w:vAlign w:val="center"/>
          </w:tcPr>
          <w:p>
            <w:pPr>
              <w:adjustRightInd w:val="0"/>
              <w:snapToGrid w:val="0"/>
              <w:jc w:val="center"/>
              <w:rPr>
                <w:szCs w:val="21"/>
              </w:rPr>
            </w:pPr>
          </w:p>
        </w:tc>
        <w:tc>
          <w:tcPr>
            <w:tcW w:w="1068" w:type="dxa"/>
            <w:vMerge w:val="restart"/>
            <w:vAlign w:val="center"/>
          </w:tcPr>
          <w:p>
            <w:pPr>
              <w:adjustRightInd w:val="0"/>
              <w:snapToGrid w:val="0"/>
              <w:jc w:val="center"/>
              <w:rPr>
                <w:szCs w:val="21"/>
              </w:rPr>
            </w:pPr>
            <w:r>
              <w:rPr>
                <w:szCs w:val="21"/>
              </w:rPr>
              <w:t>土地复垦及绿化</w:t>
            </w:r>
          </w:p>
        </w:tc>
        <w:tc>
          <w:tcPr>
            <w:tcW w:w="3362" w:type="dxa"/>
            <w:vAlign w:val="center"/>
          </w:tcPr>
          <w:p>
            <w:pPr>
              <w:adjustRightInd w:val="0"/>
              <w:snapToGrid w:val="0"/>
              <w:jc w:val="center"/>
              <w:rPr>
                <w:szCs w:val="21"/>
              </w:rPr>
            </w:pPr>
            <w:r>
              <w:rPr>
                <w:szCs w:val="21"/>
              </w:rPr>
              <w:t xml:space="preserve">采矿塌陷区稳定后及时复垦，恢复原有植被； </w:t>
            </w:r>
          </w:p>
        </w:tc>
        <w:tc>
          <w:tcPr>
            <w:tcW w:w="972" w:type="dxa"/>
            <w:vAlign w:val="center"/>
          </w:tcPr>
          <w:p>
            <w:pPr>
              <w:adjustRightInd w:val="0"/>
              <w:snapToGrid w:val="0"/>
              <w:jc w:val="center"/>
              <w:rPr>
                <w:szCs w:val="21"/>
              </w:rPr>
            </w:pPr>
            <w:r>
              <w:rPr>
                <w:szCs w:val="21"/>
              </w:rPr>
              <w:t>已实施</w:t>
            </w:r>
          </w:p>
        </w:tc>
        <w:tc>
          <w:tcPr>
            <w:tcW w:w="2653" w:type="dxa"/>
            <w:vAlign w:val="center"/>
          </w:tcPr>
          <w:p>
            <w:pPr>
              <w:adjustRightInd w:val="0"/>
              <w:snapToGrid w:val="0"/>
              <w:jc w:val="center"/>
              <w:rPr>
                <w:szCs w:val="21"/>
              </w:rPr>
            </w:pPr>
            <w:r>
              <w:rPr>
                <w:szCs w:val="21"/>
              </w:rPr>
              <w:t>两处塌陷区已经填充废石</w:t>
            </w:r>
            <w:r>
              <w:rPr>
                <w:rFonts w:hint="eastAsia"/>
                <w:szCs w:val="21"/>
              </w:rPr>
              <w:t>，</w:t>
            </w:r>
            <w:r>
              <w:rPr>
                <w:szCs w:val="21"/>
              </w:rPr>
              <w:t>填充面积分别为</w:t>
            </w:r>
            <w:r>
              <w:rPr>
                <w:rFonts w:hint="eastAsia"/>
                <w:szCs w:val="21"/>
              </w:rPr>
              <w:t>4900m</w:t>
            </w:r>
            <w:r>
              <w:rPr>
                <w:rFonts w:hint="eastAsia"/>
                <w:szCs w:val="21"/>
                <w:vertAlign w:val="superscript"/>
              </w:rPr>
              <w:t>2</w:t>
            </w:r>
            <w:r>
              <w:rPr>
                <w:rFonts w:hint="eastAsia"/>
                <w:szCs w:val="21"/>
              </w:rPr>
              <w:t>和6100m</w:t>
            </w:r>
            <w:r>
              <w:rPr>
                <w:rFonts w:hint="eastAsia"/>
                <w:szCs w:val="21"/>
                <w:vertAlign w:val="superscript"/>
              </w:rPr>
              <w:t>2</w:t>
            </w:r>
            <w:r>
              <w:rPr>
                <w:szCs w:val="21"/>
              </w:rPr>
              <w:t>并附覆土播撒草籽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467" w:type="dxa"/>
            <w:vMerge w:val="continue"/>
            <w:vAlign w:val="center"/>
          </w:tcPr>
          <w:p>
            <w:pPr>
              <w:adjustRightInd w:val="0"/>
              <w:snapToGrid w:val="0"/>
              <w:jc w:val="center"/>
              <w:rPr>
                <w:szCs w:val="21"/>
              </w:rPr>
            </w:pPr>
          </w:p>
        </w:tc>
        <w:tc>
          <w:tcPr>
            <w:tcW w:w="1068" w:type="dxa"/>
            <w:vMerge w:val="continue"/>
            <w:vAlign w:val="center"/>
          </w:tcPr>
          <w:p>
            <w:pPr>
              <w:adjustRightInd w:val="0"/>
              <w:snapToGrid w:val="0"/>
              <w:jc w:val="center"/>
              <w:rPr>
                <w:szCs w:val="21"/>
              </w:rPr>
            </w:pPr>
          </w:p>
        </w:tc>
        <w:tc>
          <w:tcPr>
            <w:tcW w:w="3362" w:type="dxa"/>
            <w:vAlign w:val="center"/>
          </w:tcPr>
          <w:p>
            <w:pPr>
              <w:adjustRightInd w:val="0"/>
              <w:snapToGrid w:val="0"/>
              <w:jc w:val="center"/>
              <w:rPr>
                <w:szCs w:val="21"/>
              </w:rPr>
            </w:pPr>
            <w:r>
              <w:rPr>
                <w:szCs w:val="21"/>
              </w:rPr>
              <w:t>废石堆场及尾矿库服务期满后复垦。</w:t>
            </w:r>
          </w:p>
        </w:tc>
        <w:tc>
          <w:tcPr>
            <w:tcW w:w="972" w:type="dxa"/>
            <w:vAlign w:val="center"/>
          </w:tcPr>
          <w:p>
            <w:pPr>
              <w:adjustRightInd w:val="0"/>
              <w:snapToGrid w:val="0"/>
              <w:jc w:val="center"/>
              <w:rPr>
                <w:szCs w:val="21"/>
              </w:rPr>
            </w:pPr>
            <w:r>
              <w:rPr>
                <w:szCs w:val="21"/>
              </w:rPr>
              <w:t>未实施</w:t>
            </w:r>
          </w:p>
        </w:tc>
        <w:tc>
          <w:tcPr>
            <w:tcW w:w="2653" w:type="dxa"/>
            <w:vAlign w:val="center"/>
          </w:tcPr>
          <w:p>
            <w:pPr>
              <w:adjustRightInd w:val="0"/>
              <w:snapToGrid w:val="0"/>
              <w:jc w:val="center"/>
              <w:rPr>
                <w:szCs w:val="21"/>
              </w:rPr>
            </w:pPr>
            <w:r>
              <w:rPr>
                <w:szCs w:val="21"/>
              </w:rPr>
              <w:t>废石场与尾矿库尚处于服务期内</w:t>
            </w:r>
          </w:p>
        </w:tc>
      </w:tr>
    </w:tbl>
    <w:p>
      <w:pPr>
        <w:pStyle w:val="74"/>
      </w:pPr>
      <w:bookmarkStart w:id="200" w:name="_Toc470358613"/>
      <w:r>
        <w:t>2.1.5.2原有工程综合整治及批复执行情况</w:t>
      </w:r>
      <w:bookmarkEnd w:id="200"/>
    </w:p>
    <w:p>
      <w:pPr>
        <w:pStyle w:val="88"/>
        <w:rPr>
          <w:color w:val="auto"/>
        </w:rPr>
      </w:pPr>
      <w:r>
        <w:rPr>
          <w:color w:val="auto"/>
        </w:rPr>
        <w:t xml:space="preserve">    《灵宝金源晨光有色矿冶有限公司硫铁矿分公司（20万吨/年采选）环境综合整治技术方案》并通过了河南省环保厅2012年6月27日组织的技术审查，2013年3月26日河南省环境保护厅豫环审【2013】124号文《关于灵宝金源晨光有色矿业有限公司矿业分公司柳硫磷分公司硫铁矿分公司环境综合治理项目的验收意见》通过了该项目环境综合整治验收。综合整治整改措施落实情况见表2.1-7。</w:t>
      </w:r>
    </w:p>
    <w:p>
      <w:pPr>
        <w:pStyle w:val="74"/>
        <w:spacing w:line="240" w:lineRule="auto"/>
        <w:rPr>
          <w:rFonts w:eastAsia="黑体"/>
          <w:b w:val="0"/>
          <w:sz w:val="22"/>
          <w:szCs w:val="22"/>
        </w:rPr>
      </w:pPr>
      <w:r>
        <w:rPr>
          <w:rFonts w:eastAsia="黑体"/>
          <w:b w:val="0"/>
          <w:sz w:val="22"/>
          <w:szCs w:val="22"/>
        </w:rPr>
        <w:t xml:space="preserve">    </w:t>
      </w:r>
      <w:bookmarkStart w:id="201" w:name="_Toc470358614"/>
      <w:r>
        <w:rPr>
          <w:rFonts w:eastAsia="黑体"/>
          <w:b w:val="0"/>
          <w:sz w:val="22"/>
          <w:szCs w:val="22"/>
        </w:rPr>
        <w:t>表2.1-7             综合整治措施及落实情况调查一览表</w:t>
      </w:r>
      <w:bookmarkEnd w:id="201"/>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6"/>
        <w:gridCol w:w="734"/>
        <w:gridCol w:w="1609"/>
        <w:gridCol w:w="2400"/>
        <w:gridCol w:w="2195"/>
        <w:gridCol w:w="7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1560" w:type="dxa"/>
            <w:gridSpan w:val="2"/>
            <w:vAlign w:val="center"/>
          </w:tcPr>
          <w:p>
            <w:pPr>
              <w:adjustRightInd w:val="0"/>
              <w:snapToGrid w:val="0"/>
              <w:jc w:val="center"/>
              <w:rPr>
                <w:sz w:val="20"/>
                <w:szCs w:val="20"/>
              </w:rPr>
            </w:pPr>
            <w:r>
              <w:rPr>
                <w:sz w:val="20"/>
                <w:szCs w:val="20"/>
              </w:rPr>
              <w:t>环节</w:t>
            </w:r>
          </w:p>
        </w:tc>
        <w:tc>
          <w:tcPr>
            <w:tcW w:w="1609" w:type="dxa"/>
            <w:vAlign w:val="center"/>
          </w:tcPr>
          <w:p>
            <w:pPr>
              <w:adjustRightInd w:val="0"/>
              <w:snapToGrid w:val="0"/>
              <w:jc w:val="center"/>
              <w:rPr>
                <w:sz w:val="20"/>
                <w:szCs w:val="20"/>
              </w:rPr>
            </w:pPr>
            <w:r>
              <w:rPr>
                <w:sz w:val="20"/>
                <w:szCs w:val="20"/>
              </w:rPr>
              <w:t>存在问题</w:t>
            </w:r>
          </w:p>
        </w:tc>
        <w:tc>
          <w:tcPr>
            <w:tcW w:w="2400" w:type="dxa"/>
            <w:vAlign w:val="center"/>
          </w:tcPr>
          <w:p>
            <w:pPr>
              <w:adjustRightInd w:val="0"/>
              <w:snapToGrid w:val="0"/>
              <w:jc w:val="center"/>
              <w:rPr>
                <w:bCs/>
                <w:sz w:val="20"/>
                <w:szCs w:val="20"/>
              </w:rPr>
            </w:pPr>
            <w:r>
              <w:rPr>
                <w:bCs/>
                <w:sz w:val="20"/>
                <w:szCs w:val="20"/>
              </w:rPr>
              <w:t>整改措施</w:t>
            </w:r>
          </w:p>
        </w:tc>
        <w:tc>
          <w:tcPr>
            <w:tcW w:w="2195" w:type="dxa"/>
            <w:vAlign w:val="center"/>
          </w:tcPr>
          <w:p>
            <w:pPr>
              <w:adjustRightInd w:val="0"/>
              <w:snapToGrid w:val="0"/>
              <w:jc w:val="center"/>
              <w:rPr>
                <w:sz w:val="20"/>
                <w:szCs w:val="20"/>
              </w:rPr>
            </w:pPr>
            <w:r>
              <w:rPr>
                <w:sz w:val="20"/>
                <w:szCs w:val="20"/>
              </w:rPr>
              <w:t>实际建成情况</w:t>
            </w:r>
          </w:p>
        </w:tc>
        <w:tc>
          <w:tcPr>
            <w:tcW w:w="758" w:type="dxa"/>
            <w:vAlign w:val="center"/>
          </w:tcPr>
          <w:p>
            <w:pPr>
              <w:adjustRightInd w:val="0"/>
              <w:snapToGrid w:val="0"/>
              <w:jc w:val="center"/>
              <w:rPr>
                <w:sz w:val="20"/>
                <w:szCs w:val="20"/>
              </w:rPr>
            </w:pPr>
            <w:r>
              <w:rPr>
                <w:sz w:val="20"/>
                <w:szCs w:val="20"/>
              </w:rPr>
              <w:t>落实情况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826" w:type="dxa"/>
            <w:vMerge w:val="restart"/>
            <w:vAlign w:val="center"/>
          </w:tcPr>
          <w:p>
            <w:pPr>
              <w:adjustRightInd w:val="0"/>
              <w:snapToGrid w:val="0"/>
              <w:jc w:val="center"/>
              <w:rPr>
                <w:sz w:val="20"/>
                <w:szCs w:val="20"/>
              </w:rPr>
            </w:pPr>
            <w:r>
              <w:rPr>
                <w:sz w:val="20"/>
                <w:szCs w:val="20"/>
              </w:rPr>
              <w:t>650t/d选矿</w:t>
            </w:r>
          </w:p>
        </w:tc>
        <w:tc>
          <w:tcPr>
            <w:tcW w:w="734" w:type="dxa"/>
            <w:vAlign w:val="center"/>
          </w:tcPr>
          <w:p>
            <w:pPr>
              <w:adjustRightInd w:val="0"/>
              <w:snapToGrid w:val="0"/>
              <w:jc w:val="center"/>
              <w:rPr>
                <w:sz w:val="20"/>
                <w:szCs w:val="20"/>
              </w:rPr>
            </w:pPr>
            <w:r>
              <w:rPr>
                <w:sz w:val="20"/>
                <w:szCs w:val="20"/>
              </w:rPr>
              <w:t>破碎</w:t>
            </w:r>
          </w:p>
        </w:tc>
        <w:tc>
          <w:tcPr>
            <w:tcW w:w="1609" w:type="dxa"/>
            <w:vMerge w:val="restart"/>
            <w:vAlign w:val="center"/>
          </w:tcPr>
          <w:p>
            <w:pPr>
              <w:adjustRightInd w:val="0"/>
              <w:snapToGrid w:val="0"/>
              <w:jc w:val="center"/>
              <w:rPr>
                <w:sz w:val="20"/>
                <w:szCs w:val="20"/>
              </w:rPr>
            </w:pPr>
            <w:r>
              <w:rPr>
                <w:sz w:val="20"/>
                <w:szCs w:val="20"/>
              </w:rPr>
              <w:t>无粉尘收集及处理装置</w:t>
            </w:r>
          </w:p>
        </w:tc>
        <w:tc>
          <w:tcPr>
            <w:tcW w:w="2400" w:type="dxa"/>
            <w:vMerge w:val="restart"/>
            <w:vAlign w:val="center"/>
          </w:tcPr>
          <w:p>
            <w:pPr>
              <w:adjustRightInd w:val="0"/>
              <w:snapToGrid w:val="0"/>
              <w:rPr>
                <w:sz w:val="20"/>
                <w:szCs w:val="20"/>
              </w:rPr>
            </w:pPr>
            <w:r>
              <w:rPr>
                <w:bCs/>
                <w:sz w:val="20"/>
                <w:szCs w:val="20"/>
              </w:rPr>
              <w:t>破碎工段集气罩4个，袋式除尘器1台，</w:t>
            </w:r>
            <w:r>
              <w:rPr>
                <w:sz w:val="20"/>
                <w:szCs w:val="20"/>
              </w:rPr>
              <w:t>Φ0.6×15m排气筒一个；</w:t>
            </w:r>
          </w:p>
          <w:p>
            <w:pPr>
              <w:adjustRightInd w:val="0"/>
              <w:snapToGrid w:val="0"/>
              <w:rPr>
                <w:bCs/>
                <w:sz w:val="20"/>
                <w:szCs w:val="20"/>
              </w:rPr>
            </w:pPr>
            <w:r>
              <w:rPr>
                <w:bCs/>
                <w:sz w:val="20"/>
                <w:szCs w:val="20"/>
              </w:rPr>
              <w:t>筛分工段集气罩2个，袋式除尘器1台，</w:t>
            </w:r>
            <w:r>
              <w:rPr>
                <w:sz w:val="20"/>
                <w:szCs w:val="20"/>
              </w:rPr>
              <w:t>Φ0.8×15m排气筒一个</w:t>
            </w:r>
          </w:p>
        </w:tc>
        <w:tc>
          <w:tcPr>
            <w:tcW w:w="2195" w:type="dxa"/>
            <w:vMerge w:val="restart"/>
            <w:vAlign w:val="center"/>
          </w:tcPr>
          <w:p>
            <w:pPr>
              <w:adjustRightInd w:val="0"/>
              <w:snapToGrid w:val="0"/>
              <w:rPr>
                <w:sz w:val="20"/>
                <w:szCs w:val="20"/>
              </w:rPr>
            </w:pPr>
            <w:r>
              <w:rPr>
                <w:bCs/>
                <w:sz w:val="20"/>
                <w:szCs w:val="20"/>
              </w:rPr>
              <w:t>破碎工段集气罩4个，袋式除尘器1台，</w:t>
            </w:r>
            <w:r>
              <w:rPr>
                <w:sz w:val="20"/>
                <w:szCs w:val="20"/>
              </w:rPr>
              <w:t>Φ0.6×15m排气筒一个；</w:t>
            </w:r>
          </w:p>
          <w:p>
            <w:pPr>
              <w:adjustRightInd w:val="0"/>
              <w:snapToGrid w:val="0"/>
              <w:rPr>
                <w:bCs/>
                <w:sz w:val="20"/>
                <w:szCs w:val="20"/>
              </w:rPr>
            </w:pPr>
            <w:r>
              <w:rPr>
                <w:bCs/>
                <w:sz w:val="20"/>
                <w:szCs w:val="20"/>
              </w:rPr>
              <w:t>筛分工段集气罩2个，袋式除尘器1台，</w:t>
            </w:r>
            <w:r>
              <w:rPr>
                <w:sz w:val="20"/>
                <w:szCs w:val="20"/>
              </w:rPr>
              <w:t>Φ0.8×15m排气筒一个，皮带密闭</w:t>
            </w:r>
          </w:p>
        </w:tc>
        <w:tc>
          <w:tcPr>
            <w:tcW w:w="758" w:type="dxa"/>
            <w:vMerge w:val="restart"/>
            <w:vAlign w:val="center"/>
          </w:tcPr>
          <w:p>
            <w:pPr>
              <w:adjustRightInd w:val="0"/>
              <w:snapToGrid w:val="0"/>
              <w:jc w:val="center"/>
              <w:rPr>
                <w:bCs/>
                <w:sz w:val="20"/>
                <w:szCs w:val="20"/>
              </w:rPr>
            </w:pPr>
            <w:r>
              <w:rPr>
                <w:bCs/>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6" w:type="dxa"/>
            <w:vMerge w:val="continue"/>
            <w:vAlign w:val="center"/>
          </w:tcPr>
          <w:p>
            <w:pPr>
              <w:adjustRightInd w:val="0"/>
              <w:snapToGrid w:val="0"/>
              <w:jc w:val="center"/>
              <w:rPr>
                <w:sz w:val="20"/>
                <w:szCs w:val="20"/>
              </w:rPr>
            </w:pPr>
          </w:p>
        </w:tc>
        <w:tc>
          <w:tcPr>
            <w:tcW w:w="734" w:type="dxa"/>
            <w:vAlign w:val="center"/>
          </w:tcPr>
          <w:p>
            <w:pPr>
              <w:adjustRightInd w:val="0"/>
              <w:snapToGrid w:val="0"/>
              <w:jc w:val="center"/>
              <w:rPr>
                <w:sz w:val="20"/>
                <w:szCs w:val="20"/>
              </w:rPr>
            </w:pPr>
            <w:r>
              <w:rPr>
                <w:sz w:val="20"/>
                <w:szCs w:val="20"/>
              </w:rPr>
              <w:t>筛分车间</w:t>
            </w:r>
          </w:p>
        </w:tc>
        <w:tc>
          <w:tcPr>
            <w:tcW w:w="1609" w:type="dxa"/>
            <w:vMerge w:val="continue"/>
            <w:vAlign w:val="center"/>
          </w:tcPr>
          <w:p>
            <w:pPr>
              <w:adjustRightInd w:val="0"/>
              <w:snapToGrid w:val="0"/>
              <w:jc w:val="center"/>
              <w:rPr>
                <w:sz w:val="20"/>
                <w:szCs w:val="20"/>
              </w:rPr>
            </w:pPr>
          </w:p>
        </w:tc>
        <w:tc>
          <w:tcPr>
            <w:tcW w:w="2400" w:type="dxa"/>
            <w:vMerge w:val="continue"/>
            <w:vAlign w:val="center"/>
          </w:tcPr>
          <w:p>
            <w:pPr>
              <w:adjustRightInd w:val="0"/>
              <w:snapToGrid w:val="0"/>
              <w:rPr>
                <w:sz w:val="20"/>
                <w:szCs w:val="20"/>
              </w:rPr>
            </w:pPr>
          </w:p>
        </w:tc>
        <w:tc>
          <w:tcPr>
            <w:tcW w:w="2195" w:type="dxa"/>
            <w:vMerge w:val="continue"/>
            <w:vAlign w:val="center"/>
          </w:tcPr>
          <w:p>
            <w:pPr>
              <w:adjustRightInd w:val="0"/>
              <w:snapToGrid w:val="0"/>
              <w:rPr>
                <w:sz w:val="20"/>
                <w:szCs w:val="20"/>
              </w:rPr>
            </w:pPr>
          </w:p>
        </w:tc>
        <w:tc>
          <w:tcPr>
            <w:tcW w:w="758" w:type="dxa"/>
            <w:vMerge w:val="continue"/>
            <w:vAlign w:val="center"/>
          </w:tcPr>
          <w:p>
            <w:pPr>
              <w:adjustRightInd w:val="0"/>
              <w:snapToGrid w:val="0"/>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6" w:type="dxa"/>
            <w:vMerge w:val="continue"/>
            <w:vAlign w:val="center"/>
          </w:tcPr>
          <w:p>
            <w:pPr>
              <w:adjustRightInd w:val="0"/>
              <w:snapToGrid w:val="0"/>
              <w:jc w:val="center"/>
              <w:rPr>
                <w:sz w:val="20"/>
                <w:szCs w:val="20"/>
              </w:rPr>
            </w:pPr>
          </w:p>
        </w:tc>
        <w:tc>
          <w:tcPr>
            <w:tcW w:w="734" w:type="dxa"/>
            <w:vAlign w:val="center"/>
          </w:tcPr>
          <w:p>
            <w:pPr>
              <w:adjustRightInd w:val="0"/>
              <w:snapToGrid w:val="0"/>
              <w:jc w:val="center"/>
              <w:rPr>
                <w:sz w:val="20"/>
                <w:szCs w:val="20"/>
              </w:rPr>
            </w:pPr>
            <w:r>
              <w:rPr>
                <w:sz w:val="20"/>
                <w:szCs w:val="20"/>
              </w:rPr>
              <w:t>皮带仓</w:t>
            </w:r>
          </w:p>
        </w:tc>
        <w:tc>
          <w:tcPr>
            <w:tcW w:w="1609" w:type="dxa"/>
            <w:vMerge w:val="continue"/>
            <w:vAlign w:val="center"/>
          </w:tcPr>
          <w:p>
            <w:pPr>
              <w:adjustRightInd w:val="0"/>
              <w:snapToGrid w:val="0"/>
              <w:jc w:val="center"/>
              <w:rPr>
                <w:sz w:val="20"/>
                <w:szCs w:val="20"/>
              </w:rPr>
            </w:pPr>
          </w:p>
        </w:tc>
        <w:tc>
          <w:tcPr>
            <w:tcW w:w="2400" w:type="dxa"/>
            <w:vMerge w:val="continue"/>
            <w:tcBorders>
              <w:bottom w:val="single" w:color="auto" w:sz="4" w:space="0"/>
            </w:tcBorders>
            <w:vAlign w:val="center"/>
          </w:tcPr>
          <w:p>
            <w:pPr>
              <w:adjustRightInd w:val="0"/>
              <w:snapToGrid w:val="0"/>
              <w:rPr>
                <w:sz w:val="20"/>
                <w:szCs w:val="20"/>
              </w:rPr>
            </w:pPr>
          </w:p>
        </w:tc>
        <w:tc>
          <w:tcPr>
            <w:tcW w:w="2195" w:type="dxa"/>
            <w:vMerge w:val="continue"/>
            <w:tcBorders>
              <w:bottom w:val="single" w:color="auto" w:sz="4" w:space="0"/>
            </w:tcBorders>
            <w:vAlign w:val="center"/>
          </w:tcPr>
          <w:p>
            <w:pPr>
              <w:adjustRightInd w:val="0"/>
              <w:snapToGrid w:val="0"/>
              <w:rPr>
                <w:sz w:val="20"/>
                <w:szCs w:val="20"/>
              </w:rPr>
            </w:pPr>
          </w:p>
        </w:tc>
        <w:tc>
          <w:tcPr>
            <w:tcW w:w="758" w:type="dxa"/>
            <w:vMerge w:val="continue"/>
            <w:tcBorders>
              <w:bottom w:val="single" w:color="auto" w:sz="4" w:space="0"/>
            </w:tcBorders>
            <w:vAlign w:val="center"/>
          </w:tcPr>
          <w:p>
            <w:pPr>
              <w:adjustRightInd w:val="0"/>
              <w:snapToGrid w:val="0"/>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6" w:type="dxa"/>
            <w:vMerge w:val="continue"/>
            <w:vAlign w:val="center"/>
          </w:tcPr>
          <w:p>
            <w:pPr>
              <w:adjustRightInd w:val="0"/>
              <w:snapToGrid w:val="0"/>
              <w:jc w:val="center"/>
              <w:rPr>
                <w:sz w:val="20"/>
                <w:szCs w:val="20"/>
              </w:rPr>
            </w:pPr>
          </w:p>
        </w:tc>
        <w:tc>
          <w:tcPr>
            <w:tcW w:w="734" w:type="dxa"/>
            <w:vAlign w:val="center"/>
          </w:tcPr>
          <w:p>
            <w:pPr>
              <w:adjustRightInd w:val="0"/>
              <w:snapToGrid w:val="0"/>
              <w:jc w:val="center"/>
              <w:rPr>
                <w:sz w:val="20"/>
                <w:szCs w:val="20"/>
              </w:rPr>
            </w:pPr>
            <w:r>
              <w:rPr>
                <w:sz w:val="20"/>
                <w:szCs w:val="20"/>
              </w:rPr>
              <w:t>事故水池</w:t>
            </w:r>
          </w:p>
        </w:tc>
        <w:tc>
          <w:tcPr>
            <w:tcW w:w="1609" w:type="dxa"/>
            <w:vAlign w:val="center"/>
          </w:tcPr>
          <w:p>
            <w:pPr>
              <w:adjustRightInd w:val="0"/>
              <w:snapToGrid w:val="0"/>
              <w:jc w:val="center"/>
              <w:rPr>
                <w:sz w:val="20"/>
                <w:szCs w:val="20"/>
              </w:rPr>
            </w:pPr>
            <w:r>
              <w:rPr>
                <w:sz w:val="20"/>
                <w:szCs w:val="20"/>
              </w:rPr>
              <w:t>事故水池堆满精矿</w:t>
            </w:r>
          </w:p>
        </w:tc>
        <w:tc>
          <w:tcPr>
            <w:tcW w:w="2400" w:type="dxa"/>
            <w:tcBorders>
              <w:top w:val="single" w:color="auto" w:sz="4" w:space="0"/>
              <w:bottom w:val="single" w:color="auto" w:sz="4" w:space="0"/>
            </w:tcBorders>
            <w:vAlign w:val="center"/>
          </w:tcPr>
          <w:p>
            <w:pPr>
              <w:adjustRightInd w:val="0"/>
              <w:snapToGrid w:val="0"/>
              <w:rPr>
                <w:sz w:val="20"/>
                <w:szCs w:val="20"/>
              </w:rPr>
            </w:pPr>
            <w:r>
              <w:rPr>
                <w:sz w:val="20"/>
                <w:szCs w:val="20"/>
              </w:rPr>
              <w:t>精矿转移出选矿厂事故水池至精粉沉淀池</w:t>
            </w:r>
          </w:p>
        </w:tc>
        <w:tc>
          <w:tcPr>
            <w:tcW w:w="2195" w:type="dxa"/>
            <w:tcBorders>
              <w:top w:val="single" w:color="auto" w:sz="4" w:space="0"/>
              <w:bottom w:val="single" w:color="auto" w:sz="4" w:space="0"/>
            </w:tcBorders>
            <w:vAlign w:val="center"/>
          </w:tcPr>
          <w:p>
            <w:pPr>
              <w:adjustRightInd w:val="0"/>
              <w:snapToGrid w:val="0"/>
              <w:rPr>
                <w:sz w:val="20"/>
                <w:szCs w:val="20"/>
              </w:rPr>
            </w:pPr>
            <w:r>
              <w:rPr>
                <w:sz w:val="20"/>
                <w:szCs w:val="20"/>
              </w:rPr>
              <w:t>精矿转移出选矿厂事故水池至精粉沉淀池</w:t>
            </w:r>
          </w:p>
        </w:tc>
        <w:tc>
          <w:tcPr>
            <w:tcW w:w="758" w:type="dxa"/>
            <w:tcBorders>
              <w:top w:val="single" w:color="auto" w:sz="4" w:space="0"/>
              <w:bottom w:val="single" w:color="auto" w:sz="4" w:space="0"/>
            </w:tcBorders>
            <w:vAlign w:val="center"/>
          </w:tcPr>
          <w:p>
            <w:pPr>
              <w:adjustRightInd w:val="0"/>
              <w:snapToGrid w:val="0"/>
              <w:jc w:val="center"/>
              <w:rPr>
                <w:sz w:val="20"/>
                <w:szCs w:val="20"/>
              </w:rPr>
            </w:pPr>
            <w:r>
              <w:rPr>
                <w:bCs/>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6" w:type="dxa"/>
            <w:vMerge w:val="continue"/>
            <w:vAlign w:val="center"/>
          </w:tcPr>
          <w:p>
            <w:pPr>
              <w:adjustRightInd w:val="0"/>
              <w:snapToGrid w:val="0"/>
              <w:jc w:val="center"/>
              <w:rPr>
                <w:sz w:val="20"/>
                <w:szCs w:val="20"/>
              </w:rPr>
            </w:pPr>
          </w:p>
        </w:tc>
        <w:tc>
          <w:tcPr>
            <w:tcW w:w="734" w:type="dxa"/>
            <w:vAlign w:val="center"/>
          </w:tcPr>
          <w:p>
            <w:pPr>
              <w:adjustRightInd w:val="0"/>
              <w:snapToGrid w:val="0"/>
              <w:jc w:val="center"/>
              <w:rPr>
                <w:sz w:val="20"/>
                <w:szCs w:val="20"/>
              </w:rPr>
            </w:pPr>
            <w:r>
              <w:rPr>
                <w:sz w:val="20"/>
                <w:szCs w:val="20"/>
              </w:rPr>
              <w:t>选矿废水</w:t>
            </w:r>
          </w:p>
        </w:tc>
        <w:tc>
          <w:tcPr>
            <w:tcW w:w="1609" w:type="dxa"/>
            <w:vAlign w:val="center"/>
          </w:tcPr>
          <w:p>
            <w:pPr>
              <w:adjustRightInd w:val="0"/>
              <w:snapToGrid w:val="0"/>
              <w:jc w:val="center"/>
              <w:rPr>
                <w:sz w:val="20"/>
                <w:szCs w:val="20"/>
              </w:rPr>
            </w:pPr>
            <w:r>
              <w:rPr>
                <w:sz w:val="20"/>
                <w:szCs w:val="20"/>
              </w:rPr>
              <w:t>车间排放口水中铅、镉超标</w:t>
            </w:r>
          </w:p>
        </w:tc>
        <w:tc>
          <w:tcPr>
            <w:tcW w:w="2400" w:type="dxa"/>
            <w:tcBorders>
              <w:top w:val="single" w:color="auto" w:sz="4" w:space="0"/>
              <w:bottom w:val="single" w:color="auto" w:sz="4" w:space="0"/>
            </w:tcBorders>
            <w:vAlign w:val="center"/>
          </w:tcPr>
          <w:p>
            <w:pPr>
              <w:adjustRightInd w:val="0"/>
              <w:snapToGrid w:val="0"/>
              <w:rPr>
                <w:sz w:val="20"/>
                <w:szCs w:val="20"/>
              </w:rPr>
            </w:pPr>
            <w:r>
              <w:rPr>
                <w:sz w:val="20"/>
                <w:szCs w:val="20"/>
              </w:rPr>
              <w:t>重金属捕收剂+絮凝沉淀法去除重金属离子</w:t>
            </w:r>
          </w:p>
        </w:tc>
        <w:tc>
          <w:tcPr>
            <w:tcW w:w="2195" w:type="dxa"/>
            <w:tcBorders>
              <w:top w:val="single" w:color="auto" w:sz="4" w:space="0"/>
              <w:bottom w:val="single" w:color="auto" w:sz="4" w:space="0"/>
            </w:tcBorders>
            <w:vAlign w:val="center"/>
          </w:tcPr>
          <w:p>
            <w:pPr>
              <w:adjustRightInd w:val="0"/>
              <w:snapToGrid w:val="0"/>
              <w:rPr>
                <w:sz w:val="20"/>
                <w:szCs w:val="20"/>
              </w:rPr>
            </w:pPr>
            <w:r>
              <w:rPr>
                <w:sz w:val="20"/>
                <w:szCs w:val="20"/>
              </w:rPr>
              <w:t>重金属捕收剂+絮凝沉淀法去除重金属离子</w:t>
            </w:r>
          </w:p>
        </w:tc>
        <w:tc>
          <w:tcPr>
            <w:tcW w:w="758" w:type="dxa"/>
            <w:tcBorders>
              <w:top w:val="single" w:color="auto" w:sz="4" w:space="0"/>
              <w:bottom w:val="single" w:color="auto" w:sz="4" w:space="0"/>
            </w:tcBorders>
            <w:vAlign w:val="center"/>
          </w:tcPr>
          <w:p>
            <w:pPr>
              <w:adjustRightInd w:val="0"/>
              <w:snapToGrid w:val="0"/>
              <w:jc w:val="center"/>
              <w:rPr>
                <w:sz w:val="20"/>
                <w:szCs w:val="20"/>
              </w:rPr>
            </w:pPr>
            <w:r>
              <w:rPr>
                <w:bCs/>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6" w:type="dxa"/>
            <w:vMerge w:val="continue"/>
            <w:vAlign w:val="center"/>
          </w:tcPr>
          <w:p>
            <w:pPr>
              <w:adjustRightInd w:val="0"/>
              <w:snapToGrid w:val="0"/>
              <w:jc w:val="center"/>
              <w:rPr>
                <w:sz w:val="20"/>
                <w:szCs w:val="20"/>
              </w:rPr>
            </w:pPr>
          </w:p>
        </w:tc>
        <w:tc>
          <w:tcPr>
            <w:tcW w:w="734" w:type="dxa"/>
            <w:vAlign w:val="center"/>
          </w:tcPr>
          <w:p>
            <w:pPr>
              <w:adjustRightInd w:val="0"/>
              <w:snapToGrid w:val="0"/>
              <w:jc w:val="center"/>
              <w:rPr>
                <w:sz w:val="20"/>
                <w:szCs w:val="20"/>
              </w:rPr>
            </w:pPr>
            <w:r>
              <w:rPr>
                <w:sz w:val="20"/>
                <w:szCs w:val="20"/>
              </w:rPr>
              <w:t>精矿沉淀池</w:t>
            </w:r>
          </w:p>
        </w:tc>
        <w:tc>
          <w:tcPr>
            <w:tcW w:w="1609" w:type="dxa"/>
            <w:vAlign w:val="center"/>
          </w:tcPr>
          <w:p>
            <w:pPr>
              <w:adjustRightInd w:val="0"/>
              <w:snapToGrid w:val="0"/>
              <w:jc w:val="center"/>
              <w:rPr>
                <w:sz w:val="20"/>
                <w:szCs w:val="20"/>
              </w:rPr>
            </w:pPr>
            <w:r>
              <w:rPr>
                <w:sz w:val="20"/>
                <w:szCs w:val="20"/>
              </w:rPr>
              <w:t>未建防雨棚</w:t>
            </w:r>
          </w:p>
        </w:tc>
        <w:tc>
          <w:tcPr>
            <w:tcW w:w="2400" w:type="dxa"/>
            <w:tcBorders>
              <w:top w:val="single" w:color="auto" w:sz="4" w:space="0"/>
              <w:bottom w:val="single" w:color="auto" w:sz="4" w:space="0"/>
            </w:tcBorders>
            <w:vAlign w:val="center"/>
          </w:tcPr>
          <w:p>
            <w:pPr>
              <w:adjustRightInd w:val="0"/>
              <w:snapToGrid w:val="0"/>
              <w:rPr>
                <w:sz w:val="20"/>
                <w:szCs w:val="20"/>
              </w:rPr>
            </w:pPr>
            <w:r>
              <w:rPr>
                <w:sz w:val="20"/>
                <w:szCs w:val="20"/>
              </w:rPr>
              <w:t>搭建防雨棚</w:t>
            </w:r>
          </w:p>
        </w:tc>
        <w:tc>
          <w:tcPr>
            <w:tcW w:w="2195" w:type="dxa"/>
            <w:tcBorders>
              <w:top w:val="single" w:color="auto" w:sz="4" w:space="0"/>
              <w:bottom w:val="single" w:color="auto" w:sz="4" w:space="0"/>
            </w:tcBorders>
            <w:vAlign w:val="center"/>
          </w:tcPr>
          <w:p>
            <w:pPr>
              <w:adjustRightInd w:val="0"/>
              <w:snapToGrid w:val="0"/>
              <w:rPr>
                <w:sz w:val="20"/>
                <w:szCs w:val="20"/>
              </w:rPr>
            </w:pPr>
            <w:r>
              <w:rPr>
                <w:sz w:val="20"/>
                <w:szCs w:val="20"/>
              </w:rPr>
              <w:t>搭建防雨棚</w:t>
            </w:r>
          </w:p>
        </w:tc>
        <w:tc>
          <w:tcPr>
            <w:tcW w:w="758" w:type="dxa"/>
            <w:tcBorders>
              <w:top w:val="single" w:color="auto" w:sz="4" w:space="0"/>
              <w:bottom w:val="single" w:color="auto" w:sz="4" w:space="0"/>
            </w:tcBorders>
            <w:vAlign w:val="center"/>
          </w:tcPr>
          <w:p>
            <w:pPr>
              <w:adjustRightInd w:val="0"/>
              <w:snapToGrid w:val="0"/>
              <w:jc w:val="center"/>
              <w:rPr>
                <w:sz w:val="20"/>
                <w:szCs w:val="20"/>
              </w:rPr>
            </w:pPr>
            <w:r>
              <w:rPr>
                <w:bCs/>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6" w:type="dxa"/>
            <w:vMerge w:val="continue"/>
            <w:vAlign w:val="center"/>
          </w:tcPr>
          <w:p>
            <w:pPr>
              <w:adjustRightInd w:val="0"/>
              <w:snapToGrid w:val="0"/>
              <w:jc w:val="center"/>
              <w:rPr>
                <w:sz w:val="20"/>
                <w:szCs w:val="20"/>
              </w:rPr>
            </w:pPr>
          </w:p>
        </w:tc>
        <w:tc>
          <w:tcPr>
            <w:tcW w:w="734" w:type="dxa"/>
            <w:vAlign w:val="center"/>
          </w:tcPr>
          <w:p>
            <w:pPr>
              <w:adjustRightInd w:val="0"/>
              <w:snapToGrid w:val="0"/>
              <w:jc w:val="center"/>
              <w:rPr>
                <w:sz w:val="20"/>
                <w:szCs w:val="20"/>
              </w:rPr>
            </w:pPr>
            <w:r>
              <w:rPr>
                <w:sz w:val="20"/>
                <w:szCs w:val="20"/>
              </w:rPr>
              <w:t>浮磨车间</w:t>
            </w:r>
          </w:p>
        </w:tc>
        <w:tc>
          <w:tcPr>
            <w:tcW w:w="1609" w:type="dxa"/>
            <w:vAlign w:val="center"/>
          </w:tcPr>
          <w:p>
            <w:pPr>
              <w:adjustRightInd w:val="0"/>
              <w:snapToGrid w:val="0"/>
              <w:jc w:val="center"/>
              <w:rPr>
                <w:sz w:val="20"/>
                <w:szCs w:val="20"/>
              </w:rPr>
            </w:pPr>
            <w:r>
              <w:rPr>
                <w:sz w:val="20"/>
                <w:szCs w:val="20"/>
              </w:rPr>
              <w:t>浮选药剂乱堆乱放</w:t>
            </w:r>
          </w:p>
        </w:tc>
        <w:tc>
          <w:tcPr>
            <w:tcW w:w="2400" w:type="dxa"/>
            <w:tcBorders>
              <w:top w:val="single" w:color="auto" w:sz="4" w:space="0"/>
              <w:bottom w:val="single" w:color="auto" w:sz="4" w:space="0"/>
            </w:tcBorders>
            <w:vAlign w:val="center"/>
          </w:tcPr>
          <w:p>
            <w:pPr>
              <w:adjustRightInd w:val="0"/>
              <w:snapToGrid w:val="0"/>
              <w:rPr>
                <w:sz w:val="20"/>
                <w:szCs w:val="20"/>
              </w:rPr>
            </w:pPr>
            <w:r>
              <w:rPr>
                <w:sz w:val="20"/>
                <w:szCs w:val="20"/>
              </w:rPr>
              <w:t>将浮选药剂转移至专门药剂库</w:t>
            </w:r>
          </w:p>
        </w:tc>
        <w:tc>
          <w:tcPr>
            <w:tcW w:w="2195" w:type="dxa"/>
            <w:tcBorders>
              <w:top w:val="single" w:color="auto" w:sz="4" w:space="0"/>
              <w:bottom w:val="single" w:color="auto" w:sz="4" w:space="0"/>
            </w:tcBorders>
            <w:vAlign w:val="center"/>
          </w:tcPr>
          <w:p>
            <w:pPr>
              <w:adjustRightInd w:val="0"/>
              <w:snapToGrid w:val="0"/>
              <w:rPr>
                <w:sz w:val="20"/>
                <w:szCs w:val="20"/>
              </w:rPr>
            </w:pPr>
            <w:r>
              <w:rPr>
                <w:sz w:val="20"/>
                <w:szCs w:val="20"/>
              </w:rPr>
              <w:t>将浮选药剂转移至专门药剂库</w:t>
            </w:r>
          </w:p>
        </w:tc>
        <w:tc>
          <w:tcPr>
            <w:tcW w:w="758" w:type="dxa"/>
            <w:tcBorders>
              <w:top w:val="single" w:color="auto" w:sz="4" w:space="0"/>
              <w:bottom w:val="single" w:color="auto" w:sz="4" w:space="0"/>
            </w:tcBorders>
            <w:vAlign w:val="center"/>
          </w:tcPr>
          <w:p>
            <w:pPr>
              <w:adjustRightInd w:val="0"/>
              <w:snapToGrid w:val="0"/>
              <w:jc w:val="center"/>
              <w:rPr>
                <w:sz w:val="20"/>
                <w:szCs w:val="20"/>
              </w:rPr>
            </w:pPr>
            <w:r>
              <w:rPr>
                <w:bCs/>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6" w:type="dxa"/>
            <w:vMerge w:val="continue"/>
            <w:vAlign w:val="center"/>
          </w:tcPr>
          <w:p>
            <w:pPr>
              <w:adjustRightInd w:val="0"/>
              <w:snapToGrid w:val="0"/>
              <w:jc w:val="center"/>
              <w:rPr>
                <w:sz w:val="20"/>
                <w:szCs w:val="20"/>
              </w:rPr>
            </w:pPr>
          </w:p>
        </w:tc>
        <w:tc>
          <w:tcPr>
            <w:tcW w:w="734" w:type="dxa"/>
            <w:vAlign w:val="center"/>
          </w:tcPr>
          <w:p>
            <w:pPr>
              <w:adjustRightInd w:val="0"/>
              <w:snapToGrid w:val="0"/>
              <w:jc w:val="center"/>
              <w:rPr>
                <w:sz w:val="20"/>
                <w:szCs w:val="20"/>
              </w:rPr>
            </w:pPr>
            <w:r>
              <w:rPr>
                <w:sz w:val="20"/>
                <w:szCs w:val="20"/>
              </w:rPr>
              <w:t>生态环境</w:t>
            </w:r>
          </w:p>
        </w:tc>
        <w:tc>
          <w:tcPr>
            <w:tcW w:w="1609" w:type="dxa"/>
            <w:vAlign w:val="center"/>
          </w:tcPr>
          <w:p>
            <w:pPr>
              <w:adjustRightInd w:val="0"/>
              <w:snapToGrid w:val="0"/>
              <w:jc w:val="center"/>
              <w:rPr>
                <w:sz w:val="20"/>
                <w:szCs w:val="20"/>
              </w:rPr>
            </w:pPr>
            <w:r>
              <w:rPr>
                <w:sz w:val="20"/>
                <w:szCs w:val="20"/>
              </w:rPr>
              <w:t>厂区及道路两侧的绿化较差</w:t>
            </w:r>
          </w:p>
        </w:tc>
        <w:tc>
          <w:tcPr>
            <w:tcW w:w="2400" w:type="dxa"/>
            <w:tcBorders>
              <w:top w:val="single" w:color="auto" w:sz="4" w:space="0"/>
            </w:tcBorders>
            <w:vAlign w:val="center"/>
          </w:tcPr>
          <w:p>
            <w:pPr>
              <w:adjustRightInd w:val="0"/>
              <w:snapToGrid w:val="0"/>
              <w:rPr>
                <w:sz w:val="20"/>
                <w:szCs w:val="20"/>
              </w:rPr>
            </w:pPr>
            <w:r>
              <w:rPr>
                <w:sz w:val="20"/>
                <w:szCs w:val="20"/>
              </w:rPr>
              <w:t>统一规划，加强厂区及道路两侧的绿化工作</w:t>
            </w:r>
          </w:p>
        </w:tc>
        <w:tc>
          <w:tcPr>
            <w:tcW w:w="2195" w:type="dxa"/>
            <w:tcBorders>
              <w:top w:val="single" w:color="auto" w:sz="4" w:space="0"/>
            </w:tcBorders>
            <w:vAlign w:val="center"/>
          </w:tcPr>
          <w:p>
            <w:pPr>
              <w:adjustRightInd w:val="0"/>
              <w:snapToGrid w:val="0"/>
              <w:rPr>
                <w:sz w:val="20"/>
                <w:szCs w:val="20"/>
              </w:rPr>
            </w:pPr>
            <w:r>
              <w:rPr>
                <w:sz w:val="20"/>
                <w:szCs w:val="20"/>
              </w:rPr>
              <w:t>加强厂区及道路两侧的绿化工作</w:t>
            </w:r>
          </w:p>
        </w:tc>
        <w:tc>
          <w:tcPr>
            <w:tcW w:w="758" w:type="dxa"/>
            <w:tcBorders>
              <w:top w:val="single" w:color="auto" w:sz="4" w:space="0"/>
            </w:tcBorders>
            <w:vAlign w:val="center"/>
          </w:tcPr>
          <w:p>
            <w:pPr>
              <w:adjustRightInd w:val="0"/>
              <w:snapToGrid w:val="0"/>
              <w:jc w:val="center"/>
              <w:rPr>
                <w:sz w:val="20"/>
                <w:szCs w:val="20"/>
              </w:rPr>
            </w:pPr>
            <w:r>
              <w:rPr>
                <w:bCs/>
                <w:sz w:val="20"/>
                <w:szCs w:val="20"/>
              </w:rPr>
              <w:t>已落实</w:t>
            </w:r>
          </w:p>
        </w:tc>
      </w:tr>
    </w:tbl>
    <w:p>
      <w:pPr>
        <w:pStyle w:val="74"/>
      </w:pPr>
      <w:bookmarkStart w:id="202" w:name="_Toc470358615"/>
      <w:r>
        <w:t>2.1.6存在环保问题及整改情况调查</w:t>
      </w:r>
      <w:bookmarkEnd w:id="202"/>
    </w:p>
    <w:p>
      <w:pPr>
        <w:pStyle w:val="88"/>
        <w:spacing w:line="360" w:lineRule="auto"/>
        <w:rPr>
          <w:color w:val="auto"/>
        </w:rPr>
      </w:pPr>
      <w:r>
        <w:rPr>
          <w:color w:val="auto"/>
        </w:rPr>
        <w:t xml:space="preserve">   “灵宝金源晨光有色矿冶有限公司银家沟硫铁矿综合回收扩建工程项目”环境影响评价期间，按照现行环保管理要求对原有工程提出了整改措施，其整改情况见表2.1-8。</w:t>
      </w:r>
    </w:p>
    <w:p>
      <w:pPr>
        <w:pStyle w:val="74"/>
        <w:spacing w:line="240" w:lineRule="auto"/>
        <w:rPr>
          <w:rFonts w:eastAsia="黑体"/>
          <w:b w:val="0"/>
          <w:sz w:val="22"/>
          <w:szCs w:val="22"/>
        </w:rPr>
      </w:pPr>
      <w:r>
        <w:rPr>
          <w:rFonts w:eastAsia="黑体"/>
          <w:b w:val="0"/>
          <w:sz w:val="22"/>
          <w:szCs w:val="22"/>
        </w:rPr>
        <w:t xml:space="preserve">   </w:t>
      </w:r>
      <w:bookmarkStart w:id="203" w:name="_Toc470358616"/>
      <w:r>
        <w:rPr>
          <w:rFonts w:eastAsia="黑体"/>
          <w:b w:val="0"/>
          <w:sz w:val="22"/>
          <w:szCs w:val="22"/>
        </w:rPr>
        <w:t>表2.1-8        原有工程存在环保问题及措施情况调查一览表</w:t>
      </w:r>
      <w:bookmarkEnd w:id="203"/>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5"/>
        <w:gridCol w:w="1641"/>
        <w:gridCol w:w="4231"/>
        <w:gridCol w:w="11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08" w:type="dxa"/>
            <w:gridSpan w:val="2"/>
          </w:tcPr>
          <w:p>
            <w:pPr>
              <w:rPr>
                <w:sz w:val="20"/>
                <w:szCs w:val="20"/>
              </w:rPr>
            </w:pPr>
            <w:r>
              <w:rPr>
                <w:sz w:val="20"/>
                <w:szCs w:val="20"/>
              </w:rPr>
              <w:t>项目</w:t>
            </w:r>
          </w:p>
        </w:tc>
        <w:tc>
          <w:tcPr>
            <w:tcW w:w="1641" w:type="dxa"/>
          </w:tcPr>
          <w:p>
            <w:pPr>
              <w:rPr>
                <w:sz w:val="20"/>
                <w:szCs w:val="20"/>
              </w:rPr>
            </w:pPr>
            <w:r>
              <w:rPr>
                <w:sz w:val="20"/>
                <w:szCs w:val="20"/>
              </w:rPr>
              <w:t>存在问题</w:t>
            </w:r>
          </w:p>
        </w:tc>
        <w:tc>
          <w:tcPr>
            <w:tcW w:w="4231" w:type="dxa"/>
          </w:tcPr>
          <w:p>
            <w:pPr>
              <w:jc w:val="center"/>
              <w:rPr>
                <w:sz w:val="20"/>
                <w:szCs w:val="20"/>
              </w:rPr>
            </w:pPr>
            <w:r>
              <w:rPr>
                <w:sz w:val="20"/>
                <w:szCs w:val="20"/>
              </w:rPr>
              <w:t>整改措施</w:t>
            </w:r>
          </w:p>
        </w:tc>
        <w:tc>
          <w:tcPr>
            <w:tcW w:w="1142" w:type="dxa"/>
            <w:vAlign w:val="center"/>
          </w:tcPr>
          <w:p>
            <w:pPr>
              <w:jc w:val="center"/>
              <w:rPr>
                <w:sz w:val="20"/>
                <w:szCs w:val="20"/>
              </w:rPr>
            </w:pPr>
            <w:r>
              <w:rPr>
                <w:sz w:val="20"/>
                <w:szCs w:val="20"/>
              </w:rPr>
              <w:t>是否落实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vMerge w:val="restart"/>
            <w:vAlign w:val="center"/>
          </w:tcPr>
          <w:p>
            <w:pPr>
              <w:jc w:val="center"/>
              <w:rPr>
                <w:sz w:val="20"/>
                <w:szCs w:val="20"/>
              </w:rPr>
            </w:pPr>
            <w:r>
              <w:rPr>
                <w:sz w:val="20"/>
                <w:szCs w:val="20"/>
              </w:rPr>
              <w:t>采矿</w:t>
            </w:r>
          </w:p>
        </w:tc>
        <w:tc>
          <w:tcPr>
            <w:tcW w:w="755" w:type="dxa"/>
            <w:vAlign w:val="center"/>
          </w:tcPr>
          <w:p>
            <w:pPr>
              <w:jc w:val="center"/>
              <w:rPr>
                <w:sz w:val="20"/>
                <w:szCs w:val="20"/>
              </w:rPr>
            </w:pPr>
            <w:r>
              <w:rPr>
                <w:sz w:val="20"/>
                <w:szCs w:val="20"/>
              </w:rPr>
              <w:t>采矿</w:t>
            </w:r>
          </w:p>
        </w:tc>
        <w:tc>
          <w:tcPr>
            <w:tcW w:w="1641" w:type="dxa"/>
            <w:vAlign w:val="center"/>
          </w:tcPr>
          <w:p>
            <w:pPr>
              <w:rPr>
                <w:sz w:val="20"/>
                <w:szCs w:val="20"/>
              </w:rPr>
            </w:pPr>
            <w:r>
              <w:rPr>
                <w:sz w:val="20"/>
                <w:szCs w:val="20"/>
              </w:rPr>
              <w:t>地面塌陷两处</w:t>
            </w:r>
          </w:p>
        </w:tc>
        <w:tc>
          <w:tcPr>
            <w:tcW w:w="4231" w:type="dxa"/>
          </w:tcPr>
          <w:p>
            <w:pPr>
              <w:rPr>
                <w:sz w:val="20"/>
                <w:szCs w:val="20"/>
              </w:rPr>
            </w:pPr>
            <w:r>
              <w:rPr>
                <w:sz w:val="20"/>
                <w:szCs w:val="20"/>
              </w:rPr>
              <w:t>废石进行填充塌陷坑，</w:t>
            </w:r>
            <w:r>
              <w:rPr>
                <w:rFonts w:hint="eastAsia"/>
                <w:sz w:val="20"/>
                <w:szCs w:val="20"/>
              </w:rPr>
              <w:t>两处</w:t>
            </w:r>
            <w:r>
              <w:rPr>
                <w:sz w:val="20"/>
                <w:szCs w:val="20"/>
              </w:rPr>
              <w:t>塌陷区填充面积分别为</w:t>
            </w:r>
            <w:r>
              <w:rPr>
                <w:rFonts w:hint="eastAsia"/>
                <w:sz w:val="20"/>
                <w:szCs w:val="20"/>
              </w:rPr>
              <w:t>4900m</w:t>
            </w:r>
            <w:r>
              <w:rPr>
                <w:rFonts w:hint="eastAsia"/>
                <w:sz w:val="20"/>
                <w:szCs w:val="20"/>
                <w:vertAlign w:val="superscript"/>
              </w:rPr>
              <w:t>2</w:t>
            </w:r>
            <w:r>
              <w:rPr>
                <w:rFonts w:hint="eastAsia"/>
                <w:sz w:val="20"/>
                <w:szCs w:val="20"/>
              </w:rPr>
              <w:t>和6100m</w:t>
            </w:r>
            <w:r>
              <w:rPr>
                <w:rFonts w:hint="eastAsia"/>
                <w:sz w:val="20"/>
                <w:szCs w:val="20"/>
                <w:vertAlign w:val="superscript"/>
              </w:rPr>
              <w:t>2</w:t>
            </w:r>
            <w:r>
              <w:rPr>
                <w:rFonts w:hint="eastAsia"/>
                <w:sz w:val="20"/>
                <w:szCs w:val="20"/>
              </w:rPr>
              <w:t>。</w:t>
            </w:r>
          </w:p>
        </w:tc>
        <w:tc>
          <w:tcPr>
            <w:tcW w:w="1142"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vMerge w:val="continue"/>
            <w:tcBorders>
              <w:bottom w:val="single" w:color="auto" w:sz="4" w:space="0"/>
            </w:tcBorders>
            <w:vAlign w:val="center"/>
          </w:tcPr>
          <w:p>
            <w:pPr>
              <w:jc w:val="center"/>
              <w:rPr>
                <w:sz w:val="20"/>
                <w:szCs w:val="20"/>
              </w:rPr>
            </w:pPr>
          </w:p>
        </w:tc>
        <w:tc>
          <w:tcPr>
            <w:tcW w:w="755" w:type="dxa"/>
            <w:tcBorders>
              <w:bottom w:val="single" w:color="auto" w:sz="4" w:space="0"/>
            </w:tcBorders>
            <w:vAlign w:val="center"/>
          </w:tcPr>
          <w:p>
            <w:pPr>
              <w:jc w:val="center"/>
              <w:rPr>
                <w:sz w:val="20"/>
                <w:szCs w:val="20"/>
              </w:rPr>
            </w:pPr>
            <w:r>
              <w:rPr>
                <w:sz w:val="20"/>
                <w:szCs w:val="20"/>
              </w:rPr>
              <w:t>废石堆场</w:t>
            </w:r>
          </w:p>
        </w:tc>
        <w:tc>
          <w:tcPr>
            <w:tcW w:w="1641" w:type="dxa"/>
            <w:vAlign w:val="center"/>
          </w:tcPr>
          <w:p>
            <w:pPr>
              <w:rPr>
                <w:sz w:val="20"/>
                <w:szCs w:val="20"/>
              </w:rPr>
            </w:pPr>
            <w:r>
              <w:rPr>
                <w:sz w:val="20"/>
                <w:szCs w:val="20"/>
              </w:rPr>
              <w:t>无截水沟雨水和雨水收集池；无抑尘措施</w:t>
            </w:r>
          </w:p>
        </w:tc>
        <w:tc>
          <w:tcPr>
            <w:tcW w:w="4231" w:type="dxa"/>
          </w:tcPr>
          <w:p>
            <w:pPr>
              <w:rPr>
                <w:sz w:val="20"/>
                <w:szCs w:val="20"/>
              </w:rPr>
            </w:pPr>
            <w:r>
              <w:rPr>
                <w:sz w:val="20"/>
                <w:szCs w:val="20"/>
              </w:rPr>
              <w:t>在废石堆场周边修建浆砌石截水沟和雨水收集池。加强对废水堆场下游雨水收集池水质监测，若水有酸化，则投加石灰处理</w:t>
            </w:r>
            <w:r>
              <w:rPr>
                <w:rFonts w:hint="eastAsia"/>
                <w:sz w:val="20"/>
                <w:szCs w:val="20"/>
              </w:rPr>
              <w:t>。</w:t>
            </w:r>
            <w:r>
              <w:rPr>
                <w:sz w:val="20"/>
                <w:szCs w:val="20"/>
              </w:rPr>
              <w:t>收集雨水可作为废石场大风天气洒水抑尘用水</w:t>
            </w:r>
            <w:r>
              <w:rPr>
                <w:rFonts w:hint="eastAsia"/>
                <w:sz w:val="20"/>
                <w:szCs w:val="20"/>
              </w:rPr>
              <w:t>。</w:t>
            </w:r>
          </w:p>
        </w:tc>
        <w:tc>
          <w:tcPr>
            <w:tcW w:w="1142"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753" w:type="dxa"/>
            <w:vMerge w:val="restart"/>
            <w:tcBorders>
              <w:top w:val="single" w:color="auto" w:sz="4" w:space="0"/>
            </w:tcBorders>
            <w:vAlign w:val="center"/>
          </w:tcPr>
          <w:p>
            <w:pPr>
              <w:jc w:val="center"/>
              <w:rPr>
                <w:sz w:val="20"/>
                <w:szCs w:val="20"/>
              </w:rPr>
            </w:pPr>
            <w:r>
              <w:rPr>
                <w:sz w:val="20"/>
                <w:szCs w:val="20"/>
              </w:rPr>
              <w:t>650t/d选厂</w:t>
            </w:r>
          </w:p>
        </w:tc>
        <w:tc>
          <w:tcPr>
            <w:tcW w:w="755" w:type="dxa"/>
            <w:tcBorders>
              <w:top w:val="single" w:color="auto" w:sz="4" w:space="0"/>
            </w:tcBorders>
            <w:vAlign w:val="center"/>
          </w:tcPr>
          <w:p>
            <w:pPr>
              <w:jc w:val="center"/>
              <w:rPr>
                <w:sz w:val="20"/>
                <w:szCs w:val="20"/>
              </w:rPr>
            </w:pPr>
            <w:r>
              <w:rPr>
                <w:sz w:val="20"/>
                <w:szCs w:val="20"/>
              </w:rPr>
              <w:t>事故水池</w:t>
            </w:r>
          </w:p>
        </w:tc>
        <w:tc>
          <w:tcPr>
            <w:tcW w:w="1641" w:type="dxa"/>
            <w:vAlign w:val="center"/>
          </w:tcPr>
          <w:p>
            <w:pPr>
              <w:rPr>
                <w:sz w:val="20"/>
                <w:szCs w:val="20"/>
              </w:rPr>
            </w:pPr>
            <w:r>
              <w:rPr>
                <w:sz w:val="20"/>
                <w:szCs w:val="20"/>
              </w:rPr>
              <w:t>事故水池堆满精矿</w:t>
            </w:r>
          </w:p>
        </w:tc>
        <w:tc>
          <w:tcPr>
            <w:tcW w:w="4231" w:type="dxa"/>
            <w:vAlign w:val="center"/>
          </w:tcPr>
          <w:p>
            <w:pPr>
              <w:rPr>
                <w:sz w:val="20"/>
                <w:szCs w:val="20"/>
              </w:rPr>
            </w:pPr>
            <w:r>
              <w:rPr>
                <w:sz w:val="20"/>
                <w:szCs w:val="20"/>
              </w:rPr>
              <w:t>精矿转移出选矿厂事故水池至精粉沉淀池</w:t>
            </w:r>
          </w:p>
        </w:tc>
        <w:tc>
          <w:tcPr>
            <w:tcW w:w="1142"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vMerge w:val="continue"/>
            <w:vAlign w:val="center"/>
          </w:tcPr>
          <w:p>
            <w:pPr>
              <w:jc w:val="center"/>
              <w:rPr>
                <w:sz w:val="20"/>
                <w:szCs w:val="20"/>
              </w:rPr>
            </w:pPr>
          </w:p>
        </w:tc>
        <w:tc>
          <w:tcPr>
            <w:tcW w:w="755" w:type="dxa"/>
            <w:vAlign w:val="center"/>
          </w:tcPr>
          <w:p>
            <w:pPr>
              <w:jc w:val="center"/>
              <w:rPr>
                <w:sz w:val="20"/>
                <w:szCs w:val="20"/>
              </w:rPr>
            </w:pPr>
            <w:r>
              <w:rPr>
                <w:sz w:val="20"/>
                <w:szCs w:val="20"/>
              </w:rPr>
              <w:t>选矿废水</w:t>
            </w:r>
          </w:p>
        </w:tc>
        <w:tc>
          <w:tcPr>
            <w:tcW w:w="1641" w:type="dxa"/>
            <w:vAlign w:val="center"/>
          </w:tcPr>
          <w:p>
            <w:pPr>
              <w:rPr>
                <w:sz w:val="20"/>
                <w:szCs w:val="20"/>
              </w:rPr>
            </w:pPr>
            <w:r>
              <w:rPr>
                <w:sz w:val="20"/>
                <w:szCs w:val="20"/>
              </w:rPr>
              <w:t>车间排放口水中铅、镉超标</w:t>
            </w:r>
          </w:p>
        </w:tc>
        <w:tc>
          <w:tcPr>
            <w:tcW w:w="4231" w:type="dxa"/>
            <w:vAlign w:val="center"/>
          </w:tcPr>
          <w:p>
            <w:pPr>
              <w:rPr>
                <w:sz w:val="20"/>
                <w:szCs w:val="20"/>
              </w:rPr>
            </w:pPr>
            <w:r>
              <w:rPr>
                <w:sz w:val="20"/>
                <w:szCs w:val="20"/>
              </w:rPr>
              <w:t>选厂设置重金属捕收剂+絮凝沉淀法去除重金属离子</w:t>
            </w:r>
          </w:p>
        </w:tc>
        <w:tc>
          <w:tcPr>
            <w:tcW w:w="1142"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vMerge w:val="continue"/>
            <w:vAlign w:val="center"/>
          </w:tcPr>
          <w:p>
            <w:pPr>
              <w:jc w:val="center"/>
              <w:rPr>
                <w:sz w:val="20"/>
                <w:szCs w:val="20"/>
              </w:rPr>
            </w:pPr>
          </w:p>
        </w:tc>
        <w:tc>
          <w:tcPr>
            <w:tcW w:w="755" w:type="dxa"/>
            <w:vAlign w:val="center"/>
          </w:tcPr>
          <w:p>
            <w:pPr>
              <w:jc w:val="center"/>
              <w:rPr>
                <w:sz w:val="20"/>
                <w:szCs w:val="20"/>
              </w:rPr>
            </w:pPr>
            <w:r>
              <w:rPr>
                <w:sz w:val="20"/>
                <w:szCs w:val="20"/>
              </w:rPr>
              <w:t>精矿沉淀池</w:t>
            </w:r>
          </w:p>
        </w:tc>
        <w:tc>
          <w:tcPr>
            <w:tcW w:w="1641" w:type="dxa"/>
            <w:vAlign w:val="center"/>
          </w:tcPr>
          <w:p>
            <w:pPr>
              <w:rPr>
                <w:sz w:val="20"/>
                <w:szCs w:val="20"/>
              </w:rPr>
            </w:pPr>
            <w:r>
              <w:rPr>
                <w:sz w:val="20"/>
                <w:szCs w:val="20"/>
              </w:rPr>
              <w:t>未建防雨棚</w:t>
            </w:r>
          </w:p>
        </w:tc>
        <w:tc>
          <w:tcPr>
            <w:tcW w:w="4231" w:type="dxa"/>
            <w:vAlign w:val="center"/>
          </w:tcPr>
          <w:p>
            <w:pPr>
              <w:rPr>
                <w:sz w:val="20"/>
                <w:szCs w:val="20"/>
              </w:rPr>
            </w:pPr>
            <w:r>
              <w:rPr>
                <w:sz w:val="20"/>
                <w:szCs w:val="20"/>
              </w:rPr>
              <w:t>搭建防雨棚</w:t>
            </w:r>
          </w:p>
        </w:tc>
        <w:tc>
          <w:tcPr>
            <w:tcW w:w="1142"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vMerge w:val="continue"/>
            <w:vAlign w:val="center"/>
          </w:tcPr>
          <w:p>
            <w:pPr>
              <w:jc w:val="center"/>
              <w:rPr>
                <w:sz w:val="20"/>
                <w:szCs w:val="20"/>
              </w:rPr>
            </w:pPr>
          </w:p>
        </w:tc>
        <w:tc>
          <w:tcPr>
            <w:tcW w:w="755" w:type="dxa"/>
            <w:vAlign w:val="center"/>
          </w:tcPr>
          <w:p>
            <w:pPr>
              <w:jc w:val="center"/>
              <w:rPr>
                <w:sz w:val="20"/>
                <w:szCs w:val="20"/>
              </w:rPr>
            </w:pPr>
            <w:r>
              <w:rPr>
                <w:sz w:val="20"/>
                <w:szCs w:val="20"/>
              </w:rPr>
              <w:t>浮磨车间</w:t>
            </w:r>
          </w:p>
        </w:tc>
        <w:tc>
          <w:tcPr>
            <w:tcW w:w="1641" w:type="dxa"/>
            <w:vAlign w:val="center"/>
          </w:tcPr>
          <w:p>
            <w:pPr>
              <w:rPr>
                <w:sz w:val="20"/>
                <w:szCs w:val="20"/>
              </w:rPr>
            </w:pPr>
            <w:r>
              <w:rPr>
                <w:sz w:val="20"/>
                <w:szCs w:val="20"/>
              </w:rPr>
              <w:t>浮选药剂乱堆乱放</w:t>
            </w:r>
          </w:p>
        </w:tc>
        <w:tc>
          <w:tcPr>
            <w:tcW w:w="4231" w:type="dxa"/>
          </w:tcPr>
          <w:p>
            <w:pPr>
              <w:rPr>
                <w:sz w:val="20"/>
                <w:szCs w:val="20"/>
              </w:rPr>
            </w:pPr>
            <w:r>
              <w:rPr>
                <w:sz w:val="20"/>
                <w:szCs w:val="20"/>
              </w:rPr>
              <w:t>将浮选药剂转移至专门药剂库</w:t>
            </w:r>
          </w:p>
        </w:tc>
        <w:tc>
          <w:tcPr>
            <w:tcW w:w="1142"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vMerge w:val="restart"/>
            <w:vAlign w:val="center"/>
          </w:tcPr>
          <w:p>
            <w:pPr>
              <w:jc w:val="center"/>
              <w:rPr>
                <w:sz w:val="20"/>
                <w:szCs w:val="20"/>
              </w:rPr>
            </w:pPr>
            <w:r>
              <w:rPr>
                <w:sz w:val="20"/>
                <w:szCs w:val="20"/>
              </w:rPr>
              <w:t>尾矿库</w:t>
            </w:r>
          </w:p>
        </w:tc>
        <w:tc>
          <w:tcPr>
            <w:tcW w:w="2396" w:type="dxa"/>
            <w:gridSpan w:val="2"/>
            <w:vAlign w:val="center"/>
          </w:tcPr>
          <w:p>
            <w:pPr>
              <w:rPr>
                <w:sz w:val="20"/>
                <w:szCs w:val="20"/>
              </w:rPr>
            </w:pPr>
            <w:r>
              <w:rPr>
                <w:sz w:val="20"/>
                <w:szCs w:val="20"/>
              </w:rPr>
              <w:t>尾矿未建设雨污分流</w:t>
            </w:r>
          </w:p>
        </w:tc>
        <w:tc>
          <w:tcPr>
            <w:tcW w:w="4231" w:type="dxa"/>
            <w:vAlign w:val="center"/>
          </w:tcPr>
          <w:p>
            <w:pPr>
              <w:rPr>
                <w:sz w:val="20"/>
                <w:szCs w:val="20"/>
              </w:rPr>
            </w:pPr>
            <w:r>
              <w:rPr>
                <w:sz w:val="20"/>
                <w:szCs w:val="20"/>
              </w:rPr>
              <w:t>尾矿库东侧山坡设置浆砌石截水沟，实现雨污分离。</w:t>
            </w:r>
          </w:p>
        </w:tc>
        <w:tc>
          <w:tcPr>
            <w:tcW w:w="1142"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3" w:type="dxa"/>
            <w:vMerge w:val="continue"/>
          </w:tcPr>
          <w:p>
            <w:pPr>
              <w:rPr>
                <w:sz w:val="20"/>
                <w:szCs w:val="20"/>
              </w:rPr>
            </w:pPr>
          </w:p>
        </w:tc>
        <w:tc>
          <w:tcPr>
            <w:tcW w:w="2396" w:type="dxa"/>
            <w:gridSpan w:val="2"/>
            <w:vAlign w:val="center"/>
          </w:tcPr>
          <w:p>
            <w:pPr>
              <w:rPr>
                <w:sz w:val="20"/>
                <w:szCs w:val="20"/>
              </w:rPr>
            </w:pPr>
            <w:r>
              <w:rPr>
                <w:bCs/>
                <w:sz w:val="20"/>
                <w:szCs w:val="20"/>
              </w:rPr>
              <w:t>尾矿库下游废水排放口未有明显标志</w:t>
            </w:r>
          </w:p>
        </w:tc>
        <w:tc>
          <w:tcPr>
            <w:tcW w:w="4231" w:type="dxa"/>
            <w:vAlign w:val="center"/>
          </w:tcPr>
          <w:p>
            <w:pPr>
              <w:jc w:val="center"/>
              <w:rPr>
                <w:sz w:val="20"/>
                <w:szCs w:val="20"/>
              </w:rPr>
            </w:pPr>
            <w:r>
              <w:rPr>
                <w:bCs/>
                <w:sz w:val="20"/>
                <w:szCs w:val="20"/>
              </w:rPr>
              <w:t>尾矿库下游废水排放口置明显排放标志</w:t>
            </w:r>
          </w:p>
        </w:tc>
        <w:tc>
          <w:tcPr>
            <w:tcW w:w="1142"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94" w:hRule="atLeast"/>
        </w:trPr>
        <w:tc>
          <w:tcPr>
            <w:tcW w:w="753" w:type="dxa"/>
            <w:vMerge w:val="continue"/>
          </w:tcPr>
          <w:p>
            <w:pPr>
              <w:rPr>
                <w:sz w:val="20"/>
                <w:szCs w:val="20"/>
              </w:rPr>
            </w:pPr>
          </w:p>
        </w:tc>
        <w:tc>
          <w:tcPr>
            <w:tcW w:w="2396" w:type="dxa"/>
            <w:gridSpan w:val="2"/>
            <w:vAlign w:val="center"/>
          </w:tcPr>
          <w:p>
            <w:pPr>
              <w:rPr>
                <w:bCs/>
                <w:sz w:val="20"/>
                <w:szCs w:val="20"/>
              </w:rPr>
            </w:pPr>
            <w:r>
              <w:rPr>
                <w:bCs/>
                <w:sz w:val="20"/>
                <w:szCs w:val="20"/>
              </w:rPr>
              <w:t>尾矿澄清水外排</w:t>
            </w:r>
          </w:p>
        </w:tc>
        <w:tc>
          <w:tcPr>
            <w:tcW w:w="4231" w:type="dxa"/>
          </w:tcPr>
          <w:p>
            <w:pPr>
              <w:rPr>
                <w:sz w:val="20"/>
                <w:szCs w:val="20"/>
              </w:rPr>
            </w:pPr>
            <w:r>
              <w:rPr>
                <w:sz w:val="20"/>
                <w:szCs w:val="20"/>
              </w:rPr>
              <w:t>建设选矿废水回用系统（废水回水1500m</w:t>
            </w:r>
            <w:r>
              <w:rPr>
                <w:sz w:val="20"/>
                <w:szCs w:val="20"/>
                <w:vertAlign w:val="superscript"/>
              </w:rPr>
              <w:t>3</w:t>
            </w:r>
            <w:r>
              <w:rPr>
                <w:sz w:val="20"/>
                <w:szCs w:val="20"/>
              </w:rPr>
              <w:t>高位水池1座；铺设尾矿库回水至高位水池DN120钢管750m、在初期坝下游絮凝处理车间北部建泵房1座），尾矿库澄清水絮凝后回用于选矿作业，避免对外排放带来的水环境影响。</w:t>
            </w:r>
          </w:p>
        </w:tc>
        <w:tc>
          <w:tcPr>
            <w:tcW w:w="1142"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53" w:type="dxa"/>
            <w:vMerge w:val="continue"/>
          </w:tcPr>
          <w:p>
            <w:pPr>
              <w:rPr>
                <w:sz w:val="20"/>
                <w:szCs w:val="20"/>
              </w:rPr>
            </w:pPr>
          </w:p>
        </w:tc>
        <w:tc>
          <w:tcPr>
            <w:tcW w:w="2396" w:type="dxa"/>
            <w:gridSpan w:val="2"/>
            <w:vAlign w:val="center"/>
          </w:tcPr>
          <w:p>
            <w:pPr>
              <w:rPr>
                <w:sz w:val="20"/>
                <w:szCs w:val="20"/>
              </w:rPr>
            </w:pPr>
            <w:r>
              <w:rPr>
                <w:sz w:val="20"/>
                <w:szCs w:val="20"/>
              </w:rPr>
              <w:t>现有尾矿库下游事故水池1座，容量不满足需要。</w:t>
            </w:r>
          </w:p>
        </w:tc>
        <w:tc>
          <w:tcPr>
            <w:tcW w:w="4231" w:type="dxa"/>
            <w:vAlign w:val="center"/>
          </w:tcPr>
          <w:p>
            <w:pPr>
              <w:jc w:val="center"/>
              <w:rPr>
                <w:sz w:val="20"/>
                <w:szCs w:val="20"/>
              </w:rPr>
            </w:pPr>
            <w:r>
              <w:rPr>
                <w:bCs/>
                <w:sz w:val="20"/>
                <w:szCs w:val="20"/>
              </w:rPr>
              <w:t>增建1864m</w:t>
            </w:r>
            <w:r>
              <w:rPr>
                <w:bCs/>
                <w:sz w:val="20"/>
                <w:szCs w:val="20"/>
                <w:vertAlign w:val="superscript"/>
              </w:rPr>
              <w:t>3</w:t>
            </w:r>
            <w:r>
              <w:rPr>
                <w:bCs/>
                <w:sz w:val="20"/>
                <w:szCs w:val="20"/>
              </w:rPr>
              <w:t>事故水池1座</w:t>
            </w:r>
          </w:p>
        </w:tc>
        <w:tc>
          <w:tcPr>
            <w:tcW w:w="1142" w:type="dxa"/>
            <w:vAlign w:val="center"/>
          </w:tcPr>
          <w:p>
            <w:pPr>
              <w:jc w:val="center"/>
              <w:rPr>
                <w:sz w:val="20"/>
                <w:szCs w:val="20"/>
              </w:rPr>
            </w:pPr>
            <w:r>
              <w:rPr>
                <w:sz w:val="20"/>
                <w:szCs w:val="20"/>
              </w:rPr>
              <w:t>已落实</w:t>
            </w:r>
          </w:p>
        </w:tc>
      </w:tr>
    </w:tbl>
    <w:p>
      <w:pPr>
        <w:pStyle w:val="74"/>
      </w:pPr>
      <w:bookmarkStart w:id="204" w:name="_Toc470358617"/>
      <w:r>
        <w:t>2.1.7现有工程污染物排放</w:t>
      </w:r>
      <w:bookmarkEnd w:id="204"/>
    </w:p>
    <w:p>
      <w:pPr>
        <w:pStyle w:val="5"/>
      </w:pPr>
      <w:r>
        <w:t>2.1.7.1大气污染物</w:t>
      </w:r>
    </w:p>
    <w:p>
      <w:pPr>
        <w:spacing w:beforeLines="50"/>
        <w:jc w:val="left"/>
        <w:rPr>
          <w:rFonts w:eastAsia="黑体"/>
          <w:sz w:val="22"/>
          <w:szCs w:val="22"/>
        </w:rPr>
      </w:pPr>
      <w:r>
        <w:rPr>
          <w:b/>
          <w:szCs w:val="20"/>
        </w:rPr>
        <w:t xml:space="preserve">   </w:t>
      </w:r>
      <w:r>
        <w:rPr>
          <w:rFonts w:eastAsia="黑体"/>
          <w:sz w:val="22"/>
          <w:szCs w:val="22"/>
        </w:rPr>
        <w:t xml:space="preserve"> 表2.1-9               本项目废气污染物产、排量</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1"/>
        <w:gridCol w:w="1599"/>
        <w:gridCol w:w="2523"/>
        <w:gridCol w:w="21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3860" w:type="dxa"/>
            <w:gridSpan w:val="2"/>
            <w:vMerge w:val="restart"/>
            <w:shd w:val="clear" w:color="auto" w:fill="auto"/>
            <w:vAlign w:val="center"/>
          </w:tcPr>
          <w:p>
            <w:pPr>
              <w:widowControl/>
              <w:spacing w:line="240" w:lineRule="exact"/>
              <w:jc w:val="center"/>
              <w:rPr>
                <w:kern w:val="0"/>
                <w:szCs w:val="21"/>
              </w:rPr>
            </w:pPr>
            <w:r>
              <w:rPr>
                <w:kern w:val="0"/>
                <w:szCs w:val="21"/>
              </w:rPr>
              <w:t>废气(粉尘)</w:t>
            </w:r>
          </w:p>
        </w:tc>
        <w:tc>
          <w:tcPr>
            <w:tcW w:w="2523" w:type="dxa"/>
            <w:shd w:val="clear" w:color="auto" w:fill="auto"/>
            <w:vAlign w:val="center"/>
          </w:tcPr>
          <w:p>
            <w:pPr>
              <w:widowControl/>
              <w:spacing w:line="240" w:lineRule="exact"/>
              <w:jc w:val="center"/>
              <w:rPr>
                <w:kern w:val="0"/>
                <w:szCs w:val="21"/>
              </w:rPr>
            </w:pPr>
            <w:r>
              <w:rPr>
                <w:kern w:val="0"/>
                <w:szCs w:val="21"/>
              </w:rPr>
              <w:t>产生量</w:t>
            </w:r>
          </w:p>
        </w:tc>
        <w:tc>
          <w:tcPr>
            <w:tcW w:w="2139" w:type="dxa"/>
            <w:tcBorders>
              <w:left w:val="single" w:color="auto" w:sz="4" w:space="0"/>
            </w:tcBorders>
            <w:shd w:val="clear" w:color="auto" w:fill="auto"/>
            <w:vAlign w:val="center"/>
          </w:tcPr>
          <w:p>
            <w:pPr>
              <w:widowControl/>
              <w:spacing w:line="240" w:lineRule="exact"/>
              <w:jc w:val="center"/>
              <w:rPr>
                <w:kern w:val="0"/>
                <w:szCs w:val="21"/>
              </w:rPr>
            </w:pPr>
            <w:r>
              <w:rPr>
                <w:kern w:val="0"/>
                <w:szCs w:val="21"/>
              </w:rPr>
              <w:t>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3860" w:type="dxa"/>
            <w:gridSpan w:val="2"/>
            <w:vMerge w:val="continue"/>
            <w:shd w:val="clear" w:color="auto" w:fill="auto"/>
            <w:vAlign w:val="center"/>
          </w:tcPr>
          <w:p>
            <w:pPr>
              <w:widowControl/>
              <w:spacing w:line="240" w:lineRule="exact"/>
              <w:jc w:val="center"/>
              <w:rPr>
                <w:kern w:val="0"/>
                <w:szCs w:val="21"/>
              </w:rPr>
            </w:pPr>
          </w:p>
        </w:tc>
        <w:tc>
          <w:tcPr>
            <w:tcW w:w="2523" w:type="dxa"/>
            <w:shd w:val="clear" w:color="auto" w:fill="auto"/>
            <w:vAlign w:val="center"/>
          </w:tcPr>
          <w:p>
            <w:pPr>
              <w:widowControl/>
              <w:spacing w:line="240" w:lineRule="exact"/>
              <w:jc w:val="center"/>
              <w:rPr>
                <w:kern w:val="0"/>
                <w:szCs w:val="21"/>
              </w:rPr>
            </w:pPr>
            <w:r>
              <w:rPr>
                <w:kern w:val="0"/>
                <w:szCs w:val="21"/>
              </w:rPr>
              <w:t>t/a</w:t>
            </w:r>
          </w:p>
        </w:tc>
        <w:tc>
          <w:tcPr>
            <w:tcW w:w="2139" w:type="dxa"/>
            <w:tcBorders>
              <w:left w:val="single" w:color="auto" w:sz="4" w:space="0"/>
            </w:tcBorders>
            <w:shd w:val="clear" w:color="auto" w:fill="auto"/>
            <w:vAlign w:val="center"/>
          </w:tcPr>
          <w:p>
            <w:pPr>
              <w:widowControl/>
              <w:spacing w:line="240" w:lineRule="exact"/>
              <w:jc w:val="center"/>
              <w:rPr>
                <w:kern w:val="0"/>
                <w:szCs w:val="21"/>
              </w:rPr>
            </w:pPr>
            <w:r>
              <w:rPr>
                <w:kern w:val="0"/>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4" w:hRule="atLeast"/>
        </w:trPr>
        <w:tc>
          <w:tcPr>
            <w:tcW w:w="2261" w:type="dxa"/>
            <w:vAlign w:val="center"/>
          </w:tcPr>
          <w:p>
            <w:pPr>
              <w:widowControl/>
              <w:spacing w:line="240" w:lineRule="exact"/>
              <w:jc w:val="left"/>
              <w:rPr>
                <w:kern w:val="0"/>
                <w:szCs w:val="21"/>
              </w:rPr>
            </w:pPr>
            <w:r>
              <w:rPr>
                <w:kern w:val="0"/>
                <w:szCs w:val="21"/>
              </w:rPr>
              <w:t>废石堆场</w:t>
            </w:r>
          </w:p>
        </w:tc>
        <w:tc>
          <w:tcPr>
            <w:tcW w:w="1599" w:type="dxa"/>
            <w:shd w:val="clear" w:color="auto" w:fill="auto"/>
            <w:vAlign w:val="center"/>
          </w:tcPr>
          <w:p>
            <w:pPr>
              <w:widowControl/>
              <w:spacing w:line="240" w:lineRule="exact"/>
              <w:jc w:val="center"/>
              <w:rPr>
                <w:kern w:val="0"/>
                <w:szCs w:val="21"/>
              </w:rPr>
            </w:pPr>
            <w:r>
              <w:rPr>
                <w:kern w:val="0"/>
                <w:szCs w:val="21"/>
              </w:rPr>
              <w:t>无组织</w:t>
            </w:r>
          </w:p>
        </w:tc>
        <w:tc>
          <w:tcPr>
            <w:tcW w:w="2523" w:type="dxa"/>
            <w:shd w:val="clear" w:color="auto" w:fill="auto"/>
            <w:vAlign w:val="center"/>
          </w:tcPr>
          <w:p>
            <w:pPr>
              <w:widowControl/>
              <w:spacing w:line="240" w:lineRule="exact"/>
              <w:jc w:val="center"/>
              <w:rPr>
                <w:kern w:val="0"/>
                <w:szCs w:val="21"/>
              </w:rPr>
            </w:pPr>
            <w:r>
              <w:rPr>
                <w:kern w:val="0"/>
                <w:szCs w:val="21"/>
              </w:rPr>
              <w:t>16.9</w:t>
            </w:r>
          </w:p>
        </w:tc>
        <w:tc>
          <w:tcPr>
            <w:tcW w:w="2139" w:type="dxa"/>
            <w:tcBorders>
              <w:left w:val="single" w:color="auto" w:sz="4" w:space="0"/>
            </w:tcBorders>
            <w:shd w:val="clear" w:color="auto" w:fill="auto"/>
            <w:vAlign w:val="center"/>
          </w:tcPr>
          <w:p>
            <w:pPr>
              <w:widowControl/>
              <w:spacing w:line="240" w:lineRule="exact"/>
              <w:jc w:val="center"/>
              <w:rPr>
                <w:kern w:val="0"/>
                <w:szCs w:val="21"/>
              </w:rPr>
            </w:pPr>
            <w:r>
              <w:rPr>
                <w:kern w:val="0"/>
                <w:szCs w:val="21"/>
              </w:rPr>
              <w:t>3.38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2261" w:type="dxa"/>
            <w:shd w:val="clear" w:color="auto" w:fill="auto"/>
            <w:vAlign w:val="center"/>
          </w:tcPr>
          <w:p>
            <w:pPr>
              <w:widowControl/>
              <w:spacing w:line="240" w:lineRule="exact"/>
              <w:rPr>
                <w:kern w:val="0"/>
                <w:szCs w:val="21"/>
              </w:rPr>
            </w:pPr>
            <w:r>
              <w:rPr>
                <w:kern w:val="0"/>
                <w:szCs w:val="21"/>
              </w:rPr>
              <w:t>矿石装卸</w:t>
            </w:r>
          </w:p>
        </w:tc>
        <w:tc>
          <w:tcPr>
            <w:tcW w:w="1599" w:type="dxa"/>
            <w:shd w:val="clear" w:color="auto" w:fill="auto"/>
            <w:vAlign w:val="center"/>
          </w:tcPr>
          <w:p>
            <w:pPr>
              <w:widowControl/>
              <w:spacing w:line="240" w:lineRule="exact"/>
              <w:jc w:val="center"/>
              <w:rPr>
                <w:kern w:val="0"/>
                <w:szCs w:val="21"/>
              </w:rPr>
            </w:pPr>
            <w:r>
              <w:rPr>
                <w:kern w:val="0"/>
                <w:szCs w:val="21"/>
              </w:rPr>
              <w:t>无组织</w:t>
            </w:r>
          </w:p>
        </w:tc>
        <w:tc>
          <w:tcPr>
            <w:tcW w:w="2523" w:type="dxa"/>
            <w:shd w:val="clear" w:color="auto" w:fill="auto"/>
            <w:vAlign w:val="center"/>
          </w:tcPr>
          <w:p>
            <w:pPr>
              <w:widowControl/>
              <w:spacing w:line="240" w:lineRule="exact"/>
              <w:jc w:val="center"/>
              <w:rPr>
                <w:kern w:val="0"/>
                <w:szCs w:val="21"/>
              </w:rPr>
            </w:pPr>
            <w:r>
              <w:rPr>
                <w:kern w:val="0"/>
                <w:szCs w:val="21"/>
              </w:rPr>
              <w:t>1.08</w:t>
            </w:r>
          </w:p>
        </w:tc>
        <w:tc>
          <w:tcPr>
            <w:tcW w:w="2139" w:type="dxa"/>
            <w:tcBorders>
              <w:left w:val="single" w:color="auto" w:sz="4" w:space="0"/>
            </w:tcBorders>
            <w:shd w:val="clear" w:color="auto" w:fill="auto"/>
            <w:vAlign w:val="center"/>
          </w:tcPr>
          <w:p>
            <w:pPr>
              <w:widowControl/>
              <w:spacing w:line="240" w:lineRule="exact"/>
              <w:jc w:val="center"/>
              <w:rPr>
                <w:kern w:val="0"/>
                <w:szCs w:val="21"/>
              </w:rPr>
            </w:pPr>
            <w:r>
              <w:rPr>
                <w:kern w:val="0"/>
                <w:szCs w:val="21"/>
              </w:rPr>
              <w:t>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 w:hRule="atLeast"/>
        </w:trPr>
        <w:tc>
          <w:tcPr>
            <w:tcW w:w="3860" w:type="dxa"/>
            <w:gridSpan w:val="2"/>
            <w:vMerge w:val="restart"/>
            <w:shd w:val="clear" w:color="auto" w:fill="auto"/>
            <w:vAlign w:val="center"/>
          </w:tcPr>
          <w:p>
            <w:pPr>
              <w:widowControl/>
              <w:spacing w:line="240" w:lineRule="exact"/>
              <w:jc w:val="center"/>
              <w:rPr>
                <w:kern w:val="0"/>
                <w:szCs w:val="21"/>
              </w:rPr>
            </w:pPr>
            <w:r>
              <w:rPr>
                <w:kern w:val="0"/>
                <w:szCs w:val="21"/>
              </w:rPr>
              <w:t>浮选破碎及皮带运输</w:t>
            </w:r>
          </w:p>
        </w:tc>
        <w:tc>
          <w:tcPr>
            <w:tcW w:w="2523" w:type="dxa"/>
            <w:vMerge w:val="restart"/>
            <w:shd w:val="clear" w:color="auto" w:fill="auto"/>
            <w:vAlign w:val="center"/>
          </w:tcPr>
          <w:p>
            <w:pPr>
              <w:widowControl/>
              <w:spacing w:line="240" w:lineRule="exact"/>
              <w:jc w:val="center"/>
              <w:rPr>
                <w:kern w:val="0"/>
                <w:szCs w:val="21"/>
              </w:rPr>
            </w:pPr>
            <w:r>
              <w:rPr>
                <w:bCs/>
                <w:szCs w:val="21"/>
              </w:rPr>
              <w:t>198（无组织）</w:t>
            </w:r>
          </w:p>
        </w:tc>
        <w:tc>
          <w:tcPr>
            <w:tcW w:w="2139" w:type="dxa"/>
            <w:tcBorders>
              <w:left w:val="single" w:color="auto" w:sz="4" w:space="0"/>
            </w:tcBorders>
            <w:shd w:val="clear" w:color="auto" w:fill="auto"/>
            <w:vAlign w:val="center"/>
          </w:tcPr>
          <w:p>
            <w:pPr>
              <w:widowControl/>
              <w:spacing w:line="240" w:lineRule="exact"/>
              <w:jc w:val="center"/>
              <w:rPr>
                <w:kern w:val="0"/>
                <w:szCs w:val="21"/>
              </w:rPr>
            </w:pPr>
            <w:r>
              <w:rPr>
                <w:kern w:val="0"/>
                <w:szCs w:val="21"/>
              </w:rPr>
              <w:t>9.9</w:t>
            </w:r>
            <w:r>
              <w:rPr>
                <w:bCs/>
                <w:szCs w:val="21"/>
              </w:rPr>
              <w:t>（无组织）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3860" w:type="dxa"/>
            <w:gridSpan w:val="2"/>
            <w:vMerge w:val="continue"/>
            <w:shd w:val="clear" w:color="auto" w:fill="auto"/>
            <w:vAlign w:val="center"/>
          </w:tcPr>
          <w:p>
            <w:pPr>
              <w:widowControl/>
              <w:spacing w:line="240" w:lineRule="exact"/>
              <w:jc w:val="center"/>
              <w:rPr>
                <w:kern w:val="0"/>
                <w:szCs w:val="21"/>
              </w:rPr>
            </w:pPr>
          </w:p>
        </w:tc>
        <w:tc>
          <w:tcPr>
            <w:tcW w:w="2523" w:type="dxa"/>
            <w:vMerge w:val="continue"/>
            <w:shd w:val="clear" w:color="auto" w:fill="auto"/>
            <w:vAlign w:val="center"/>
          </w:tcPr>
          <w:p>
            <w:pPr>
              <w:widowControl/>
              <w:spacing w:line="240" w:lineRule="exact"/>
              <w:jc w:val="center"/>
              <w:rPr>
                <w:bCs/>
                <w:szCs w:val="21"/>
              </w:rPr>
            </w:pPr>
          </w:p>
        </w:tc>
        <w:tc>
          <w:tcPr>
            <w:tcW w:w="2139" w:type="dxa"/>
            <w:tcBorders>
              <w:left w:val="single" w:color="auto" w:sz="4" w:space="0"/>
            </w:tcBorders>
            <w:shd w:val="clear" w:color="auto" w:fill="auto"/>
            <w:vAlign w:val="center"/>
          </w:tcPr>
          <w:p>
            <w:pPr>
              <w:widowControl/>
              <w:spacing w:line="240" w:lineRule="exact"/>
              <w:jc w:val="center"/>
              <w:rPr>
                <w:kern w:val="0"/>
                <w:szCs w:val="21"/>
              </w:rPr>
            </w:pPr>
            <w:r>
              <w:rPr>
                <w:kern w:val="0"/>
                <w:szCs w:val="21"/>
              </w:rPr>
              <w:t>3.76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3860" w:type="dxa"/>
            <w:gridSpan w:val="2"/>
            <w:shd w:val="clear" w:color="auto" w:fill="auto"/>
            <w:vAlign w:val="center"/>
          </w:tcPr>
          <w:p>
            <w:pPr>
              <w:widowControl/>
              <w:spacing w:line="240" w:lineRule="exact"/>
              <w:jc w:val="center"/>
              <w:rPr>
                <w:kern w:val="0"/>
                <w:szCs w:val="21"/>
              </w:rPr>
            </w:pPr>
            <w:r>
              <w:rPr>
                <w:kern w:val="0"/>
                <w:szCs w:val="21"/>
              </w:rPr>
              <w:t>合  计</w:t>
            </w:r>
          </w:p>
        </w:tc>
        <w:tc>
          <w:tcPr>
            <w:tcW w:w="2523" w:type="dxa"/>
            <w:shd w:val="clear" w:color="auto" w:fill="auto"/>
            <w:vAlign w:val="bottom"/>
          </w:tcPr>
          <w:p>
            <w:pPr>
              <w:widowControl/>
              <w:spacing w:line="240" w:lineRule="exact"/>
              <w:jc w:val="center"/>
              <w:rPr>
                <w:kern w:val="0"/>
                <w:szCs w:val="21"/>
              </w:rPr>
            </w:pPr>
            <w:r>
              <w:rPr>
                <w:kern w:val="0"/>
                <w:szCs w:val="21"/>
              </w:rPr>
              <w:t>215.98</w:t>
            </w:r>
          </w:p>
        </w:tc>
        <w:tc>
          <w:tcPr>
            <w:tcW w:w="2139" w:type="dxa"/>
            <w:tcBorders>
              <w:left w:val="single" w:color="auto" w:sz="4" w:space="0"/>
            </w:tcBorders>
            <w:shd w:val="clear" w:color="auto" w:fill="auto"/>
            <w:vAlign w:val="bottom"/>
          </w:tcPr>
          <w:p>
            <w:pPr>
              <w:widowControl/>
              <w:spacing w:line="240" w:lineRule="exact"/>
              <w:jc w:val="center"/>
              <w:rPr>
                <w:kern w:val="0"/>
                <w:szCs w:val="21"/>
              </w:rPr>
            </w:pPr>
            <w:r>
              <w:rPr>
                <w:kern w:val="0"/>
                <w:szCs w:val="21"/>
              </w:rPr>
              <w:t>18.12</w:t>
            </w:r>
          </w:p>
        </w:tc>
      </w:tr>
    </w:tbl>
    <w:p>
      <w:pPr>
        <w:pStyle w:val="5"/>
      </w:pPr>
      <w:r>
        <w:t>2.1.7.2水污染物</w:t>
      </w:r>
    </w:p>
    <w:p>
      <w:pPr>
        <w:spacing w:beforeLines="50"/>
        <w:jc w:val="left"/>
        <w:rPr>
          <w:rFonts w:eastAsia="黑体"/>
          <w:sz w:val="22"/>
          <w:szCs w:val="22"/>
        </w:rPr>
      </w:pPr>
      <w:r>
        <w:rPr>
          <w:b/>
          <w:szCs w:val="20"/>
        </w:rPr>
        <w:t xml:space="preserve">  </w:t>
      </w:r>
      <w:r>
        <w:rPr>
          <w:rFonts w:eastAsia="黑体"/>
          <w:sz w:val="22"/>
          <w:szCs w:val="22"/>
        </w:rPr>
        <w:t xml:space="preserve">  表2.1-10           本项目废水污染物产生量、削减量、排放量</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4"/>
        <w:gridCol w:w="1135"/>
        <w:gridCol w:w="1132"/>
        <w:gridCol w:w="1132"/>
        <w:gridCol w:w="992"/>
        <w:gridCol w:w="1999"/>
        <w:gridCol w:w="10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rPr>
        <w:tc>
          <w:tcPr>
            <w:tcW w:w="2239" w:type="dxa"/>
            <w:gridSpan w:val="2"/>
            <w:vMerge w:val="restart"/>
            <w:shd w:val="clear" w:color="auto" w:fill="auto"/>
            <w:vAlign w:val="center"/>
          </w:tcPr>
          <w:p>
            <w:pPr>
              <w:widowControl/>
              <w:spacing w:line="240" w:lineRule="exact"/>
              <w:jc w:val="center"/>
              <w:rPr>
                <w:b/>
                <w:sz w:val="20"/>
                <w:szCs w:val="20"/>
              </w:rPr>
            </w:pPr>
            <w:r>
              <w:rPr>
                <w:kern w:val="0"/>
                <w:sz w:val="20"/>
                <w:szCs w:val="20"/>
              </w:rPr>
              <w:t>废水</w:t>
            </w:r>
          </w:p>
        </w:tc>
        <w:tc>
          <w:tcPr>
            <w:tcW w:w="1132" w:type="dxa"/>
            <w:shd w:val="clear" w:color="auto" w:fill="auto"/>
            <w:vAlign w:val="center"/>
          </w:tcPr>
          <w:p>
            <w:pPr>
              <w:widowControl/>
              <w:spacing w:line="240" w:lineRule="exact"/>
              <w:jc w:val="center"/>
              <w:rPr>
                <w:kern w:val="0"/>
                <w:sz w:val="20"/>
                <w:szCs w:val="20"/>
              </w:rPr>
            </w:pPr>
            <w:r>
              <w:rPr>
                <w:kern w:val="0"/>
                <w:sz w:val="20"/>
                <w:szCs w:val="20"/>
              </w:rPr>
              <w:t>产生量</w:t>
            </w:r>
          </w:p>
        </w:tc>
        <w:tc>
          <w:tcPr>
            <w:tcW w:w="1132" w:type="dxa"/>
            <w:shd w:val="clear" w:color="auto" w:fill="auto"/>
            <w:vAlign w:val="center"/>
          </w:tcPr>
          <w:p>
            <w:pPr>
              <w:widowControl/>
              <w:spacing w:line="240" w:lineRule="exact"/>
              <w:jc w:val="center"/>
              <w:rPr>
                <w:kern w:val="0"/>
                <w:sz w:val="20"/>
                <w:szCs w:val="20"/>
              </w:rPr>
            </w:pPr>
            <w:r>
              <w:rPr>
                <w:kern w:val="0"/>
                <w:sz w:val="20"/>
                <w:szCs w:val="20"/>
              </w:rPr>
              <w:t>削减量</w:t>
            </w:r>
          </w:p>
        </w:tc>
        <w:tc>
          <w:tcPr>
            <w:tcW w:w="992"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排放量</w:t>
            </w:r>
          </w:p>
        </w:tc>
        <w:tc>
          <w:tcPr>
            <w:tcW w:w="1999" w:type="dxa"/>
            <w:vMerge w:val="restart"/>
            <w:tcBorders>
              <w:left w:val="single" w:color="auto" w:sz="4" w:space="0"/>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备注</w:t>
            </w:r>
          </w:p>
        </w:tc>
        <w:tc>
          <w:tcPr>
            <w:tcW w:w="1028" w:type="dxa"/>
            <w:vMerge w:val="restart"/>
            <w:tcBorders>
              <w:lef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整改后排放量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trPr>
        <w:tc>
          <w:tcPr>
            <w:tcW w:w="2239" w:type="dxa"/>
            <w:gridSpan w:val="2"/>
            <w:vMerge w:val="continue"/>
            <w:shd w:val="clear" w:color="auto" w:fill="auto"/>
            <w:vAlign w:val="center"/>
          </w:tcPr>
          <w:p>
            <w:pPr>
              <w:widowControl/>
              <w:spacing w:line="240" w:lineRule="exact"/>
              <w:jc w:val="center"/>
              <w:rPr>
                <w:kern w:val="0"/>
                <w:sz w:val="20"/>
                <w:szCs w:val="20"/>
              </w:rPr>
            </w:pPr>
          </w:p>
        </w:tc>
        <w:tc>
          <w:tcPr>
            <w:tcW w:w="1132" w:type="dxa"/>
            <w:shd w:val="clear" w:color="auto" w:fill="auto"/>
            <w:vAlign w:val="center"/>
          </w:tcPr>
          <w:p>
            <w:pPr>
              <w:widowControl/>
              <w:spacing w:line="240" w:lineRule="exact"/>
              <w:jc w:val="center"/>
              <w:rPr>
                <w:kern w:val="0"/>
                <w:sz w:val="20"/>
                <w:szCs w:val="20"/>
              </w:rPr>
            </w:pPr>
            <w:r>
              <w:rPr>
                <w:kern w:val="0"/>
                <w:sz w:val="20"/>
                <w:szCs w:val="20"/>
              </w:rPr>
              <w:t>t/a</w:t>
            </w:r>
          </w:p>
        </w:tc>
        <w:tc>
          <w:tcPr>
            <w:tcW w:w="1132" w:type="dxa"/>
            <w:shd w:val="clear" w:color="auto" w:fill="auto"/>
            <w:vAlign w:val="center"/>
          </w:tcPr>
          <w:p>
            <w:pPr>
              <w:widowControl/>
              <w:spacing w:line="240" w:lineRule="exact"/>
              <w:jc w:val="center"/>
              <w:rPr>
                <w:kern w:val="0"/>
                <w:sz w:val="20"/>
                <w:szCs w:val="20"/>
              </w:rPr>
            </w:pPr>
            <w:r>
              <w:rPr>
                <w:kern w:val="0"/>
                <w:sz w:val="20"/>
                <w:szCs w:val="20"/>
              </w:rPr>
              <w:t>t/a</w:t>
            </w:r>
          </w:p>
        </w:tc>
        <w:tc>
          <w:tcPr>
            <w:tcW w:w="992"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t/a</w:t>
            </w:r>
          </w:p>
        </w:tc>
        <w:tc>
          <w:tcPr>
            <w:tcW w:w="1999" w:type="dxa"/>
            <w:vMerge w:val="continue"/>
            <w:tcBorders>
              <w:left w:val="single" w:color="auto" w:sz="4" w:space="0"/>
              <w:right w:val="single" w:color="auto" w:sz="4" w:space="0"/>
            </w:tcBorders>
            <w:shd w:val="clear" w:color="auto" w:fill="auto"/>
            <w:vAlign w:val="center"/>
          </w:tcPr>
          <w:p>
            <w:pPr>
              <w:widowControl/>
              <w:spacing w:line="240" w:lineRule="exact"/>
              <w:jc w:val="center"/>
              <w:rPr>
                <w:kern w:val="0"/>
                <w:sz w:val="20"/>
                <w:szCs w:val="20"/>
              </w:rPr>
            </w:pPr>
          </w:p>
        </w:tc>
        <w:tc>
          <w:tcPr>
            <w:tcW w:w="1028" w:type="dxa"/>
            <w:vMerge w:val="continue"/>
            <w:tcBorders>
              <w:left w:val="single" w:color="auto" w:sz="4" w:space="0"/>
            </w:tcBorders>
            <w:shd w:val="clear" w:color="auto" w:fill="auto"/>
            <w:vAlign w:val="center"/>
          </w:tcPr>
          <w:p>
            <w:pPr>
              <w:widowControl/>
              <w:spacing w:line="240" w:lineRule="exact"/>
              <w:jc w:val="center"/>
              <w:rPr>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trPr>
        <w:tc>
          <w:tcPr>
            <w:tcW w:w="1104" w:type="dxa"/>
            <w:vMerge w:val="restart"/>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矿坑涌水</w:t>
            </w:r>
          </w:p>
        </w:tc>
        <w:tc>
          <w:tcPr>
            <w:tcW w:w="1135" w:type="dxa"/>
            <w:tcBorders>
              <w:lef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矿坑涌水</w:t>
            </w:r>
          </w:p>
        </w:tc>
        <w:tc>
          <w:tcPr>
            <w:tcW w:w="1132" w:type="dxa"/>
            <w:shd w:val="clear" w:color="auto" w:fill="auto"/>
            <w:vAlign w:val="center"/>
          </w:tcPr>
          <w:p>
            <w:pPr>
              <w:widowControl/>
              <w:spacing w:line="240" w:lineRule="exact"/>
              <w:jc w:val="center"/>
              <w:rPr>
                <w:kern w:val="0"/>
                <w:sz w:val="20"/>
                <w:szCs w:val="20"/>
              </w:rPr>
            </w:pPr>
            <w:r>
              <w:rPr>
                <w:kern w:val="0"/>
                <w:sz w:val="20"/>
                <w:szCs w:val="20"/>
              </w:rPr>
              <w:t>1920000</w:t>
            </w:r>
          </w:p>
        </w:tc>
        <w:tc>
          <w:tcPr>
            <w:tcW w:w="1132" w:type="dxa"/>
            <w:shd w:val="clear" w:color="auto" w:fill="auto"/>
            <w:vAlign w:val="center"/>
          </w:tcPr>
          <w:p>
            <w:pPr>
              <w:widowControl/>
              <w:spacing w:line="240" w:lineRule="exact"/>
              <w:jc w:val="center"/>
              <w:rPr>
                <w:kern w:val="0"/>
                <w:sz w:val="20"/>
                <w:szCs w:val="20"/>
              </w:rPr>
            </w:pPr>
            <w:r>
              <w:rPr>
                <w:kern w:val="0"/>
                <w:sz w:val="20"/>
                <w:szCs w:val="20"/>
              </w:rPr>
              <w:t>111000</w:t>
            </w:r>
          </w:p>
        </w:tc>
        <w:tc>
          <w:tcPr>
            <w:tcW w:w="992"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161100</w:t>
            </w:r>
          </w:p>
        </w:tc>
        <w:tc>
          <w:tcPr>
            <w:tcW w:w="1999" w:type="dxa"/>
            <w:vMerge w:val="restart"/>
            <w:tcBorders>
              <w:left w:val="single" w:color="auto" w:sz="4" w:space="0"/>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由管网排入沟口河后汇入麻家河，最终流入弘农涧河。</w:t>
            </w:r>
          </w:p>
        </w:tc>
        <w:tc>
          <w:tcPr>
            <w:tcW w:w="1028" w:type="dxa"/>
            <w:tcBorders>
              <w:left w:val="single" w:color="auto" w:sz="4" w:space="0"/>
              <w:bottom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161100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1104" w:type="dxa"/>
            <w:vMerge w:val="continue"/>
            <w:tcBorders>
              <w:right w:val="single" w:color="auto" w:sz="4" w:space="0"/>
            </w:tcBorders>
            <w:shd w:val="clear" w:color="auto" w:fill="auto"/>
            <w:vAlign w:val="center"/>
          </w:tcPr>
          <w:p>
            <w:pPr>
              <w:widowControl/>
              <w:spacing w:line="240" w:lineRule="exact"/>
              <w:jc w:val="center"/>
              <w:rPr>
                <w:kern w:val="0"/>
                <w:sz w:val="20"/>
                <w:szCs w:val="20"/>
              </w:rPr>
            </w:pPr>
          </w:p>
        </w:tc>
        <w:tc>
          <w:tcPr>
            <w:tcW w:w="1135" w:type="dxa"/>
            <w:tcBorders>
              <w:left w:val="single" w:color="auto" w:sz="4" w:space="0"/>
            </w:tcBorders>
            <w:shd w:val="clear" w:color="auto" w:fill="auto"/>
            <w:vAlign w:val="center"/>
          </w:tcPr>
          <w:p>
            <w:pPr>
              <w:widowControl/>
              <w:spacing w:line="240" w:lineRule="exact"/>
              <w:jc w:val="center"/>
              <w:rPr>
                <w:kern w:val="0"/>
                <w:sz w:val="20"/>
                <w:szCs w:val="20"/>
              </w:rPr>
            </w:pPr>
            <w:r>
              <w:rPr>
                <w:sz w:val="20"/>
                <w:szCs w:val="20"/>
              </w:rPr>
              <w:t>COD</w:t>
            </w:r>
          </w:p>
        </w:tc>
        <w:tc>
          <w:tcPr>
            <w:tcW w:w="1132" w:type="dxa"/>
            <w:shd w:val="clear" w:color="auto" w:fill="auto"/>
            <w:vAlign w:val="center"/>
          </w:tcPr>
          <w:p>
            <w:pPr>
              <w:widowControl/>
              <w:spacing w:line="240" w:lineRule="exact"/>
              <w:jc w:val="center"/>
              <w:rPr>
                <w:kern w:val="0"/>
                <w:sz w:val="20"/>
                <w:szCs w:val="20"/>
              </w:rPr>
            </w:pPr>
            <w:r>
              <w:rPr>
                <w:kern w:val="0"/>
                <w:sz w:val="20"/>
                <w:szCs w:val="20"/>
              </w:rPr>
              <w:t>0</w:t>
            </w:r>
          </w:p>
        </w:tc>
        <w:tc>
          <w:tcPr>
            <w:tcW w:w="1132" w:type="dxa"/>
            <w:shd w:val="clear" w:color="auto" w:fill="auto"/>
            <w:vAlign w:val="center"/>
          </w:tcPr>
          <w:p>
            <w:pPr>
              <w:spacing w:line="240" w:lineRule="exact"/>
              <w:jc w:val="center"/>
              <w:rPr>
                <w:sz w:val="20"/>
                <w:szCs w:val="20"/>
              </w:rPr>
            </w:pPr>
            <w:r>
              <w:rPr>
                <w:kern w:val="0"/>
                <w:sz w:val="20"/>
                <w:szCs w:val="20"/>
              </w:rPr>
              <w:t>0</w:t>
            </w:r>
          </w:p>
        </w:tc>
        <w:tc>
          <w:tcPr>
            <w:tcW w:w="992" w:type="dxa"/>
            <w:tcBorders>
              <w:right w:val="single" w:color="auto" w:sz="4" w:space="0"/>
            </w:tcBorders>
            <w:shd w:val="clear" w:color="auto" w:fill="auto"/>
            <w:vAlign w:val="center"/>
          </w:tcPr>
          <w:p>
            <w:pPr>
              <w:spacing w:line="240" w:lineRule="exact"/>
              <w:jc w:val="center"/>
              <w:rPr>
                <w:sz w:val="20"/>
                <w:szCs w:val="20"/>
              </w:rPr>
            </w:pPr>
            <w:r>
              <w:rPr>
                <w:kern w:val="0"/>
                <w:sz w:val="20"/>
                <w:szCs w:val="20"/>
              </w:rPr>
              <w:t>0</w:t>
            </w:r>
          </w:p>
        </w:tc>
        <w:tc>
          <w:tcPr>
            <w:tcW w:w="1999" w:type="dxa"/>
            <w:vMerge w:val="continue"/>
            <w:tcBorders>
              <w:left w:val="single" w:color="auto" w:sz="4" w:space="0"/>
              <w:right w:val="single" w:color="auto" w:sz="4" w:space="0"/>
            </w:tcBorders>
            <w:shd w:val="clear" w:color="auto" w:fill="auto"/>
            <w:vAlign w:val="center"/>
          </w:tcPr>
          <w:p>
            <w:pPr>
              <w:spacing w:line="240" w:lineRule="exact"/>
              <w:jc w:val="center"/>
              <w:rPr>
                <w:sz w:val="20"/>
                <w:szCs w:val="20"/>
              </w:rPr>
            </w:pPr>
          </w:p>
        </w:tc>
        <w:tc>
          <w:tcPr>
            <w:tcW w:w="1028" w:type="dxa"/>
            <w:tcBorders>
              <w:top w:val="single" w:color="auto" w:sz="4" w:space="0"/>
              <w:left w:val="single" w:color="auto" w:sz="4" w:space="0"/>
              <w:bottom w:val="single" w:color="auto" w:sz="4" w:space="0"/>
            </w:tcBorders>
            <w:shd w:val="clear" w:color="auto" w:fill="auto"/>
            <w:vAlign w:val="center"/>
          </w:tcPr>
          <w:p>
            <w:pPr>
              <w:spacing w:line="240" w:lineRule="exact"/>
              <w:jc w:val="center"/>
              <w:rPr>
                <w:sz w:val="20"/>
                <w:szCs w:val="20"/>
              </w:rPr>
            </w:pPr>
            <w:r>
              <w:rPr>
                <w:kern w:val="0"/>
                <w:sz w:val="20"/>
                <w:szCs w:val="2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1104" w:type="dxa"/>
            <w:vMerge w:val="restart"/>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选矿废水</w:t>
            </w:r>
          </w:p>
          <w:p>
            <w:pPr>
              <w:spacing w:line="240" w:lineRule="exact"/>
              <w:jc w:val="center"/>
              <w:rPr>
                <w:kern w:val="0"/>
                <w:sz w:val="20"/>
                <w:szCs w:val="20"/>
              </w:rPr>
            </w:pPr>
            <w:r>
              <w:rPr>
                <w:kern w:val="0"/>
                <w:sz w:val="20"/>
                <w:szCs w:val="20"/>
              </w:rPr>
              <w:t>（尾矿库排水）</w:t>
            </w:r>
          </w:p>
        </w:tc>
        <w:tc>
          <w:tcPr>
            <w:tcW w:w="1135" w:type="dxa"/>
            <w:tcBorders>
              <w:lef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选矿废水</w:t>
            </w:r>
          </w:p>
        </w:tc>
        <w:tc>
          <w:tcPr>
            <w:tcW w:w="1132" w:type="dxa"/>
            <w:shd w:val="clear" w:color="auto" w:fill="auto"/>
            <w:vAlign w:val="center"/>
          </w:tcPr>
          <w:p>
            <w:pPr>
              <w:widowControl/>
              <w:spacing w:line="240" w:lineRule="exact"/>
              <w:jc w:val="center"/>
              <w:rPr>
                <w:kern w:val="0"/>
                <w:sz w:val="20"/>
                <w:szCs w:val="20"/>
              </w:rPr>
            </w:pPr>
            <w:r>
              <w:rPr>
                <w:kern w:val="0"/>
                <w:sz w:val="20"/>
                <w:szCs w:val="20"/>
              </w:rPr>
              <w:t>514800</w:t>
            </w:r>
          </w:p>
        </w:tc>
        <w:tc>
          <w:tcPr>
            <w:tcW w:w="1132" w:type="dxa"/>
            <w:shd w:val="clear" w:color="auto" w:fill="auto"/>
            <w:vAlign w:val="center"/>
          </w:tcPr>
          <w:p>
            <w:pPr>
              <w:widowControl/>
              <w:spacing w:line="240" w:lineRule="exact"/>
              <w:jc w:val="center"/>
              <w:rPr>
                <w:kern w:val="0"/>
                <w:sz w:val="20"/>
                <w:szCs w:val="20"/>
              </w:rPr>
            </w:pPr>
            <w:r>
              <w:rPr>
                <w:kern w:val="0"/>
                <w:sz w:val="20"/>
                <w:szCs w:val="20"/>
              </w:rPr>
              <w:t>514800</w:t>
            </w:r>
          </w:p>
        </w:tc>
        <w:tc>
          <w:tcPr>
            <w:tcW w:w="992"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0</w:t>
            </w:r>
          </w:p>
        </w:tc>
        <w:tc>
          <w:tcPr>
            <w:tcW w:w="1999" w:type="dxa"/>
            <w:vMerge w:val="restart"/>
            <w:tcBorders>
              <w:left w:val="single" w:color="auto" w:sz="4" w:space="0"/>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絮凝处理后回用于选厂生产。</w:t>
            </w:r>
          </w:p>
        </w:tc>
        <w:tc>
          <w:tcPr>
            <w:tcW w:w="1028" w:type="dxa"/>
            <w:tcBorders>
              <w:left w:val="single" w:color="auto" w:sz="4" w:space="0"/>
              <w:bottom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1104" w:type="dxa"/>
            <w:vMerge w:val="continue"/>
            <w:tcBorders>
              <w:right w:val="single" w:color="auto" w:sz="4" w:space="0"/>
            </w:tcBorders>
            <w:vAlign w:val="center"/>
          </w:tcPr>
          <w:p>
            <w:pPr>
              <w:widowControl/>
              <w:spacing w:line="240" w:lineRule="exact"/>
              <w:jc w:val="center"/>
              <w:rPr>
                <w:kern w:val="0"/>
                <w:sz w:val="20"/>
                <w:szCs w:val="20"/>
              </w:rPr>
            </w:pPr>
          </w:p>
        </w:tc>
        <w:tc>
          <w:tcPr>
            <w:tcW w:w="1135" w:type="dxa"/>
            <w:tcBorders>
              <w:left w:val="single" w:color="auto" w:sz="4" w:space="0"/>
            </w:tcBorders>
            <w:shd w:val="clear" w:color="auto" w:fill="auto"/>
            <w:vAlign w:val="center"/>
          </w:tcPr>
          <w:p>
            <w:pPr>
              <w:spacing w:line="240" w:lineRule="exact"/>
              <w:jc w:val="center"/>
              <w:rPr>
                <w:sz w:val="20"/>
                <w:szCs w:val="20"/>
              </w:rPr>
            </w:pPr>
            <w:r>
              <w:rPr>
                <w:sz w:val="20"/>
                <w:szCs w:val="20"/>
              </w:rPr>
              <w:t>COD</w:t>
            </w:r>
            <w:r>
              <w:rPr>
                <w:sz w:val="20"/>
                <w:szCs w:val="20"/>
                <w:vertAlign w:val="subscript"/>
              </w:rPr>
              <w:t>Cr</w:t>
            </w:r>
          </w:p>
        </w:tc>
        <w:tc>
          <w:tcPr>
            <w:tcW w:w="1132" w:type="dxa"/>
            <w:shd w:val="clear" w:color="auto" w:fill="auto"/>
            <w:vAlign w:val="center"/>
          </w:tcPr>
          <w:p>
            <w:pPr>
              <w:spacing w:line="240" w:lineRule="exact"/>
              <w:jc w:val="center"/>
              <w:rPr>
                <w:sz w:val="20"/>
                <w:szCs w:val="20"/>
              </w:rPr>
            </w:pPr>
            <w:r>
              <w:rPr>
                <w:sz w:val="20"/>
                <w:szCs w:val="20"/>
              </w:rPr>
              <w:t>28.98</w:t>
            </w:r>
          </w:p>
        </w:tc>
        <w:tc>
          <w:tcPr>
            <w:tcW w:w="1132" w:type="dxa"/>
            <w:shd w:val="clear" w:color="auto" w:fill="auto"/>
            <w:vAlign w:val="center"/>
          </w:tcPr>
          <w:p>
            <w:pPr>
              <w:spacing w:line="240" w:lineRule="exact"/>
              <w:jc w:val="center"/>
              <w:rPr>
                <w:sz w:val="20"/>
                <w:szCs w:val="20"/>
              </w:rPr>
            </w:pPr>
            <w:r>
              <w:rPr>
                <w:sz w:val="20"/>
                <w:szCs w:val="20"/>
              </w:rPr>
              <w:t>14.93</w:t>
            </w:r>
          </w:p>
        </w:tc>
        <w:tc>
          <w:tcPr>
            <w:tcW w:w="992" w:type="dxa"/>
            <w:tcBorders>
              <w:right w:val="single" w:color="auto" w:sz="4" w:space="0"/>
            </w:tcBorders>
            <w:shd w:val="clear" w:color="auto" w:fill="auto"/>
            <w:vAlign w:val="center"/>
          </w:tcPr>
          <w:p>
            <w:pPr>
              <w:spacing w:line="240" w:lineRule="exact"/>
              <w:jc w:val="center"/>
              <w:rPr>
                <w:sz w:val="20"/>
                <w:szCs w:val="20"/>
              </w:rPr>
            </w:pPr>
            <w:r>
              <w:rPr>
                <w:kern w:val="0"/>
                <w:sz w:val="20"/>
                <w:szCs w:val="20"/>
              </w:rPr>
              <w:t>0</w:t>
            </w:r>
          </w:p>
        </w:tc>
        <w:tc>
          <w:tcPr>
            <w:tcW w:w="1999" w:type="dxa"/>
            <w:vMerge w:val="continue"/>
            <w:tcBorders>
              <w:left w:val="single" w:color="auto" w:sz="4" w:space="0"/>
              <w:right w:val="single" w:color="auto" w:sz="4" w:space="0"/>
            </w:tcBorders>
            <w:shd w:val="clear" w:color="auto" w:fill="auto"/>
            <w:vAlign w:val="center"/>
          </w:tcPr>
          <w:p>
            <w:pPr>
              <w:spacing w:line="240" w:lineRule="exact"/>
              <w:jc w:val="center"/>
              <w:rPr>
                <w:sz w:val="20"/>
                <w:szCs w:val="20"/>
              </w:rPr>
            </w:pPr>
          </w:p>
        </w:tc>
        <w:tc>
          <w:tcPr>
            <w:tcW w:w="1028" w:type="dxa"/>
            <w:tcBorders>
              <w:top w:val="single" w:color="auto" w:sz="4" w:space="0"/>
              <w:left w:val="single" w:color="auto" w:sz="4" w:space="0"/>
              <w:bottom w:val="single" w:color="auto" w:sz="4" w:space="0"/>
            </w:tcBorders>
            <w:shd w:val="clear" w:color="auto" w:fill="auto"/>
            <w:vAlign w:val="center"/>
          </w:tcPr>
          <w:p>
            <w:pPr>
              <w:spacing w:line="240" w:lineRule="exact"/>
              <w:jc w:val="center"/>
              <w:rPr>
                <w:sz w:val="20"/>
                <w:szCs w:val="20"/>
              </w:rPr>
            </w:pPr>
            <w:r>
              <w:rPr>
                <w:kern w:val="0"/>
                <w:sz w:val="20"/>
                <w:szCs w:val="20"/>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0" w:hRule="atLeast"/>
        </w:trPr>
        <w:tc>
          <w:tcPr>
            <w:tcW w:w="1104" w:type="dxa"/>
            <w:vMerge w:val="restart"/>
            <w:shd w:val="clear" w:color="auto" w:fill="auto"/>
            <w:vAlign w:val="center"/>
          </w:tcPr>
          <w:p>
            <w:pPr>
              <w:widowControl/>
              <w:spacing w:line="240" w:lineRule="exact"/>
              <w:jc w:val="center"/>
              <w:rPr>
                <w:kern w:val="0"/>
                <w:sz w:val="20"/>
                <w:szCs w:val="20"/>
              </w:rPr>
            </w:pPr>
            <w:r>
              <w:rPr>
                <w:kern w:val="0"/>
                <w:sz w:val="20"/>
                <w:szCs w:val="20"/>
              </w:rPr>
              <w:t>生活污水</w:t>
            </w:r>
          </w:p>
        </w:tc>
        <w:tc>
          <w:tcPr>
            <w:tcW w:w="1135" w:type="dxa"/>
            <w:shd w:val="clear" w:color="auto" w:fill="auto"/>
            <w:vAlign w:val="center"/>
          </w:tcPr>
          <w:p>
            <w:pPr>
              <w:widowControl/>
              <w:spacing w:line="240" w:lineRule="exact"/>
              <w:jc w:val="center"/>
              <w:rPr>
                <w:kern w:val="0"/>
                <w:sz w:val="20"/>
                <w:szCs w:val="20"/>
              </w:rPr>
            </w:pPr>
            <w:r>
              <w:rPr>
                <w:kern w:val="0"/>
                <w:sz w:val="20"/>
                <w:szCs w:val="20"/>
              </w:rPr>
              <w:t>废水</w:t>
            </w:r>
          </w:p>
        </w:tc>
        <w:tc>
          <w:tcPr>
            <w:tcW w:w="1132" w:type="dxa"/>
            <w:shd w:val="clear" w:color="auto" w:fill="auto"/>
            <w:vAlign w:val="center"/>
          </w:tcPr>
          <w:p>
            <w:pPr>
              <w:widowControl/>
              <w:spacing w:line="240" w:lineRule="exact"/>
              <w:jc w:val="center"/>
              <w:rPr>
                <w:kern w:val="0"/>
                <w:sz w:val="20"/>
                <w:szCs w:val="20"/>
              </w:rPr>
            </w:pPr>
            <w:r>
              <w:rPr>
                <w:kern w:val="0"/>
                <w:sz w:val="20"/>
                <w:szCs w:val="20"/>
              </w:rPr>
              <w:t>7592</w:t>
            </w:r>
          </w:p>
        </w:tc>
        <w:tc>
          <w:tcPr>
            <w:tcW w:w="1132" w:type="dxa"/>
            <w:shd w:val="clear" w:color="auto" w:fill="auto"/>
            <w:vAlign w:val="center"/>
          </w:tcPr>
          <w:p>
            <w:pPr>
              <w:widowControl/>
              <w:spacing w:line="240" w:lineRule="exact"/>
              <w:jc w:val="center"/>
              <w:rPr>
                <w:kern w:val="0"/>
                <w:sz w:val="20"/>
                <w:szCs w:val="20"/>
              </w:rPr>
            </w:pPr>
            <w:r>
              <w:rPr>
                <w:kern w:val="0"/>
                <w:sz w:val="20"/>
                <w:szCs w:val="20"/>
              </w:rPr>
              <w:t>7592</w:t>
            </w:r>
          </w:p>
        </w:tc>
        <w:tc>
          <w:tcPr>
            <w:tcW w:w="992"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0</w:t>
            </w:r>
          </w:p>
        </w:tc>
        <w:tc>
          <w:tcPr>
            <w:tcW w:w="1999" w:type="dxa"/>
            <w:vMerge w:val="restart"/>
            <w:tcBorders>
              <w:left w:val="single" w:color="auto" w:sz="4" w:space="0"/>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经化粪池沉淀后排入尾矿库，与选矿工艺废水一并絮凝处理后由管网排入沟口河汇入麻家河，最终流入弘农涧河</w:t>
            </w:r>
          </w:p>
        </w:tc>
        <w:tc>
          <w:tcPr>
            <w:tcW w:w="1028" w:type="dxa"/>
            <w:vMerge w:val="restart"/>
            <w:tcBorders>
              <w:lef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5" w:hRule="atLeast"/>
        </w:trPr>
        <w:tc>
          <w:tcPr>
            <w:tcW w:w="1104" w:type="dxa"/>
            <w:vMerge w:val="continue"/>
            <w:vAlign w:val="center"/>
          </w:tcPr>
          <w:p>
            <w:pPr>
              <w:widowControl/>
              <w:spacing w:line="240" w:lineRule="exact"/>
              <w:jc w:val="center"/>
              <w:rPr>
                <w:kern w:val="0"/>
                <w:sz w:val="20"/>
                <w:szCs w:val="20"/>
              </w:rPr>
            </w:pPr>
          </w:p>
        </w:tc>
        <w:tc>
          <w:tcPr>
            <w:tcW w:w="1135" w:type="dxa"/>
            <w:shd w:val="clear" w:color="auto" w:fill="auto"/>
            <w:vAlign w:val="center"/>
          </w:tcPr>
          <w:p>
            <w:pPr>
              <w:widowControl/>
              <w:spacing w:line="240" w:lineRule="exact"/>
              <w:jc w:val="center"/>
              <w:rPr>
                <w:kern w:val="0"/>
                <w:sz w:val="20"/>
                <w:szCs w:val="20"/>
              </w:rPr>
            </w:pPr>
            <w:r>
              <w:rPr>
                <w:kern w:val="0"/>
                <w:sz w:val="20"/>
                <w:szCs w:val="20"/>
              </w:rPr>
              <w:t>COD</w:t>
            </w:r>
          </w:p>
        </w:tc>
        <w:tc>
          <w:tcPr>
            <w:tcW w:w="1132" w:type="dxa"/>
            <w:shd w:val="clear" w:color="auto" w:fill="auto"/>
            <w:vAlign w:val="center"/>
          </w:tcPr>
          <w:p>
            <w:pPr>
              <w:widowControl/>
              <w:spacing w:line="240" w:lineRule="exact"/>
              <w:jc w:val="center"/>
              <w:rPr>
                <w:kern w:val="0"/>
                <w:sz w:val="20"/>
                <w:szCs w:val="20"/>
              </w:rPr>
            </w:pPr>
            <w:r>
              <w:rPr>
                <w:sz w:val="20"/>
                <w:szCs w:val="20"/>
              </w:rPr>
              <w:t>0.911</w:t>
            </w:r>
          </w:p>
        </w:tc>
        <w:tc>
          <w:tcPr>
            <w:tcW w:w="1132" w:type="dxa"/>
            <w:shd w:val="clear" w:color="auto" w:fill="auto"/>
            <w:vAlign w:val="center"/>
          </w:tcPr>
          <w:p>
            <w:pPr>
              <w:widowControl/>
              <w:spacing w:line="240" w:lineRule="exact"/>
              <w:jc w:val="center"/>
              <w:rPr>
                <w:kern w:val="0"/>
                <w:sz w:val="20"/>
                <w:szCs w:val="20"/>
              </w:rPr>
            </w:pPr>
            <w:r>
              <w:rPr>
                <w:sz w:val="20"/>
                <w:szCs w:val="20"/>
              </w:rPr>
              <w:t>0.911</w:t>
            </w:r>
          </w:p>
        </w:tc>
        <w:tc>
          <w:tcPr>
            <w:tcW w:w="992"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0</w:t>
            </w:r>
          </w:p>
        </w:tc>
        <w:tc>
          <w:tcPr>
            <w:tcW w:w="1999" w:type="dxa"/>
            <w:vMerge w:val="continue"/>
            <w:tcBorders>
              <w:left w:val="single" w:color="auto" w:sz="4" w:space="0"/>
              <w:right w:val="single" w:color="auto" w:sz="4" w:space="0"/>
            </w:tcBorders>
            <w:shd w:val="clear" w:color="auto" w:fill="auto"/>
            <w:vAlign w:val="center"/>
          </w:tcPr>
          <w:p>
            <w:pPr>
              <w:widowControl/>
              <w:spacing w:line="240" w:lineRule="exact"/>
              <w:jc w:val="center"/>
              <w:rPr>
                <w:kern w:val="0"/>
                <w:sz w:val="20"/>
                <w:szCs w:val="20"/>
              </w:rPr>
            </w:pPr>
          </w:p>
        </w:tc>
        <w:tc>
          <w:tcPr>
            <w:tcW w:w="1028" w:type="dxa"/>
            <w:vMerge w:val="continue"/>
            <w:tcBorders>
              <w:left w:val="single" w:color="auto" w:sz="4" w:space="0"/>
            </w:tcBorders>
            <w:shd w:val="clear" w:color="auto" w:fill="auto"/>
            <w:vAlign w:val="center"/>
          </w:tcPr>
          <w:p>
            <w:pPr>
              <w:widowControl/>
              <w:spacing w:line="240" w:lineRule="exact"/>
              <w:jc w:val="center"/>
              <w:rPr>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1104" w:type="dxa"/>
            <w:vMerge w:val="continue"/>
            <w:vAlign w:val="center"/>
          </w:tcPr>
          <w:p>
            <w:pPr>
              <w:widowControl/>
              <w:spacing w:line="240" w:lineRule="exact"/>
              <w:jc w:val="center"/>
              <w:rPr>
                <w:kern w:val="0"/>
                <w:sz w:val="20"/>
                <w:szCs w:val="20"/>
              </w:rPr>
            </w:pPr>
          </w:p>
        </w:tc>
        <w:tc>
          <w:tcPr>
            <w:tcW w:w="1135" w:type="dxa"/>
            <w:shd w:val="clear" w:color="auto" w:fill="auto"/>
            <w:vAlign w:val="center"/>
          </w:tcPr>
          <w:p>
            <w:pPr>
              <w:widowControl/>
              <w:spacing w:line="240" w:lineRule="exact"/>
              <w:jc w:val="center"/>
              <w:rPr>
                <w:kern w:val="0"/>
                <w:sz w:val="20"/>
                <w:szCs w:val="20"/>
              </w:rPr>
            </w:pPr>
            <w:r>
              <w:rPr>
                <w:kern w:val="0"/>
                <w:sz w:val="20"/>
                <w:szCs w:val="20"/>
              </w:rPr>
              <w:t>氨氮</w:t>
            </w:r>
          </w:p>
        </w:tc>
        <w:tc>
          <w:tcPr>
            <w:tcW w:w="1132" w:type="dxa"/>
            <w:shd w:val="clear" w:color="auto" w:fill="auto"/>
            <w:vAlign w:val="center"/>
          </w:tcPr>
          <w:p>
            <w:pPr>
              <w:widowControl/>
              <w:spacing w:line="240" w:lineRule="exact"/>
              <w:jc w:val="center"/>
              <w:rPr>
                <w:sz w:val="20"/>
                <w:szCs w:val="20"/>
              </w:rPr>
            </w:pPr>
            <w:r>
              <w:rPr>
                <w:sz w:val="20"/>
                <w:szCs w:val="20"/>
              </w:rPr>
              <w:t>0.0141</w:t>
            </w:r>
          </w:p>
        </w:tc>
        <w:tc>
          <w:tcPr>
            <w:tcW w:w="1132" w:type="dxa"/>
            <w:shd w:val="clear" w:color="auto" w:fill="auto"/>
            <w:vAlign w:val="center"/>
          </w:tcPr>
          <w:p>
            <w:pPr>
              <w:widowControl/>
              <w:spacing w:line="240" w:lineRule="exact"/>
              <w:jc w:val="center"/>
              <w:rPr>
                <w:sz w:val="20"/>
                <w:szCs w:val="20"/>
              </w:rPr>
            </w:pPr>
            <w:r>
              <w:rPr>
                <w:sz w:val="20"/>
                <w:szCs w:val="20"/>
              </w:rPr>
              <w:t>0.0141</w:t>
            </w:r>
          </w:p>
        </w:tc>
        <w:tc>
          <w:tcPr>
            <w:tcW w:w="992"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0</w:t>
            </w:r>
          </w:p>
        </w:tc>
        <w:tc>
          <w:tcPr>
            <w:tcW w:w="1999" w:type="dxa"/>
            <w:vMerge w:val="continue"/>
            <w:tcBorders>
              <w:left w:val="single" w:color="auto" w:sz="4" w:space="0"/>
              <w:right w:val="single" w:color="auto" w:sz="4" w:space="0"/>
            </w:tcBorders>
            <w:shd w:val="clear" w:color="auto" w:fill="auto"/>
            <w:vAlign w:val="center"/>
          </w:tcPr>
          <w:p>
            <w:pPr>
              <w:widowControl/>
              <w:spacing w:line="240" w:lineRule="exact"/>
              <w:jc w:val="center"/>
              <w:rPr>
                <w:kern w:val="0"/>
                <w:sz w:val="20"/>
                <w:szCs w:val="20"/>
              </w:rPr>
            </w:pPr>
          </w:p>
        </w:tc>
        <w:tc>
          <w:tcPr>
            <w:tcW w:w="1028" w:type="dxa"/>
            <w:vMerge w:val="continue"/>
            <w:tcBorders>
              <w:left w:val="single" w:color="auto" w:sz="4" w:space="0"/>
            </w:tcBorders>
            <w:shd w:val="clear" w:color="auto" w:fill="auto"/>
            <w:vAlign w:val="center"/>
          </w:tcPr>
          <w:p>
            <w:pPr>
              <w:widowControl/>
              <w:spacing w:line="240" w:lineRule="exact"/>
              <w:jc w:val="center"/>
              <w:rPr>
                <w:kern w:val="0"/>
                <w:sz w:val="20"/>
                <w:szCs w:val="20"/>
              </w:rPr>
            </w:pPr>
          </w:p>
        </w:tc>
      </w:tr>
    </w:tbl>
    <w:p>
      <w:pPr>
        <w:pStyle w:val="88"/>
        <w:rPr>
          <w:color w:val="auto"/>
        </w:rPr>
      </w:pPr>
    </w:p>
    <w:p>
      <w:pPr>
        <w:pStyle w:val="88"/>
        <w:rPr>
          <w:color w:val="auto"/>
        </w:rPr>
      </w:pPr>
    </w:p>
    <w:p>
      <w:pPr>
        <w:pStyle w:val="5"/>
      </w:pPr>
      <w:r>
        <w:t>2.1.7.3固体废物</w:t>
      </w:r>
    </w:p>
    <w:p>
      <w:pPr>
        <w:spacing w:beforeLines="50"/>
        <w:jc w:val="left"/>
        <w:rPr>
          <w:rFonts w:eastAsia="黑体"/>
          <w:sz w:val="22"/>
          <w:szCs w:val="22"/>
        </w:rPr>
      </w:pPr>
      <w:r>
        <w:rPr>
          <w:b/>
          <w:szCs w:val="20"/>
        </w:rPr>
        <w:t xml:space="preserve">   </w:t>
      </w:r>
      <w:r>
        <w:rPr>
          <w:rFonts w:eastAsia="黑体"/>
          <w:sz w:val="22"/>
          <w:szCs w:val="22"/>
        </w:rPr>
        <w:t xml:space="preserve"> 表2.1-11         本项目固废产生产生量、处置量、排放量</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4"/>
        <w:gridCol w:w="782"/>
        <w:gridCol w:w="1273"/>
        <w:gridCol w:w="1190"/>
        <w:gridCol w:w="953"/>
        <w:gridCol w:w="3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1244" w:type="dxa"/>
            <w:shd w:val="clear" w:color="auto" w:fill="auto"/>
            <w:vAlign w:val="center"/>
          </w:tcPr>
          <w:p>
            <w:pPr>
              <w:widowControl/>
              <w:spacing w:line="240" w:lineRule="exact"/>
              <w:jc w:val="center"/>
              <w:rPr>
                <w:kern w:val="0"/>
                <w:sz w:val="20"/>
                <w:szCs w:val="20"/>
              </w:rPr>
            </w:pPr>
            <w:r>
              <w:rPr>
                <w:kern w:val="0"/>
                <w:sz w:val="20"/>
                <w:szCs w:val="20"/>
              </w:rPr>
              <w:t>固废</w:t>
            </w:r>
          </w:p>
        </w:tc>
        <w:tc>
          <w:tcPr>
            <w:tcW w:w="782" w:type="dxa"/>
            <w:shd w:val="clear" w:color="auto" w:fill="auto"/>
            <w:vAlign w:val="center"/>
          </w:tcPr>
          <w:p>
            <w:pPr>
              <w:widowControl/>
              <w:spacing w:line="240" w:lineRule="exact"/>
              <w:jc w:val="center"/>
              <w:rPr>
                <w:kern w:val="0"/>
                <w:sz w:val="20"/>
                <w:szCs w:val="20"/>
              </w:rPr>
            </w:pPr>
            <w:r>
              <w:rPr>
                <w:kern w:val="0"/>
                <w:sz w:val="20"/>
                <w:szCs w:val="20"/>
              </w:rPr>
              <w:t>单位</w:t>
            </w:r>
          </w:p>
        </w:tc>
        <w:tc>
          <w:tcPr>
            <w:tcW w:w="1273" w:type="dxa"/>
            <w:shd w:val="clear" w:color="auto" w:fill="auto"/>
            <w:vAlign w:val="center"/>
          </w:tcPr>
          <w:p>
            <w:pPr>
              <w:widowControl/>
              <w:spacing w:line="240" w:lineRule="exact"/>
              <w:jc w:val="center"/>
              <w:rPr>
                <w:kern w:val="0"/>
                <w:sz w:val="20"/>
                <w:szCs w:val="20"/>
              </w:rPr>
            </w:pPr>
            <w:r>
              <w:rPr>
                <w:kern w:val="0"/>
                <w:sz w:val="20"/>
                <w:szCs w:val="20"/>
              </w:rPr>
              <w:t>产生量</w:t>
            </w:r>
          </w:p>
        </w:tc>
        <w:tc>
          <w:tcPr>
            <w:tcW w:w="1190" w:type="dxa"/>
            <w:shd w:val="clear" w:color="auto" w:fill="auto"/>
            <w:vAlign w:val="center"/>
          </w:tcPr>
          <w:p>
            <w:pPr>
              <w:widowControl/>
              <w:spacing w:line="240" w:lineRule="exact"/>
              <w:jc w:val="center"/>
              <w:rPr>
                <w:kern w:val="0"/>
                <w:sz w:val="20"/>
                <w:szCs w:val="20"/>
              </w:rPr>
            </w:pPr>
            <w:r>
              <w:rPr>
                <w:kern w:val="0"/>
                <w:sz w:val="20"/>
                <w:szCs w:val="20"/>
              </w:rPr>
              <w:t>处置量</w:t>
            </w:r>
          </w:p>
        </w:tc>
        <w:tc>
          <w:tcPr>
            <w:tcW w:w="953"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排放量</w:t>
            </w:r>
          </w:p>
        </w:tc>
        <w:tc>
          <w:tcPr>
            <w:tcW w:w="3080" w:type="dxa"/>
            <w:tcBorders>
              <w:lef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1244" w:type="dxa"/>
            <w:shd w:val="clear" w:color="auto" w:fill="auto"/>
            <w:vAlign w:val="center"/>
          </w:tcPr>
          <w:p>
            <w:pPr>
              <w:widowControl/>
              <w:spacing w:line="240" w:lineRule="exact"/>
              <w:jc w:val="center"/>
              <w:rPr>
                <w:kern w:val="0"/>
                <w:sz w:val="20"/>
                <w:szCs w:val="20"/>
              </w:rPr>
            </w:pPr>
            <w:r>
              <w:rPr>
                <w:kern w:val="0"/>
                <w:sz w:val="20"/>
                <w:szCs w:val="20"/>
              </w:rPr>
              <w:t>废石</w:t>
            </w:r>
          </w:p>
        </w:tc>
        <w:tc>
          <w:tcPr>
            <w:tcW w:w="782" w:type="dxa"/>
            <w:shd w:val="clear" w:color="auto" w:fill="auto"/>
            <w:vAlign w:val="center"/>
          </w:tcPr>
          <w:p>
            <w:pPr>
              <w:widowControl/>
              <w:spacing w:line="240" w:lineRule="exact"/>
              <w:jc w:val="center"/>
              <w:rPr>
                <w:kern w:val="0"/>
                <w:sz w:val="20"/>
                <w:szCs w:val="20"/>
              </w:rPr>
            </w:pPr>
            <w:r>
              <w:rPr>
                <w:kern w:val="0"/>
                <w:sz w:val="20"/>
                <w:szCs w:val="20"/>
              </w:rPr>
              <w:t>t/a</w:t>
            </w:r>
          </w:p>
        </w:tc>
        <w:tc>
          <w:tcPr>
            <w:tcW w:w="1273" w:type="dxa"/>
            <w:shd w:val="clear" w:color="auto" w:fill="auto"/>
            <w:vAlign w:val="center"/>
          </w:tcPr>
          <w:p>
            <w:pPr>
              <w:widowControl/>
              <w:spacing w:line="240" w:lineRule="exact"/>
              <w:jc w:val="center"/>
              <w:rPr>
                <w:kern w:val="0"/>
                <w:sz w:val="20"/>
                <w:szCs w:val="20"/>
              </w:rPr>
            </w:pPr>
            <w:r>
              <w:rPr>
                <w:kern w:val="0"/>
                <w:sz w:val="20"/>
                <w:szCs w:val="20"/>
              </w:rPr>
              <w:t>12000</w:t>
            </w:r>
          </w:p>
        </w:tc>
        <w:tc>
          <w:tcPr>
            <w:tcW w:w="1190" w:type="dxa"/>
            <w:shd w:val="clear" w:color="auto" w:fill="auto"/>
            <w:vAlign w:val="center"/>
          </w:tcPr>
          <w:p>
            <w:pPr>
              <w:widowControl/>
              <w:spacing w:line="240" w:lineRule="exact"/>
              <w:jc w:val="center"/>
              <w:rPr>
                <w:kern w:val="0"/>
                <w:sz w:val="20"/>
                <w:szCs w:val="20"/>
              </w:rPr>
            </w:pPr>
            <w:r>
              <w:rPr>
                <w:kern w:val="0"/>
                <w:sz w:val="20"/>
                <w:szCs w:val="20"/>
              </w:rPr>
              <w:t>12000</w:t>
            </w:r>
          </w:p>
        </w:tc>
        <w:tc>
          <w:tcPr>
            <w:tcW w:w="953"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0</w:t>
            </w:r>
          </w:p>
        </w:tc>
        <w:tc>
          <w:tcPr>
            <w:tcW w:w="3080" w:type="dxa"/>
            <w:tcBorders>
              <w:left w:val="single" w:color="auto" w:sz="4" w:space="0"/>
            </w:tcBorders>
            <w:shd w:val="clear" w:color="auto" w:fill="auto"/>
            <w:vAlign w:val="center"/>
          </w:tcPr>
          <w:p>
            <w:pPr>
              <w:widowControl/>
              <w:spacing w:line="240" w:lineRule="exact"/>
              <w:rPr>
                <w:kern w:val="0"/>
                <w:sz w:val="20"/>
                <w:szCs w:val="20"/>
              </w:rPr>
            </w:pPr>
            <w:r>
              <w:rPr>
                <w:kern w:val="0"/>
                <w:sz w:val="20"/>
                <w:szCs w:val="20"/>
              </w:rPr>
              <w:t>集中堆放在废石堆场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1244" w:type="dxa"/>
            <w:shd w:val="clear" w:color="auto" w:fill="auto"/>
            <w:vAlign w:val="center"/>
          </w:tcPr>
          <w:p>
            <w:pPr>
              <w:widowControl/>
              <w:spacing w:line="240" w:lineRule="exact"/>
              <w:jc w:val="center"/>
              <w:rPr>
                <w:kern w:val="0"/>
                <w:sz w:val="20"/>
                <w:szCs w:val="20"/>
              </w:rPr>
            </w:pPr>
            <w:r>
              <w:rPr>
                <w:kern w:val="0"/>
                <w:sz w:val="20"/>
                <w:szCs w:val="20"/>
              </w:rPr>
              <w:t>尾矿</w:t>
            </w:r>
          </w:p>
        </w:tc>
        <w:tc>
          <w:tcPr>
            <w:tcW w:w="782" w:type="dxa"/>
            <w:shd w:val="clear" w:color="auto" w:fill="auto"/>
            <w:vAlign w:val="center"/>
          </w:tcPr>
          <w:p>
            <w:pPr>
              <w:widowControl/>
              <w:spacing w:line="240" w:lineRule="exact"/>
              <w:jc w:val="center"/>
              <w:rPr>
                <w:kern w:val="0"/>
                <w:sz w:val="20"/>
                <w:szCs w:val="20"/>
              </w:rPr>
            </w:pPr>
            <w:r>
              <w:rPr>
                <w:kern w:val="0"/>
                <w:sz w:val="20"/>
                <w:szCs w:val="20"/>
              </w:rPr>
              <w:t>t/a</w:t>
            </w:r>
          </w:p>
        </w:tc>
        <w:tc>
          <w:tcPr>
            <w:tcW w:w="1273" w:type="dxa"/>
            <w:shd w:val="clear" w:color="auto" w:fill="auto"/>
            <w:vAlign w:val="center"/>
          </w:tcPr>
          <w:p>
            <w:pPr>
              <w:widowControl/>
              <w:spacing w:line="240" w:lineRule="exact"/>
              <w:jc w:val="center"/>
              <w:rPr>
                <w:kern w:val="0"/>
                <w:sz w:val="20"/>
                <w:szCs w:val="20"/>
              </w:rPr>
            </w:pPr>
            <w:r>
              <w:rPr>
                <w:kern w:val="0"/>
                <w:sz w:val="20"/>
                <w:szCs w:val="20"/>
              </w:rPr>
              <w:t>8.19</w:t>
            </w:r>
          </w:p>
        </w:tc>
        <w:tc>
          <w:tcPr>
            <w:tcW w:w="1190" w:type="dxa"/>
            <w:shd w:val="clear" w:color="auto" w:fill="auto"/>
            <w:vAlign w:val="center"/>
          </w:tcPr>
          <w:p>
            <w:pPr>
              <w:widowControl/>
              <w:spacing w:line="240" w:lineRule="exact"/>
              <w:jc w:val="center"/>
              <w:rPr>
                <w:kern w:val="0"/>
                <w:sz w:val="20"/>
                <w:szCs w:val="20"/>
              </w:rPr>
            </w:pPr>
            <w:r>
              <w:rPr>
                <w:kern w:val="0"/>
                <w:sz w:val="20"/>
                <w:szCs w:val="20"/>
              </w:rPr>
              <w:t>8.19</w:t>
            </w:r>
          </w:p>
        </w:tc>
        <w:tc>
          <w:tcPr>
            <w:tcW w:w="953"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0</w:t>
            </w:r>
          </w:p>
        </w:tc>
        <w:tc>
          <w:tcPr>
            <w:tcW w:w="3080" w:type="dxa"/>
            <w:tcBorders>
              <w:left w:val="single" w:color="auto" w:sz="4" w:space="0"/>
            </w:tcBorders>
            <w:shd w:val="clear" w:color="auto" w:fill="auto"/>
            <w:vAlign w:val="center"/>
          </w:tcPr>
          <w:p>
            <w:pPr>
              <w:widowControl/>
              <w:spacing w:line="240" w:lineRule="exact"/>
              <w:rPr>
                <w:kern w:val="0"/>
                <w:sz w:val="20"/>
                <w:szCs w:val="20"/>
              </w:rPr>
            </w:pPr>
            <w:r>
              <w:rPr>
                <w:kern w:val="0"/>
                <w:sz w:val="20"/>
                <w:szCs w:val="20"/>
              </w:rPr>
              <w:t>水利自流至尾矿库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1244" w:type="dxa"/>
            <w:shd w:val="clear" w:color="auto" w:fill="auto"/>
            <w:vAlign w:val="center"/>
          </w:tcPr>
          <w:p>
            <w:pPr>
              <w:widowControl/>
              <w:spacing w:line="240" w:lineRule="exact"/>
              <w:jc w:val="center"/>
              <w:rPr>
                <w:kern w:val="0"/>
                <w:sz w:val="20"/>
                <w:szCs w:val="20"/>
              </w:rPr>
            </w:pPr>
            <w:r>
              <w:rPr>
                <w:kern w:val="0"/>
                <w:sz w:val="20"/>
                <w:szCs w:val="20"/>
              </w:rPr>
              <w:t>生活垃圾</w:t>
            </w:r>
          </w:p>
        </w:tc>
        <w:tc>
          <w:tcPr>
            <w:tcW w:w="782" w:type="dxa"/>
            <w:shd w:val="clear" w:color="auto" w:fill="auto"/>
            <w:vAlign w:val="center"/>
          </w:tcPr>
          <w:p>
            <w:pPr>
              <w:widowControl/>
              <w:spacing w:line="240" w:lineRule="exact"/>
              <w:jc w:val="center"/>
              <w:rPr>
                <w:kern w:val="0"/>
                <w:sz w:val="20"/>
                <w:szCs w:val="20"/>
              </w:rPr>
            </w:pPr>
            <w:r>
              <w:rPr>
                <w:kern w:val="0"/>
                <w:sz w:val="20"/>
                <w:szCs w:val="20"/>
              </w:rPr>
              <w:t>t/a</w:t>
            </w:r>
          </w:p>
        </w:tc>
        <w:tc>
          <w:tcPr>
            <w:tcW w:w="1273" w:type="dxa"/>
            <w:shd w:val="clear" w:color="auto" w:fill="auto"/>
            <w:vAlign w:val="center"/>
          </w:tcPr>
          <w:p>
            <w:pPr>
              <w:widowControl/>
              <w:spacing w:line="240" w:lineRule="exact"/>
              <w:jc w:val="center"/>
              <w:rPr>
                <w:kern w:val="0"/>
                <w:sz w:val="20"/>
                <w:szCs w:val="20"/>
              </w:rPr>
            </w:pPr>
            <w:r>
              <w:rPr>
                <w:kern w:val="0"/>
                <w:sz w:val="20"/>
                <w:szCs w:val="20"/>
              </w:rPr>
              <w:t>84</w:t>
            </w:r>
          </w:p>
        </w:tc>
        <w:tc>
          <w:tcPr>
            <w:tcW w:w="1190" w:type="dxa"/>
            <w:shd w:val="clear" w:color="auto" w:fill="auto"/>
            <w:vAlign w:val="center"/>
          </w:tcPr>
          <w:p>
            <w:pPr>
              <w:widowControl/>
              <w:spacing w:line="240" w:lineRule="exact"/>
              <w:jc w:val="center"/>
              <w:rPr>
                <w:kern w:val="0"/>
                <w:sz w:val="20"/>
                <w:szCs w:val="20"/>
              </w:rPr>
            </w:pPr>
            <w:r>
              <w:rPr>
                <w:kern w:val="0"/>
                <w:sz w:val="20"/>
                <w:szCs w:val="20"/>
              </w:rPr>
              <w:t>84</w:t>
            </w:r>
          </w:p>
        </w:tc>
        <w:tc>
          <w:tcPr>
            <w:tcW w:w="953" w:type="dxa"/>
            <w:tcBorders>
              <w:righ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0</w:t>
            </w:r>
          </w:p>
        </w:tc>
        <w:tc>
          <w:tcPr>
            <w:tcW w:w="3080" w:type="dxa"/>
            <w:tcBorders>
              <w:left w:val="single" w:color="auto" w:sz="4" w:space="0"/>
            </w:tcBorders>
            <w:shd w:val="clear" w:color="auto" w:fill="auto"/>
            <w:vAlign w:val="center"/>
          </w:tcPr>
          <w:p>
            <w:pPr>
              <w:widowControl/>
              <w:spacing w:line="240" w:lineRule="exact"/>
              <w:jc w:val="center"/>
              <w:rPr>
                <w:kern w:val="0"/>
                <w:sz w:val="20"/>
                <w:szCs w:val="20"/>
              </w:rPr>
            </w:pPr>
            <w:r>
              <w:rPr>
                <w:kern w:val="0"/>
                <w:sz w:val="20"/>
                <w:szCs w:val="20"/>
              </w:rPr>
              <w:t>项目区设置垃圾桶，委托当地环卫部门清运。</w:t>
            </w:r>
          </w:p>
        </w:tc>
      </w:tr>
    </w:tbl>
    <w:p>
      <w:pPr>
        <w:pStyle w:val="77"/>
      </w:pPr>
      <w:bookmarkStart w:id="205" w:name="_Toc406504162"/>
      <w:bookmarkStart w:id="206" w:name="_Toc407153448"/>
      <w:bookmarkStart w:id="207" w:name="_Toc420663635"/>
      <w:bookmarkStart w:id="208" w:name="_Toc407217314"/>
      <w:bookmarkStart w:id="209" w:name="_Toc488578903"/>
      <w:bookmarkStart w:id="210" w:name="_Toc470358618"/>
      <w:r>
        <w:t xml:space="preserve">2.2 </w:t>
      </w:r>
      <w:bookmarkEnd w:id="205"/>
      <w:bookmarkEnd w:id="206"/>
      <w:bookmarkEnd w:id="207"/>
      <w:bookmarkEnd w:id="208"/>
      <w:r>
        <w:t>本次扩建项目概况</w:t>
      </w:r>
      <w:bookmarkEnd w:id="209"/>
      <w:bookmarkEnd w:id="210"/>
    </w:p>
    <w:p>
      <w:pPr>
        <w:pStyle w:val="74"/>
      </w:pPr>
      <w:bookmarkStart w:id="211" w:name="_Toc470358619"/>
      <w:r>
        <w:t>2.2.1扩建项目基本情况</w:t>
      </w:r>
      <w:bookmarkEnd w:id="211"/>
    </w:p>
    <w:p>
      <w:pPr>
        <w:pStyle w:val="88"/>
        <w:rPr>
          <w:color w:val="auto"/>
        </w:rPr>
      </w:pPr>
      <w:r>
        <w:rPr>
          <w:color w:val="auto"/>
        </w:rPr>
        <w:t xml:space="preserve">    扩建项目概况见表2.2-1。</w:t>
      </w:r>
    </w:p>
    <w:p>
      <w:pPr>
        <w:pStyle w:val="68"/>
        <w:ind w:firstLine="440"/>
        <w:rPr>
          <w:rFonts w:eastAsia="黑体"/>
          <w:sz w:val="22"/>
          <w:szCs w:val="22"/>
        </w:rPr>
      </w:pPr>
      <w:r>
        <w:rPr>
          <w:rFonts w:eastAsia="黑体"/>
          <w:sz w:val="22"/>
          <w:szCs w:val="22"/>
        </w:rPr>
        <w:t>表2.2-1                      扩建项目情况</w:t>
      </w:r>
    </w:p>
    <w:tbl>
      <w:tblPr>
        <w:tblStyle w:val="55"/>
        <w:tblW w:w="88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696"/>
        <w:gridCol w:w="2848"/>
        <w:gridCol w:w="34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12" w:name="_Toc470358620"/>
            <w:r>
              <w:rPr>
                <w:sz w:val="20"/>
                <w:szCs w:val="20"/>
              </w:rPr>
              <w:t>序号</w:t>
            </w:r>
            <w:bookmarkEnd w:id="212"/>
          </w:p>
        </w:tc>
        <w:tc>
          <w:tcPr>
            <w:tcW w:w="1417" w:type="dxa"/>
            <w:vAlign w:val="center"/>
          </w:tcPr>
          <w:p>
            <w:pPr>
              <w:pStyle w:val="107"/>
              <w:spacing w:line="240" w:lineRule="auto"/>
              <w:jc w:val="center"/>
              <w:rPr>
                <w:sz w:val="20"/>
                <w:szCs w:val="20"/>
              </w:rPr>
            </w:pPr>
            <w:bookmarkStart w:id="213" w:name="_Toc470358621"/>
            <w:r>
              <w:rPr>
                <w:sz w:val="20"/>
                <w:szCs w:val="20"/>
              </w:rPr>
              <w:t>项目</w:t>
            </w:r>
            <w:bookmarkEnd w:id="213"/>
          </w:p>
        </w:tc>
        <w:tc>
          <w:tcPr>
            <w:tcW w:w="3544" w:type="dxa"/>
            <w:gridSpan w:val="2"/>
            <w:vAlign w:val="center"/>
          </w:tcPr>
          <w:p>
            <w:pPr>
              <w:pStyle w:val="107"/>
              <w:spacing w:line="240" w:lineRule="auto"/>
              <w:jc w:val="center"/>
              <w:rPr>
                <w:sz w:val="20"/>
                <w:szCs w:val="20"/>
              </w:rPr>
            </w:pPr>
            <w:bookmarkStart w:id="214" w:name="_Toc470358622"/>
            <w:r>
              <w:rPr>
                <w:sz w:val="20"/>
                <w:szCs w:val="20"/>
              </w:rPr>
              <w:t>环评批复项目建设情况</w:t>
            </w:r>
            <w:bookmarkEnd w:id="214"/>
          </w:p>
        </w:tc>
        <w:tc>
          <w:tcPr>
            <w:tcW w:w="3402" w:type="dxa"/>
            <w:vAlign w:val="center"/>
          </w:tcPr>
          <w:p>
            <w:pPr>
              <w:pStyle w:val="107"/>
              <w:spacing w:line="240" w:lineRule="auto"/>
              <w:jc w:val="center"/>
              <w:rPr>
                <w:sz w:val="20"/>
                <w:szCs w:val="20"/>
              </w:rPr>
            </w:pPr>
            <w:bookmarkStart w:id="215" w:name="_Toc470358623"/>
            <w:r>
              <w:rPr>
                <w:sz w:val="20"/>
                <w:szCs w:val="20"/>
              </w:rPr>
              <w:t>变动情况</w:t>
            </w:r>
            <w:bookmarkEnd w:id="21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16" w:name="_Toc470358624"/>
            <w:r>
              <w:rPr>
                <w:sz w:val="20"/>
                <w:szCs w:val="20"/>
              </w:rPr>
              <w:t>1</w:t>
            </w:r>
            <w:bookmarkEnd w:id="216"/>
          </w:p>
        </w:tc>
        <w:tc>
          <w:tcPr>
            <w:tcW w:w="1417" w:type="dxa"/>
            <w:vAlign w:val="center"/>
          </w:tcPr>
          <w:p>
            <w:pPr>
              <w:pStyle w:val="107"/>
              <w:spacing w:line="240" w:lineRule="auto"/>
              <w:jc w:val="center"/>
              <w:rPr>
                <w:sz w:val="20"/>
                <w:szCs w:val="20"/>
              </w:rPr>
            </w:pPr>
            <w:bookmarkStart w:id="217" w:name="_Toc470358625"/>
            <w:r>
              <w:rPr>
                <w:sz w:val="20"/>
                <w:szCs w:val="20"/>
              </w:rPr>
              <w:t>项目名称</w:t>
            </w:r>
            <w:bookmarkEnd w:id="217"/>
          </w:p>
        </w:tc>
        <w:tc>
          <w:tcPr>
            <w:tcW w:w="3544" w:type="dxa"/>
            <w:gridSpan w:val="2"/>
            <w:vAlign w:val="center"/>
          </w:tcPr>
          <w:p>
            <w:pPr>
              <w:pStyle w:val="107"/>
              <w:spacing w:line="240" w:lineRule="auto"/>
              <w:jc w:val="center"/>
              <w:rPr>
                <w:sz w:val="20"/>
                <w:szCs w:val="20"/>
              </w:rPr>
            </w:pPr>
            <w:bookmarkStart w:id="218" w:name="_Toc470358626"/>
            <w:r>
              <w:rPr>
                <w:sz w:val="20"/>
                <w:szCs w:val="20"/>
              </w:rPr>
              <w:t>银家沟硫铁矿综合回收扩建工程项目</w:t>
            </w:r>
            <w:bookmarkEnd w:id="218"/>
          </w:p>
        </w:tc>
        <w:tc>
          <w:tcPr>
            <w:tcW w:w="3402" w:type="dxa"/>
            <w:vAlign w:val="center"/>
          </w:tcPr>
          <w:p>
            <w:pPr>
              <w:pStyle w:val="107"/>
              <w:spacing w:line="240" w:lineRule="auto"/>
              <w:jc w:val="center"/>
              <w:rPr>
                <w:sz w:val="20"/>
                <w:szCs w:val="20"/>
              </w:rPr>
            </w:pPr>
            <w:bookmarkStart w:id="219" w:name="_Toc470358627"/>
            <w:r>
              <w:rPr>
                <w:sz w:val="20"/>
                <w:szCs w:val="20"/>
              </w:rPr>
              <w:t>无</w:t>
            </w:r>
            <w:bookmarkEnd w:id="21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20" w:name="_Toc470358628"/>
            <w:r>
              <w:rPr>
                <w:sz w:val="20"/>
                <w:szCs w:val="20"/>
              </w:rPr>
              <w:t>2</w:t>
            </w:r>
            <w:bookmarkEnd w:id="220"/>
          </w:p>
        </w:tc>
        <w:tc>
          <w:tcPr>
            <w:tcW w:w="1417" w:type="dxa"/>
            <w:vAlign w:val="center"/>
          </w:tcPr>
          <w:p>
            <w:pPr>
              <w:pStyle w:val="107"/>
              <w:spacing w:line="240" w:lineRule="auto"/>
              <w:jc w:val="center"/>
              <w:rPr>
                <w:sz w:val="20"/>
                <w:szCs w:val="20"/>
              </w:rPr>
            </w:pPr>
            <w:bookmarkStart w:id="221" w:name="_Toc470358629"/>
            <w:r>
              <w:rPr>
                <w:sz w:val="20"/>
                <w:szCs w:val="20"/>
              </w:rPr>
              <w:t>建设单位名称</w:t>
            </w:r>
            <w:bookmarkEnd w:id="221"/>
          </w:p>
        </w:tc>
        <w:tc>
          <w:tcPr>
            <w:tcW w:w="3544" w:type="dxa"/>
            <w:gridSpan w:val="2"/>
            <w:vAlign w:val="center"/>
          </w:tcPr>
          <w:p>
            <w:pPr>
              <w:pStyle w:val="107"/>
              <w:spacing w:line="240" w:lineRule="auto"/>
              <w:jc w:val="center"/>
              <w:rPr>
                <w:sz w:val="20"/>
                <w:szCs w:val="20"/>
              </w:rPr>
            </w:pPr>
            <w:bookmarkStart w:id="222" w:name="_Toc470358630"/>
            <w:r>
              <w:rPr>
                <w:sz w:val="20"/>
                <w:szCs w:val="20"/>
              </w:rPr>
              <w:t>灵宝金源晨光有色矿冶有限公司</w:t>
            </w:r>
            <w:bookmarkEnd w:id="222"/>
          </w:p>
        </w:tc>
        <w:tc>
          <w:tcPr>
            <w:tcW w:w="3402" w:type="dxa"/>
            <w:vAlign w:val="center"/>
          </w:tcPr>
          <w:p>
            <w:pPr>
              <w:pStyle w:val="107"/>
              <w:spacing w:line="240" w:lineRule="auto"/>
              <w:jc w:val="center"/>
              <w:rPr>
                <w:sz w:val="20"/>
                <w:szCs w:val="20"/>
              </w:rPr>
            </w:pPr>
            <w:bookmarkStart w:id="223" w:name="_Toc470358631"/>
            <w:r>
              <w:rPr>
                <w:sz w:val="20"/>
                <w:szCs w:val="20"/>
              </w:rPr>
              <w:t>无</w:t>
            </w:r>
            <w:bookmarkEnd w:id="22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24" w:name="_Toc470358632"/>
            <w:r>
              <w:rPr>
                <w:sz w:val="20"/>
                <w:szCs w:val="20"/>
              </w:rPr>
              <w:t>3</w:t>
            </w:r>
            <w:bookmarkEnd w:id="224"/>
          </w:p>
        </w:tc>
        <w:tc>
          <w:tcPr>
            <w:tcW w:w="1417" w:type="dxa"/>
            <w:vAlign w:val="center"/>
          </w:tcPr>
          <w:p>
            <w:pPr>
              <w:pStyle w:val="107"/>
              <w:spacing w:line="240" w:lineRule="auto"/>
              <w:jc w:val="center"/>
              <w:rPr>
                <w:sz w:val="20"/>
                <w:szCs w:val="20"/>
              </w:rPr>
            </w:pPr>
            <w:bookmarkStart w:id="225" w:name="_Toc470358633"/>
            <w:r>
              <w:rPr>
                <w:sz w:val="20"/>
                <w:szCs w:val="20"/>
              </w:rPr>
              <w:t>项目法人</w:t>
            </w:r>
            <w:bookmarkEnd w:id="225"/>
          </w:p>
        </w:tc>
        <w:tc>
          <w:tcPr>
            <w:tcW w:w="3544" w:type="dxa"/>
            <w:gridSpan w:val="2"/>
            <w:vAlign w:val="center"/>
          </w:tcPr>
          <w:p>
            <w:pPr>
              <w:pStyle w:val="107"/>
              <w:spacing w:line="240" w:lineRule="auto"/>
              <w:jc w:val="center"/>
              <w:rPr>
                <w:sz w:val="20"/>
                <w:szCs w:val="20"/>
              </w:rPr>
            </w:pPr>
            <w:bookmarkStart w:id="226" w:name="_Toc470358634"/>
            <w:r>
              <w:rPr>
                <w:sz w:val="20"/>
                <w:szCs w:val="20"/>
              </w:rPr>
              <w:t>叶永乐</w:t>
            </w:r>
            <w:bookmarkEnd w:id="226"/>
          </w:p>
        </w:tc>
        <w:tc>
          <w:tcPr>
            <w:tcW w:w="3402" w:type="dxa"/>
            <w:vAlign w:val="center"/>
          </w:tcPr>
          <w:p>
            <w:pPr>
              <w:pStyle w:val="107"/>
              <w:spacing w:line="240" w:lineRule="auto"/>
              <w:jc w:val="center"/>
              <w:rPr>
                <w:sz w:val="20"/>
                <w:szCs w:val="20"/>
              </w:rPr>
            </w:pPr>
            <w:bookmarkStart w:id="227" w:name="_Toc470358635"/>
            <w:r>
              <w:rPr>
                <w:sz w:val="20"/>
                <w:szCs w:val="20"/>
              </w:rPr>
              <w:t>无</w:t>
            </w:r>
            <w:bookmarkEnd w:id="22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28" w:name="_Toc470358636"/>
            <w:r>
              <w:rPr>
                <w:sz w:val="20"/>
                <w:szCs w:val="20"/>
              </w:rPr>
              <w:t>4</w:t>
            </w:r>
            <w:bookmarkEnd w:id="228"/>
          </w:p>
        </w:tc>
        <w:tc>
          <w:tcPr>
            <w:tcW w:w="1417" w:type="dxa"/>
            <w:vAlign w:val="center"/>
          </w:tcPr>
          <w:p>
            <w:pPr>
              <w:pStyle w:val="107"/>
              <w:spacing w:line="240" w:lineRule="auto"/>
              <w:jc w:val="center"/>
              <w:rPr>
                <w:sz w:val="20"/>
                <w:szCs w:val="20"/>
              </w:rPr>
            </w:pPr>
            <w:bookmarkStart w:id="229" w:name="_Toc470358637"/>
            <w:r>
              <w:rPr>
                <w:sz w:val="20"/>
                <w:szCs w:val="20"/>
              </w:rPr>
              <w:t>建设性质</w:t>
            </w:r>
            <w:bookmarkEnd w:id="229"/>
          </w:p>
        </w:tc>
        <w:tc>
          <w:tcPr>
            <w:tcW w:w="3544" w:type="dxa"/>
            <w:gridSpan w:val="2"/>
            <w:vAlign w:val="center"/>
          </w:tcPr>
          <w:p>
            <w:pPr>
              <w:pStyle w:val="107"/>
              <w:spacing w:line="240" w:lineRule="auto"/>
              <w:jc w:val="center"/>
              <w:rPr>
                <w:sz w:val="20"/>
                <w:szCs w:val="20"/>
              </w:rPr>
            </w:pPr>
            <w:bookmarkStart w:id="230" w:name="_Toc470358638"/>
            <w:r>
              <w:rPr>
                <w:sz w:val="20"/>
                <w:szCs w:val="20"/>
              </w:rPr>
              <w:t>扩建</w:t>
            </w:r>
            <w:bookmarkEnd w:id="230"/>
          </w:p>
        </w:tc>
        <w:tc>
          <w:tcPr>
            <w:tcW w:w="3402" w:type="dxa"/>
            <w:vAlign w:val="center"/>
          </w:tcPr>
          <w:p>
            <w:pPr>
              <w:pStyle w:val="107"/>
              <w:spacing w:line="240" w:lineRule="auto"/>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534" w:type="dxa"/>
            <w:vMerge w:val="restart"/>
            <w:vAlign w:val="center"/>
          </w:tcPr>
          <w:p>
            <w:pPr>
              <w:pStyle w:val="107"/>
              <w:spacing w:line="240" w:lineRule="auto"/>
              <w:jc w:val="center"/>
              <w:rPr>
                <w:sz w:val="20"/>
                <w:szCs w:val="20"/>
              </w:rPr>
            </w:pPr>
            <w:bookmarkStart w:id="231" w:name="_Toc470358639"/>
            <w:r>
              <w:rPr>
                <w:sz w:val="20"/>
                <w:szCs w:val="20"/>
              </w:rPr>
              <w:t>5</w:t>
            </w:r>
            <w:bookmarkEnd w:id="231"/>
          </w:p>
        </w:tc>
        <w:tc>
          <w:tcPr>
            <w:tcW w:w="1417" w:type="dxa"/>
            <w:vMerge w:val="restart"/>
            <w:vAlign w:val="center"/>
          </w:tcPr>
          <w:p>
            <w:pPr>
              <w:pStyle w:val="107"/>
              <w:spacing w:line="240" w:lineRule="auto"/>
              <w:jc w:val="center"/>
              <w:rPr>
                <w:sz w:val="20"/>
                <w:szCs w:val="20"/>
              </w:rPr>
            </w:pPr>
            <w:bookmarkStart w:id="232" w:name="_Toc470358640"/>
            <w:r>
              <w:rPr>
                <w:sz w:val="20"/>
                <w:szCs w:val="20"/>
              </w:rPr>
              <w:t>建设规模及服务年限</w:t>
            </w:r>
            <w:bookmarkEnd w:id="232"/>
          </w:p>
        </w:tc>
        <w:tc>
          <w:tcPr>
            <w:tcW w:w="696" w:type="dxa"/>
            <w:vAlign w:val="center"/>
          </w:tcPr>
          <w:p>
            <w:pPr>
              <w:pStyle w:val="107"/>
              <w:spacing w:line="240" w:lineRule="auto"/>
              <w:jc w:val="center"/>
              <w:rPr>
                <w:sz w:val="20"/>
                <w:szCs w:val="20"/>
              </w:rPr>
            </w:pPr>
            <w:bookmarkStart w:id="233" w:name="_Toc470358641"/>
            <w:r>
              <w:rPr>
                <w:sz w:val="20"/>
                <w:szCs w:val="20"/>
              </w:rPr>
              <w:t>采矿</w:t>
            </w:r>
            <w:bookmarkEnd w:id="233"/>
          </w:p>
        </w:tc>
        <w:tc>
          <w:tcPr>
            <w:tcW w:w="2848" w:type="dxa"/>
            <w:vAlign w:val="center"/>
          </w:tcPr>
          <w:p>
            <w:pPr>
              <w:pStyle w:val="107"/>
              <w:spacing w:line="240" w:lineRule="auto"/>
              <w:jc w:val="center"/>
              <w:rPr>
                <w:sz w:val="20"/>
                <w:szCs w:val="20"/>
              </w:rPr>
            </w:pPr>
            <w:bookmarkStart w:id="234" w:name="_Toc470358642"/>
            <w:r>
              <w:rPr>
                <w:sz w:val="20"/>
                <w:szCs w:val="20"/>
              </w:rPr>
              <w:t>全厂年产硫铁矿50.0×10</w:t>
            </w:r>
            <w:r>
              <w:rPr>
                <w:sz w:val="20"/>
                <w:szCs w:val="20"/>
                <w:vertAlign w:val="superscript"/>
              </w:rPr>
              <w:t>4</w:t>
            </w:r>
            <w:r>
              <w:rPr>
                <w:sz w:val="20"/>
                <w:szCs w:val="20"/>
              </w:rPr>
              <w:t>t（现有20×10</w:t>
            </w:r>
            <w:r>
              <w:rPr>
                <w:sz w:val="20"/>
                <w:szCs w:val="20"/>
                <w:vertAlign w:val="superscript"/>
              </w:rPr>
              <w:t>4</w:t>
            </w:r>
            <w:r>
              <w:rPr>
                <w:sz w:val="20"/>
                <w:szCs w:val="20"/>
              </w:rPr>
              <w:t>t/a，扩建30×10</w:t>
            </w:r>
            <w:r>
              <w:rPr>
                <w:sz w:val="20"/>
                <w:szCs w:val="20"/>
                <w:vertAlign w:val="superscript"/>
              </w:rPr>
              <w:t>4</w:t>
            </w:r>
            <w:r>
              <w:rPr>
                <w:sz w:val="20"/>
                <w:szCs w:val="20"/>
              </w:rPr>
              <w:t>t/a），</w:t>
            </w:r>
            <w:bookmarkEnd w:id="234"/>
          </w:p>
        </w:tc>
        <w:tc>
          <w:tcPr>
            <w:tcW w:w="3402" w:type="dxa"/>
            <w:vAlign w:val="center"/>
          </w:tcPr>
          <w:p>
            <w:pPr>
              <w:pStyle w:val="107"/>
              <w:spacing w:line="240" w:lineRule="auto"/>
              <w:jc w:val="center"/>
              <w:rPr>
                <w:sz w:val="20"/>
                <w:szCs w:val="20"/>
              </w:rPr>
            </w:pPr>
            <w:bookmarkStart w:id="235" w:name="_Toc470358643"/>
            <w:r>
              <w:rPr>
                <w:sz w:val="20"/>
                <w:szCs w:val="20"/>
              </w:rPr>
              <w:t>地址原因设计竖井位置微调，实际建成主竖井位于设计住主竖井位置西北侧100m，为原有工程东斜井改造而成；实际建成规模150×10</w:t>
            </w:r>
            <w:r>
              <w:rPr>
                <w:sz w:val="20"/>
                <w:szCs w:val="20"/>
                <w:vertAlign w:val="superscript"/>
              </w:rPr>
              <w:t>4</w:t>
            </w:r>
            <w:r>
              <w:rPr>
                <w:sz w:val="20"/>
                <w:szCs w:val="20"/>
              </w:rPr>
              <w:t>t/a。</w:t>
            </w:r>
            <w:bookmarkEnd w:id="23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534" w:type="dxa"/>
            <w:vMerge w:val="continue"/>
            <w:vAlign w:val="center"/>
          </w:tcPr>
          <w:p>
            <w:pPr>
              <w:pStyle w:val="107"/>
              <w:spacing w:line="240" w:lineRule="auto"/>
              <w:jc w:val="center"/>
              <w:rPr>
                <w:sz w:val="20"/>
                <w:szCs w:val="20"/>
              </w:rPr>
            </w:pPr>
          </w:p>
        </w:tc>
        <w:tc>
          <w:tcPr>
            <w:tcW w:w="1417" w:type="dxa"/>
            <w:vMerge w:val="continue"/>
            <w:vAlign w:val="center"/>
          </w:tcPr>
          <w:p>
            <w:pPr>
              <w:pStyle w:val="107"/>
              <w:spacing w:line="240" w:lineRule="auto"/>
              <w:jc w:val="center"/>
              <w:rPr>
                <w:sz w:val="20"/>
                <w:szCs w:val="20"/>
              </w:rPr>
            </w:pPr>
          </w:p>
        </w:tc>
        <w:tc>
          <w:tcPr>
            <w:tcW w:w="696" w:type="dxa"/>
            <w:vAlign w:val="center"/>
          </w:tcPr>
          <w:p>
            <w:pPr>
              <w:pStyle w:val="107"/>
              <w:spacing w:line="240" w:lineRule="auto"/>
              <w:jc w:val="center"/>
              <w:rPr>
                <w:sz w:val="20"/>
                <w:szCs w:val="20"/>
              </w:rPr>
            </w:pPr>
            <w:bookmarkStart w:id="236" w:name="_Toc470358644"/>
            <w:r>
              <w:rPr>
                <w:sz w:val="20"/>
                <w:szCs w:val="20"/>
              </w:rPr>
              <w:t>选厂</w:t>
            </w:r>
            <w:bookmarkEnd w:id="236"/>
          </w:p>
        </w:tc>
        <w:tc>
          <w:tcPr>
            <w:tcW w:w="2848" w:type="dxa"/>
            <w:vAlign w:val="center"/>
          </w:tcPr>
          <w:p>
            <w:pPr>
              <w:pStyle w:val="107"/>
              <w:spacing w:line="240" w:lineRule="auto"/>
              <w:jc w:val="center"/>
              <w:rPr>
                <w:sz w:val="20"/>
                <w:szCs w:val="20"/>
              </w:rPr>
            </w:pPr>
            <w:bookmarkStart w:id="237" w:name="_Toc470358645"/>
            <w:r>
              <w:rPr>
                <w:sz w:val="20"/>
                <w:szCs w:val="20"/>
              </w:rPr>
              <w:t>选矿生产规模由现有650t/d选矿厂，新增1000t/d选矿厂组成，达到年处理50.0×10</w:t>
            </w:r>
            <w:r>
              <w:rPr>
                <w:sz w:val="20"/>
                <w:szCs w:val="20"/>
                <w:vertAlign w:val="superscript"/>
              </w:rPr>
              <w:t>4</w:t>
            </w:r>
            <w:r>
              <w:rPr>
                <w:sz w:val="20"/>
                <w:szCs w:val="20"/>
              </w:rPr>
              <w:t>t硫铁矿的生产能力。</w:t>
            </w:r>
            <w:bookmarkEnd w:id="237"/>
          </w:p>
        </w:tc>
        <w:tc>
          <w:tcPr>
            <w:tcW w:w="3402" w:type="dxa"/>
            <w:vAlign w:val="center"/>
          </w:tcPr>
          <w:p>
            <w:pPr>
              <w:pStyle w:val="107"/>
              <w:spacing w:line="240" w:lineRule="auto"/>
              <w:jc w:val="center"/>
              <w:rPr>
                <w:sz w:val="20"/>
                <w:szCs w:val="20"/>
              </w:rPr>
            </w:pPr>
            <w:bookmarkStart w:id="238" w:name="_Toc470358646"/>
            <w:r>
              <w:rPr>
                <w:sz w:val="20"/>
                <w:szCs w:val="20"/>
              </w:rPr>
              <w:t>新建选厂实际建成规模500t/d</w:t>
            </w:r>
            <w:bookmarkEnd w:id="23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trPr>
        <w:tc>
          <w:tcPr>
            <w:tcW w:w="534" w:type="dxa"/>
            <w:vMerge w:val="continue"/>
            <w:vAlign w:val="center"/>
          </w:tcPr>
          <w:p>
            <w:pPr>
              <w:pStyle w:val="107"/>
              <w:spacing w:line="240" w:lineRule="auto"/>
              <w:jc w:val="center"/>
              <w:rPr>
                <w:sz w:val="20"/>
                <w:szCs w:val="20"/>
              </w:rPr>
            </w:pPr>
          </w:p>
        </w:tc>
        <w:tc>
          <w:tcPr>
            <w:tcW w:w="1417" w:type="dxa"/>
            <w:vMerge w:val="continue"/>
            <w:vAlign w:val="center"/>
          </w:tcPr>
          <w:p>
            <w:pPr>
              <w:pStyle w:val="107"/>
              <w:spacing w:line="240" w:lineRule="auto"/>
              <w:jc w:val="center"/>
              <w:rPr>
                <w:sz w:val="20"/>
                <w:szCs w:val="20"/>
              </w:rPr>
            </w:pPr>
          </w:p>
        </w:tc>
        <w:tc>
          <w:tcPr>
            <w:tcW w:w="696" w:type="dxa"/>
            <w:vAlign w:val="center"/>
          </w:tcPr>
          <w:p>
            <w:pPr>
              <w:pStyle w:val="107"/>
              <w:spacing w:line="240" w:lineRule="auto"/>
              <w:jc w:val="center"/>
              <w:rPr>
                <w:sz w:val="20"/>
                <w:szCs w:val="20"/>
              </w:rPr>
            </w:pPr>
            <w:bookmarkStart w:id="239" w:name="_Toc470358647"/>
            <w:r>
              <w:rPr>
                <w:sz w:val="20"/>
                <w:szCs w:val="20"/>
              </w:rPr>
              <w:t>尾矿库</w:t>
            </w:r>
            <w:bookmarkEnd w:id="239"/>
          </w:p>
        </w:tc>
        <w:tc>
          <w:tcPr>
            <w:tcW w:w="2848" w:type="dxa"/>
            <w:vAlign w:val="center"/>
          </w:tcPr>
          <w:p>
            <w:pPr>
              <w:pStyle w:val="107"/>
              <w:spacing w:line="240" w:lineRule="auto"/>
              <w:jc w:val="center"/>
              <w:rPr>
                <w:sz w:val="20"/>
                <w:szCs w:val="20"/>
              </w:rPr>
            </w:pPr>
            <w:bookmarkStart w:id="240" w:name="_Toc470358648"/>
            <w:r>
              <w:rPr>
                <w:sz w:val="20"/>
                <w:szCs w:val="20"/>
              </w:rPr>
              <w:t>尾矿依托现有银家沟湿排尾矿库；剩余服务年限13.2年</w:t>
            </w:r>
            <w:bookmarkEnd w:id="240"/>
          </w:p>
        </w:tc>
        <w:tc>
          <w:tcPr>
            <w:tcW w:w="3402" w:type="dxa"/>
            <w:vAlign w:val="center"/>
          </w:tcPr>
          <w:p>
            <w:pPr>
              <w:pStyle w:val="107"/>
              <w:spacing w:line="240" w:lineRule="auto"/>
              <w:jc w:val="center"/>
              <w:rPr>
                <w:sz w:val="20"/>
                <w:szCs w:val="20"/>
              </w:rPr>
            </w:pPr>
            <w:bookmarkStart w:id="241" w:name="_Toc470358649"/>
            <w:r>
              <w:rPr>
                <w:sz w:val="20"/>
                <w:szCs w:val="20"/>
              </w:rPr>
              <w:t>服务年限18.9年</w:t>
            </w:r>
            <w:bookmarkEnd w:id="24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42" w:name="_Toc470358650"/>
            <w:r>
              <w:rPr>
                <w:sz w:val="20"/>
                <w:szCs w:val="20"/>
              </w:rPr>
              <w:t>6</w:t>
            </w:r>
            <w:bookmarkEnd w:id="242"/>
          </w:p>
        </w:tc>
        <w:tc>
          <w:tcPr>
            <w:tcW w:w="1417" w:type="dxa"/>
            <w:vAlign w:val="center"/>
          </w:tcPr>
          <w:p>
            <w:pPr>
              <w:pStyle w:val="107"/>
              <w:spacing w:line="240" w:lineRule="auto"/>
              <w:jc w:val="center"/>
              <w:rPr>
                <w:sz w:val="20"/>
                <w:szCs w:val="20"/>
              </w:rPr>
            </w:pPr>
            <w:bookmarkStart w:id="243" w:name="_Toc470358651"/>
            <w:r>
              <w:rPr>
                <w:sz w:val="20"/>
                <w:szCs w:val="20"/>
              </w:rPr>
              <w:t>服务年限</w:t>
            </w:r>
            <w:bookmarkEnd w:id="243"/>
          </w:p>
        </w:tc>
        <w:tc>
          <w:tcPr>
            <w:tcW w:w="3544" w:type="dxa"/>
            <w:gridSpan w:val="2"/>
            <w:vAlign w:val="center"/>
          </w:tcPr>
          <w:p>
            <w:pPr>
              <w:pStyle w:val="107"/>
              <w:spacing w:line="240" w:lineRule="auto"/>
              <w:jc w:val="center"/>
              <w:rPr>
                <w:sz w:val="20"/>
                <w:szCs w:val="20"/>
              </w:rPr>
            </w:pPr>
            <w:bookmarkStart w:id="244" w:name="_Toc470358652"/>
            <w:r>
              <w:rPr>
                <w:sz w:val="20"/>
                <w:szCs w:val="20"/>
              </w:rPr>
              <w:t>矿山服务年限为80年。</w:t>
            </w:r>
            <w:bookmarkEnd w:id="244"/>
          </w:p>
        </w:tc>
        <w:tc>
          <w:tcPr>
            <w:tcW w:w="3402" w:type="dxa"/>
            <w:vAlign w:val="center"/>
          </w:tcPr>
          <w:p>
            <w:pPr>
              <w:pStyle w:val="107"/>
              <w:spacing w:line="240" w:lineRule="auto"/>
              <w:jc w:val="center"/>
              <w:rPr>
                <w:sz w:val="20"/>
                <w:szCs w:val="20"/>
              </w:rPr>
            </w:pPr>
            <w:bookmarkStart w:id="245" w:name="_Toc470358653"/>
            <w:r>
              <w:rPr>
                <w:sz w:val="20"/>
                <w:szCs w:val="20"/>
              </w:rPr>
              <w:t>矿山服务年限116年</w:t>
            </w:r>
            <w:bookmarkEnd w:id="24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46" w:name="_Toc470358654"/>
            <w:r>
              <w:rPr>
                <w:sz w:val="20"/>
                <w:szCs w:val="20"/>
              </w:rPr>
              <w:t>7</w:t>
            </w:r>
            <w:bookmarkEnd w:id="246"/>
          </w:p>
        </w:tc>
        <w:tc>
          <w:tcPr>
            <w:tcW w:w="1417" w:type="dxa"/>
            <w:vAlign w:val="center"/>
          </w:tcPr>
          <w:p>
            <w:pPr>
              <w:pStyle w:val="107"/>
              <w:spacing w:line="240" w:lineRule="auto"/>
              <w:jc w:val="center"/>
              <w:rPr>
                <w:sz w:val="20"/>
                <w:szCs w:val="20"/>
              </w:rPr>
            </w:pPr>
            <w:bookmarkStart w:id="247" w:name="_Toc470358655"/>
            <w:r>
              <w:rPr>
                <w:sz w:val="20"/>
                <w:szCs w:val="20"/>
              </w:rPr>
              <w:t>工作天数</w:t>
            </w:r>
            <w:bookmarkEnd w:id="247"/>
          </w:p>
        </w:tc>
        <w:tc>
          <w:tcPr>
            <w:tcW w:w="3544" w:type="dxa"/>
            <w:gridSpan w:val="2"/>
            <w:vAlign w:val="center"/>
          </w:tcPr>
          <w:p>
            <w:pPr>
              <w:pStyle w:val="107"/>
              <w:spacing w:line="240" w:lineRule="auto"/>
              <w:jc w:val="center"/>
              <w:rPr>
                <w:sz w:val="20"/>
                <w:szCs w:val="20"/>
              </w:rPr>
            </w:pPr>
            <w:bookmarkStart w:id="248" w:name="_Toc470358656"/>
            <w:r>
              <w:rPr>
                <w:sz w:val="20"/>
                <w:szCs w:val="20"/>
              </w:rPr>
              <w:t>300d/a</w:t>
            </w:r>
            <w:bookmarkEnd w:id="248"/>
          </w:p>
        </w:tc>
        <w:tc>
          <w:tcPr>
            <w:tcW w:w="3402" w:type="dxa"/>
            <w:vAlign w:val="center"/>
          </w:tcPr>
          <w:p>
            <w:pPr>
              <w:pStyle w:val="107"/>
              <w:spacing w:line="240" w:lineRule="auto"/>
              <w:jc w:val="center"/>
              <w:rPr>
                <w:sz w:val="20"/>
                <w:szCs w:val="20"/>
              </w:rPr>
            </w:pPr>
            <w:bookmarkStart w:id="249" w:name="_Toc470358657"/>
            <w:r>
              <w:rPr>
                <w:sz w:val="20"/>
                <w:szCs w:val="20"/>
              </w:rPr>
              <w:t>无</w:t>
            </w:r>
            <w:bookmarkEnd w:id="24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50" w:name="_Toc470358658"/>
            <w:r>
              <w:rPr>
                <w:sz w:val="20"/>
                <w:szCs w:val="20"/>
              </w:rPr>
              <w:t>8</w:t>
            </w:r>
            <w:bookmarkEnd w:id="250"/>
          </w:p>
        </w:tc>
        <w:tc>
          <w:tcPr>
            <w:tcW w:w="1417" w:type="dxa"/>
            <w:vAlign w:val="center"/>
          </w:tcPr>
          <w:p>
            <w:pPr>
              <w:pStyle w:val="107"/>
              <w:spacing w:line="240" w:lineRule="auto"/>
              <w:jc w:val="center"/>
              <w:rPr>
                <w:sz w:val="20"/>
                <w:szCs w:val="20"/>
              </w:rPr>
            </w:pPr>
            <w:bookmarkStart w:id="251" w:name="_Toc470358659"/>
            <w:r>
              <w:rPr>
                <w:sz w:val="20"/>
                <w:szCs w:val="20"/>
              </w:rPr>
              <w:t>面积</w:t>
            </w:r>
            <w:bookmarkEnd w:id="251"/>
          </w:p>
        </w:tc>
        <w:tc>
          <w:tcPr>
            <w:tcW w:w="3544" w:type="dxa"/>
            <w:gridSpan w:val="2"/>
            <w:vAlign w:val="center"/>
          </w:tcPr>
          <w:p>
            <w:pPr>
              <w:pStyle w:val="107"/>
              <w:spacing w:line="240" w:lineRule="auto"/>
              <w:jc w:val="center"/>
              <w:rPr>
                <w:sz w:val="20"/>
                <w:szCs w:val="20"/>
              </w:rPr>
            </w:pPr>
            <w:bookmarkStart w:id="252" w:name="_Toc470358660"/>
            <w:r>
              <w:rPr>
                <w:sz w:val="20"/>
                <w:szCs w:val="20"/>
              </w:rPr>
              <w:t>矿区面积69.0503km</w:t>
            </w:r>
            <w:r>
              <w:rPr>
                <w:sz w:val="20"/>
                <w:szCs w:val="20"/>
                <w:vertAlign w:val="superscript"/>
              </w:rPr>
              <w:t>2</w:t>
            </w:r>
            <w:bookmarkEnd w:id="252"/>
          </w:p>
        </w:tc>
        <w:tc>
          <w:tcPr>
            <w:tcW w:w="3402" w:type="dxa"/>
            <w:vAlign w:val="center"/>
          </w:tcPr>
          <w:p>
            <w:pPr>
              <w:pStyle w:val="107"/>
              <w:spacing w:line="240" w:lineRule="auto"/>
              <w:jc w:val="center"/>
              <w:rPr>
                <w:sz w:val="20"/>
                <w:szCs w:val="20"/>
              </w:rPr>
            </w:pPr>
            <w:bookmarkStart w:id="253" w:name="_Toc470358661"/>
            <w:r>
              <w:rPr>
                <w:sz w:val="20"/>
                <w:szCs w:val="20"/>
              </w:rPr>
              <w:t>无</w:t>
            </w:r>
            <w:bookmarkEnd w:id="25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54" w:name="_Toc470358662"/>
            <w:r>
              <w:rPr>
                <w:sz w:val="20"/>
                <w:szCs w:val="20"/>
              </w:rPr>
              <w:t>9</w:t>
            </w:r>
            <w:bookmarkEnd w:id="254"/>
          </w:p>
        </w:tc>
        <w:tc>
          <w:tcPr>
            <w:tcW w:w="1417" w:type="dxa"/>
            <w:vAlign w:val="center"/>
          </w:tcPr>
          <w:p>
            <w:pPr>
              <w:pStyle w:val="107"/>
              <w:spacing w:line="240" w:lineRule="auto"/>
              <w:jc w:val="center"/>
              <w:rPr>
                <w:sz w:val="20"/>
                <w:szCs w:val="20"/>
              </w:rPr>
            </w:pPr>
            <w:bookmarkStart w:id="255" w:name="_Toc470358663"/>
            <w:r>
              <w:rPr>
                <w:sz w:val="20"/>
                <w:szCs w:val="20"/>
              </w:rPr>
              <w:t>项目投资</w:t>
            </w:r>
            <w:bookmarkEnd w:id="255"/>
          </w:p>
        </w:tc>
        <w:tc>
          <w:tcPr>
            <w:tcW w:w="3544" w:type="dxa"/>
            <w:gridSpan w:val="2"/>
            <w:vAlign w:val="center"/>
          </w:tcPr>
          <w:p>
            <w:pPr>
              <w:pStyle w:val="107"/>
              <w:spacing w:line="240" w:lineRule="auto"/>
              <w:jc w:val="center"/>
              <w:rPr>
                <w:sz w:val="20"/>
                <w:szCs w:val="20"/>
              </w:rPr>
            </w:pPr>
            <w:bookmarkStart w:id="256" w:name="_Toc470358664"/>
            <w:r>
              <w:rPr>
                <w:sz w:val="20"/>
                <w:szCs w:val="20"/>
              </w:rPr>
              <w:t>总投资46446万元</w:t>
            </w:r>
            <w:bookmarkEnd w:id="256"/>
          </w:p>
        </w:tc>
        <w:tc>
          <w:tcPr>
            <w:tcW w:w="3402" w:type="dxa"/>
            <w:vAlign w:val="center"/>
          </w:tcPr>
          <w:p>
            <w:pPr>
              <w:pStyle w:val="107"/>
              <w:spacing w:line="240" w:lineRule="auto"/>
              <w:jc w:val="center"/>
              <w:rPr>
                <w:sz w:val="20"/>
                <w:szCs w:val="20"/>
              </w:rPr>
            </w:pPr>
            <w:bookmarkStart w:id="257" w:name="_Toc470358665"/>
            <w:r>
              <w:rPr>
                <w:sz w:val="20"/>
                <w:szCs w:val="20"/>
              </w:rPr>
              <w:t>实际投资23000万元</w:t>
            </w:r>
            <w:bookmarkEnd w:id="25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pStyle w:val="107"/>
              <w:spacing w:line="240" w:lineRule="auto"/>
              <w:jc w:val="center"/>
              <w:rPr>
                <w:sz w:val="20"/>
                <w:szCs w:val="20"/>
              </w:rPr>
            </w:pPr>
            <w:bookmarkStart w:id="258" w:name="_Toc470358666"/>
            <w:r>
              <w:rPr>
                <w:sz w:val="20"/>
                <w:szCs w:val="20"/>
              </w:rPr>
              <w:t>10</w:t>
            </w:r>
            <w:bookmarkEnd w:id="258"/>
          </w:p>
        </w:tc>
        <w:tc>
          <w:tcPr>
            <w:tcW w:w="1417" w:type="dxa"/>
            <w:vAlign w:val="center"/>
          </w:tcPr>
          <w:p>
            <w:pPr>
              <w:pStyle w:val="107"/>
              <w:spacing w:line="240" w:lineRule="auto"/>
              <w:jc w:val="center"/>
              <w:rPr>
                <w:sz w:val="20"/>
                <w:szCs w:val="20"/>
              </w:rPr>
            </w:pPr>
            <w:bookmarkStart w:id="259" w:name="_Toc470358667"/>
            <w:r>
              <w:rPr>
                <w:sz w:val="20"/>
                <w:szCs w:val="20"/>
              </w:rPr>
              <w:t>产品方案</w:t>
            </w:r>
            <w:bookmarkEnd w:id="259"/>
          </w:p>
        </w:tc>
        <w:tc>
          <w:tcPr>
            <w:tcW w:w="3544" w:type="dxa"/>
            <w:gridSpan w:val="2"/>
            <w:vAlign w:val="center"/>
          </w:tcPr>
          <w:p>
            <w:pPr>
              <w:pStyle w:val="107"/>
              <w:spacing w:line="240" w:lineRule="auto"/>
              <w:jc w:val="center"/>
              <w:rPr>
                <w:sz w:val="20"/>
                <w:szCs w:val="20"/>
              </w:rPr>
            </w:pPr>
            <w:bookmarkStart w:id="260" w:name="_Toc470358668"/>
            <w:r>
              <w:rPr>
                <w:sz w:val="20"/>
                <w:szCs w:val="20"/>
              </w:rPr>
              <w:t>硫精矿283200 t/a、铜精矿9950 t/a。</w:t>
            </w:r>
            <w:bookmarkEnd w:id="260"/>
          </w:p>
        </w:tc>
        <w:tc>
          <w:tcPr>
            <w:tcW w:w="3402" w:type="dxa"/>
            <w:vAlign w:val="center"/>
          </w:tcPr>
          <w:p>
            <w:pPr>
              <w:pStyle w:val="107"/>
              <w:spacing w:line="240" w:lineRule="auto"/>
              <w:jc w:val="center"/>
              <w:rPr>
                <w:sz w:val="20"/>
                <w:szCs w:val="20"/>
              </w:rPr>
            </w:pPr>
            <w:bookmarkStart w:id="261" w:name="_Toc470358669"/>
            <w:r>
              <w:rPr>
                <w:sz w:val="20"/>
                <w:szCs w:val="20"/>
              </w:rPr>
              <w:t>硫精矿141600 t/a；铜精矿4975 t/a。</w:t>
            </w:r>
            <w:bookmarkEnd w:id="261"/>
          </w:p>
        </w:tc>
      </w:tr>
    </w:tbl>
    <w:p>
      <w:pPr>
        <w:pStyle w:val="10"/>
        <w:spacing w:line="360" w:lineRule="auto"/>
        <w:rPr>
          <w:rFonts w:ascii="Times New Roman" w:hAnsi="Times New Roman"/>
        </w:rPr>
      </w:pPr>
      <w:r>
        <w:rPr>
          <w:rFonts w:ascii="Times New Roman" w:hAnsi="Times New Roman"/>
        </w:rPr>
        <w:t>2.2.1.1建设地点</w:t>
      </w:r>
    </w:p>
    <w:p>
      <w:pPr>
        <w:pStyle w:val="132"/>
        <w:ind w:firstLine="480"/>
        <w:rPr>
          <w:rFonts w:ascii="Times New Roman" w:hAnsi="Times New Roman" w:eastAsia="宋体" w:cs="Times New Roman"/>
          <w:szCs w:val="24"/>
        </w:rPr>
      </w:pPr>
      <w:r>
        <w:rPr>
          <w:rFonts w:ascii="Times New Roman" w:hAnsi="Times New Roman" w:eastAsia="宋体" w:cs="Times New Roman"/>
        </w:rPr>
        <w:t>银家沟矿区位于灵宝市朱阳镇银家沟，</w:t>
      </w:r>
      <w:r>
        <w:rPr>
          <w:rFonts w:ascii="Times New Roman" w:hAnsi="Times New Roman" w:eastAsia="宋体" w:cs="Times New Roman"/>
          <w:szCs w:val="24"/>
        </w:rPr>
        <w:t>选厂及尾矿库工程均位于矿区范围内。本次新建选矿厂及东斜井工业场地位于银家沟东南侧山坡上，在现有采矿工程工业场地东侧550m处。</w:t>
      </w:r>
    </w:p>
    <w:p>
      <w:pPr>
        <w:pStyle w:val="132"/>
        <w:ind w:firstLine="480"/>
        <w:rPr>
          <w:rFonts w:ascii="Times New Roman" w:hAnsi="Times New Roman" w:eastAsia="宋体" w:cs="Times New Roman"/>
          <w:szCs w:val="24"/>
        </w:rPr>
      </w:pPr>
    </w:p>
    <w:p>
      <w:pPr>
        <w:pStyle w:val="132"/>
        <w:ind w:firstLine="480"/>
        <w:rPr>
          <w:rFonts w:ascii="Times New Roman" w:hAnsi="Times New Roman" w:eastAsia="宋体" w:cs="Times New Roman"/>
          <w:szCs w:val="24"/>
        </w:rPr>
      </w:pPr>
    </w:p>
    <w:p>
      <w:pPr>
        <w:pStyle w:val="107"/>
        <w:jc w:val="both"/>
      </w:pPr>
      <w:r>
        <w:rPr>
          <w:rFonts w:eastAsia="黑体"/>
          <w:kern w:val="0"/>
          <w:sz w:val="22"/>
          <w:szCs w:val="22"/>
        </w:rPr>
        <w:t xml:space="preserve">    表2.2-2                     矿区拐点坐标一览表</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06"/>
        <w:gridCol w:w="1807"/>
        <w:gridCol w:w="677"/>
        <w:gridCol w:w="1792"/>
        <w:gridCol w:w="17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48" w:type="dxa"/>
          </w:tcPr>
          <w:p>
            <w:pPr>
              <w:rPr>
                <w:szCs w:val="21"/>
              </w:rPr>
            </w:pPr>
            <w:r>
              <w:rPr>
                <w:szCs w:val="21"/>
              </w:rPr>
              <w:t>点号</w:t>
            </w:r>
          </w:p>
        </w:tc>
        <w:tc>
          <w:tcPr>
            <w:tcW w:w="1806" w:type="dxa"/>
          </w:tcPr>
          <w:p>
            <w:pPr>
              <w:rPr>
                <w:szCs w:val="21"/>
              </w:rPr>
            </w:pPr>
            <w:r>
              <w:rPr>
                <w:szCs w:val="21"/>
              </w:rPr>
              <w:t>X 坐标</w:t>
            </w:r>
          </w:p>
        </w:tc>
        <w:tc>
          <w:tcPr>
            <w:tcW w:w="1807" w:type="dxa"/>
          </w:tcPr>
          <w:p>
            <w:pPr>
              <w:rPr>
                <w:szCs w:val="21"/>
              </w:rPr>
            </w:pPr>
            <w:r>
              <w:rPr>
                <w:szCs w:val="21"/>
              </w:rPr>
              <w:t>Y 坐标</w:t>
            </w:r>
          </w:p>
        </w:tc>
        <w:tc>
          <w:tcPr>
            <w:tcW w:w="677" w:type="dxa"/>
          </w:tcPr>
          <w:p>
            <w:pPr>
              <w:rPr>
                <w:szCs w:val="21"/>
              </w:rPr>
            </w:pPr>
            <w:r>
              <w:rPr>
                <w:szCs w:val="21"/>
              </w:rPr>
              <w:t>点号</w:t>
            </w:r>
          </w:p>
        </w:tc>
        <w:tc>
          <w:tcPr>
            <w:tcW w:w="1792" w:type="dxa"/>
          </w:tcPr>
          <w:p>
            <w:pPr>
              <w:rPr>
                <w:szCs w:val="21"/>
              </w:rPr>
            </w:pPr>
            <w:r>
              <w:rPr>
                <w:szCs w:val="21"/>
              </w:rPr>
              <w:t>X 坐标</w:t>
            </w:r>
          </w:p>
        </w:tc>
        <w:tc>
          <w:tcPr>
            <w:tcW w:w="1792" w:type="dxa"/>
          </w:tcPr>
          <w:p>
            <w:pPr>
              <w:rPr>
                <w:szCs w:val="21"/>
              </w:rPr>
            </w:pPr>
            <w:r>
              <w:rPr>
                <w:szCs w:val="21"/>
              </w:rPr>
              <w:t>Y 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48" w:type="dxa"/>
          </w:tcPr>
          <w:p>
            <w:pPr>
              <w:rPr>
                <w:szCs w:val="21"/>
              </w:rPr>
            </w:pPr>
            <w:r>
              <w:rPr>
                <w:szCs w:val="21"/>
              </w:rPr>
              <w:t>1</w:t>
            </w:r>
          </w:p>
        </w:tc>
        <w:tc>
          <w:tcPr>
            <w:tcW w:w="1806" w:type="dxa"/>
          </w:tcPr>
          <w:p>
            <w:pPr>
              <w:rPr>
                <w:szCs w:val="21"/>
              </w:rPr>
            </w:pPr>
            <w:r>
              <w:rPr>
                <w:szCs w:val="21"/>
              </w:rPr>
              <w:t>3790047.72</w:t>
            </w:r>
          </w:p>
        </w:tc>
        <w:tc>
          <w:tcPr>
            <w:tcW w:w="1807" w:type="dxa"/>
          </w:tcPr>
          <w:p>
            <w:pPr>
              <w:rPr>
                <w:szCs w:val="21"/>
              </w:rPr>
            </w:pPr>
            <w:r>
              <w:rPr>
                <w:szCs w:val="21"/>
              </w:rPr>
              <w:t>37478050.55</w:t>
            </w:r>
          </w:p>
        </w:tc>
        <w:tc>
          <w:tcPr>
            <w:tcW w:w="677" w:type="dxa"/>
          </w:tcPr>
          <w:p>
            <w:pPr>
              <w:rPr>
                <w:szCs w:val="21"/>
              </w:rPr>
            </w:pPr>
            <w:r>
              <w:rPr>
                <w:szCs w:val="21"/>
              </w:rPr>
              <w:t>5</w:t>
            </w:r>
          </w:p>
        </w:tc>
        <w:tc>
          <w:tcPr>
            <w:tcW w:w="1792" w:type="dxa"/>
          </w:tcPr>
          <w:p>
            <w:pPr>
              <w:rPr>
                <w:szCs w:val="21"/>
              </w:rPr>
            </w:pPr>
            <w:r>
              <w:rPr>
                <w:szCs w:val="21"/>
              </w:rPr>
              <w:t>3783097.02</w:t>
            </w:r>
          </w:p>
        </w:tc>
        <w:tc>
          <w:tcPr>
            <w:tcW w:w="1792" w:type="dxa"/>
          </w:tcPr>
          <w:p>
            <w:pPr>
              <w:rPr>
                <w:szCs w:val="21"/>
              </w:rPr>
            </w:pPr>
            <w:r>
              <w:rPr>
                <w:szCs w:val="21"/>
              </w:rPr>
              <w:t>37487638.28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48" w:type="dxa"/>
          </w:tcPr>
          <w:p>
            <w:pPr>
              <w:rPr>
                <w:szCs w:val="21"/>
              </w:rPr>
            </w:pPr>
            <w:r>
              <w:rPr>
                <w:szCs w:val="21"/>
              </w:rPr>
              <w:t>2</w:t>
            </w:r>
          </w:p>
        </w:tc>
        <w:tc>
          <w:tcPr>
            <w:tcW w:w="1806" w:type="dxa"/>
          </w:tcPr>
          <w:p>
            <w:pPr>
              <w:rPr>
                <w:szCs w:val="21"/>
              </w:rPr>
            </w:pPr>
            <w:r>
              <w:rPr>
                <w:szCs w:val="21"/>
              </w:rPr>
              <w:t>3790032.35</w:t>
            </w:r>
          </w:p>
        </w:tc>
        <w:tc>
          <w:tcPr>
            <w:tcW w:w="1807" w:type="dxa"/>
          </w:tcPr>
          <w:p>
            <w:pPr>
              <w:rPr>
                <w:szCs w:val="21"/>
              </w:rPr>
            </w:pPr>
            <w:r>
              <w:rPr>
                <w:szCs w:val="21"/>
              </w:rPr>
              <w:t>37486111.91</w:t>
            </w:r>
          </w:p>
        </w:tc>
        <w:tc>
          <w:tcPr>
            <w:tcW w:w="677" w:type="dxa"/>
          </w:tcPr>
          <w:p>
            <w:pPr>
              <w:rPr>
                <w:szCs w:val="21"/>
              </w:rPr>
            </w:pPr>
            <w:r>
              <w:rPr>
                <w:szCs w:val="21"/>
              </w:rPr>
              <w:t>6</w:t>
            </w:r>
          </w:p>
        </w:tc>
        <w:tc>
          <w:tcPr>
            <w:tcW w:w="1792" w:type="dxa"/>
          </w:tcPr>
          <w:p>
            <w:pPr>
              <w:rPr>
                <w:szCs w:val="21"/>
              </w:rPr>
            </w:pPr>
            <w:r>
              <w:rPr>
                <w:szCs w:val="21"/>
              </w:rPr>
              <w:t>3783099.13</w:t>
            </w:r>
          </w:p>
        </w:tc>
        <w:tc>
          <w:tcPr>
            <w:tcW w:w="1792" w:type="dxa"/>
          </w:tcPr>
          <w:p>
            <w:pPr>
              <w:rPr>
                <w:szCs w:val="21"/>
              </w:rPr>
            </w:pPr>
            <w:r>
              <w:rPr>
                <w:szCs w:val="21"/>
              </w:rPr>
              <w:t>37486101.66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48" w:type="dxa"/>
          </w:tcPr>
          <w:p>
            <w:pPr>
              <w:rPr>
                <w:szCs w:val="21"/>
              </w:rPr>
            </w:pPr>
            <w:r>
              <w:rPr>
                <w:szCs w:val="21"/>
              </w:rPr>
              <w:t>3</w:t>
            </w:r>
          </w:p>
        </w:tc>
        <w:tc>
          <w:tcPr>
            <w:tcW w:w="1806" w:type="dxa"/>
          </w:tcPr>
          <w:p>
            <w:pPr>
              <w:rPr>
                <w:szCs w:val="21"/>
              </w:rPr>
            </w:pPr>
            <w:r>
              <w:rPr>
                <w:szCs w:val="21"/>
              </w:rPr>
              <w:t>3786796.89</w:t>
            </w:r>
          </w:p>
        </w:tc>
        <w:tc>
          <w:tcPr>
            <w:tcW w:w="1807" w:type="dxa"/>
          </w:tcPr>
          <w:p>
            <w:pPr>
              <w:rPr>
                <w:szCs w:val="21"/>
              </w:rPr>
            </w:pPr>
            <w:r>
              <w:rPr>
                <w:szCs w:val="21"/>
              </w:rPr>
              <w:t>37486107.14</w:t>
            </w:r>
          </w:p>
        </w:tc>
        <w:tc>
          <w:tcPr>
            <w:tcW w:w="677" w:type="dxa"/>
          </w:tcPr>
          <w:p>
            <w:pPr>
              <w:rPr>
                <w:szCs w:val="21"/>
              </w:rPr>
            </w:pPr>
            <w:r>
              <w:rPr>
                <w:szCs w:val="21"/>
              </w:rPr>
              <w:t>7</w:t>
            </w:r>
          </w:p>
        </w:tc>
        <w:tc>
          <w:tcPr>
            <w:tcW w:w="1792" w:type="dxa"/>
          </w:tcPr>
          <w:p>
            <w:pPr>
              <w:rPr>
                <w:szCs w:val="21"/>
              </w:rPr>
            </w:pPr>
            <w:r>
              <w:rPr>
                <w:szCs w:val="21"/>
              </w:rPr>
              <w:t>3782174.72</w:t>
            </w:r>
          </w:p>
        </w:tc>
        <w:tc>
          <w:tcPr>
            <w:tcW w:w="1792" w:type="dxa"/>
          </w:tcPr>
          <w:p>
            <w:pPr>
              <w:rPr>
                <w:szCs w:val="21"/>
              </w:rPr>
            </w:pPr>
            <w:r>
              <w:rPr>
                <w:szCs w:val="21"/>
              </w:rPr>
              <w:t>37486100.25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48" w:type="dxa"/>
          </w:tcPr>
          <w:p>
            <w:pPr>
              <w:rPr>
                <w:szCs w:val="21"/>
              </w:rPr>
            </w:pPr>
            <w:r>
              <w:rPr>
                <w:szCs w:val="21"/>
              </w:rPr>
              <w:t>4</w:t>
            </w:r>
          </w:p>
        </w:tc>
        <w:tc>
          <w:tcPr>
            <w:tcW w:w="1806" w:type="dxa"/>
          </w:tcPr>
          <w:p>
            <w:pPr>
              <w:rPr>
                <w:szCs w:val="21"/>
              </w:rPr>
            </w:pPr>
            <w:r>
              <w:rPr>
                <w:szCs w:val="21"/>
              </w:rPr>
              <w:t>3786794.68</w:t>
            </w:r>
          </w:p>
        </w:tc>
        <w:tc>
          <w:tcPr>
            <w:tcW w:w="1807" w:type="dxa"/>
          </w:tcPr>
          <w:p>
            <w:pPr>
              <w:rPr>
                <w:szCs w:val="21"/>
              </w:rPr>
            </w:pPr>
            <w:r>
              <w:rPr>
                <w:szCs w:val="21"/>
              </w:rPr>
              <w:t>37487643.09</w:t>
            </w:r>
          </w:p>
        </w:tc>
        <w:tc>
          <w:tcPr>
            <w:tcW w:w="677" w:type="dxa"/>
          </w:tcPr>
          <w:p>
            <w:pPr>
              <w:rPr>
                <w:szCs w:val="21"/>
              </w:rPr>
            </w:pPr>
            <w:r>
              <w:rPr>
                <w:szCs w:val="21"/>
              </w:rPr>
              <w:t>9</w:t>
            </w:r>
          </w:p>
        </w:tc>
        <w:tc>
          <w:tcPr>
            <w:tcW w:w="1792" w:type="dxa"/>
          </w:tcPr>
          <w:p>
            <w:pPr>
              <w:rPr>
                <w:szCs w:val="21"/>
              </w:rPr>
            </w:pPr>
            <w:r>
              <w:rPr>
                <w:szCs w:val="21"/>
              </w:rPr>
              <w:t>3782190.19</w:t>
            </w:r>
          </w:p>
        </w:tc>
        <w:tc>
          <w:tcPr>
            <w:tcW w:w="1792" w:type="dxa"/>
          </w:tcPr>
          <w:p>
            <w:pPr>
              <w:rPr>
                <w:szCs w:val="21"/>
              </w:rPr>
            </w:pPr>
            <w:r>
              <w:rPr>
                <w:szCs w:val="21"/>
              </w:rPr>
              <w:t>37488032.21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8522" w:type="dxa"/>
            <w:gridSpan w:val="6"/>
          </w:tcPr>
          <w:p>
            <w:pPr>
              <w:rPr>
                <w:szCs w:val="21"/>
              </w:rPr>
            </w:pPr>
            <w:r>
              <w:rPr>
                <w:szCs w:val="21"/>
              </w:rPr>
              <w:t>开采标高：从1866m至400m</w:t>
            </w:r>
          </w:p>
        </w:tc>
      </w:tr>
    </w:tbl>
    <w:p>
      <w:pPr>
        <w:pStyle w:val="10"/>
        <w:spacing w:line="360" w:lineRule="auto"/>
        <w:rPr>
          <w:rFonts w:ascii="Times New Roman" w:hAnsi="Times New Roman"/>
        </w:rPr>
      </w:pPr>
      <w:r>
        <w:rPr>
          <w:rFonts w:ascii="Times New Roman" w:hAnsi="Times New Roman"/>
        </w:rPr>
        <w:t>2.2.1.2项目占地</w:t>
      </w:r>
    </w:p>
    <w:p>
      <w:pPr>
        <w:spacing w:line="360" w:lineRule="auto"/>
        <w:ind w:firstLine="480" w:firstLineChars="200"/>
        <w:rPr>
          <w:sz w:val="24"/>
        </w:rPr>
      </w:pPr>
      <w:r>
        <w:rPr>
          <w:sz w:val="24"/>
        </w:rPr>
        <w:t xml:space="preserve">本项目工程占地分为矿区占地、选厂占地、尾矿库占地，占地情况见表2.2-3。      </w:t>
      </w:r>
    </w:p>
    <w:p>
      <w:pPr>
        <w:ind w:firstLine="440" w:firstLineChars="200"/>
      </w:pPr>
      <w:r>
        <w:rPr>
          <w:rFonts w:eastAsia="黑体"/>
          <w:kern w:val="0"/>
          <w:sz w:val="22"/>
          <w:szCs w:val="22"/>
        </w:rPr>
        <w:t>表2.2-3                      项目占地一览表</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69"/>
        <w:gridCol w:w="874"/>
        <w:gridCol w:w="1343"/>
        <w:gridCol w:w="1275"/>
        <w:gridCol w:w="18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trPr>
        <w:tc>
          <w:tcPr>
            <w:tcW w:w="3169" w:type="dxa"/>
            <w:vAlign w:val="center"/>
          </w:tcPr>
          <w:p>
            <w:pPr>
              <w:widowControl/>
              <w:jc w:val="center"/>
              <w:rPr>
                <w:szCs w:val="21"/>
              </w:rPr>
            </w:pPr>
            <w:r>
              <w:rPr>
                <w:szCs w:val="21"/>
              </w:rPr>
              <w:t>项目分区名称</w:t>
            </w:r>
          </w:p>
        </w:tc>
        <w:tc>
          <w:tcPr>
            <w:tcW w:w="874" w:type="dxa"/>
            <w:vAlign w:val="center"/>
          </w:tcPr>
          <w:p>
            <w:pPr>
              <w:widowControl/>
              <w:jc w:val="center"/>
              <w:rPr>
                <w:szCs w:val="21"/>
              </w:rPr>
            </w:pPr>
            <w:r>
              <w:rPr>
                <w:szCs w:val="21"/>
              </w:rPr>
              <w:t>单位</w:t>
            </w:r>
          </w:p>
        </w:tc>
        <w:tc>
          <w:tcPr>
            <w:tcW w:w="1343" w:type="dxa"/>
            <w:vAlign w:val="center"/>
          </w:tcPr>
          <w:p>
            <w:pPr>
              <w:widowControl/>
              <w:jc w:val="center"/>
              <w:rPr>
                <w:szCs w:val="21"/>
              </w:rPr>
            </w:pPr>
            <w:r>
              <w:rPr>
                <w:szCs w:val="21"/>
              </w:rPr>
              <w:t>面积（hm</w:t>
            </w:r>
            <w:r>
              <w:rPr>
                <w:szCs w:val="21"/>
                <w:vertAlign w:val="superscript"/>
              </w:rPr>
              <w:t>2</w:t>
            </w:r>
            <w:r>
              <w:rPr>
                <w:szCs w:val="21"/>
              </w:rPr>
              <w:t>）</w:t>
            </w:r>
          </w:p>
        </w:tc>
        <w:tc>
          <w:tcPr>
            <w:tcW w:w="1275" w:type="dxa"/>
            <w:vAlign w:val="center"/>
          </w:tcPr>
          <w:p>
            <w:pPr>
              <w:widowControl/>
              <w:jc w:val="center"/>
              <w:rPr>
                <w:szCs w:val="21"/>
              </w:rPr>
            </w:pPr>
            <w:r>
              <w:rPr>
                <w:szCs w:val="21"/>
              </w:rPr>
              <w:t>占地类型</w:t>
            </w:r>
          </w:p>
        </w:tc>
        <w:tc>
          <w:tcPr>
            <w:tcW w:w="1861" w:type="dxa"/>
            <w:vAlign w:val="center"/>
          </w:tcPr>
          <w:p>
            <w:pPr>
              <w:pStyle w:val="147"/>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水土流失形式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3169" w:type="dxa"/>
            <w:vAlign w:val="center"/>
          </w:tcPr>
          <w:p>
            <w:pPr>
              <w:widowControl/>
              <w:jc w:val="center"/>
              <w:rPr>
                <w:szCs w:val="21"/>
              </w:rPr>
            </w:pPr>
            <w:r>
              <w:rPr>
                <w:kern w:val="0"/>
                <w:szCs w:val="21"/>
              </w:rPr>
              <w:t>建设设施区（采矿工业广场区、选矿厂区、办公生活区）</w:t>
            </w:r>
          </w:p>
        </w:tc>
        <w:tc>
          <w:tcPr>
            <w:tcW w:w="874" w:type="dxa"/>
            <w:vAlign w:val="center"/>
          </w:tcPr>
          <w:p>
            <w:pPr>
              <w:jc w:val="center"/>
              <w:rPr>
                <w:szCs w:val="21"/>
              </w:rPr>
            </w:pPr>
            <w:r>
              <w:rPr>
                <w:szCs w:val="21"/>
              </w:rPr>
              <w:t>hm</w:t>
            </w:r>
            <w:r>
              <w:rPr>
                <w:szCs w:val="21"/>
                <w:vertAlign w:val="superscript"/>
              </w:rPr>
              <w:t>2</w:t>
            </w:r>
          </w:p>
        </w:tc>
        <w:tc>
          <w:tcPr>
            <w:tcW w:w="1343" w:type="dxa"/>
            <w:vAlign w:val="center"/>
          </w:tcPr>
          <w:p>
            <w:pPr>
              <w:widowControl/>
              <w:jc w:val="center"/>
              <w:rPr>
                <w:szCs w:val="21"/>
              </w:rPr>
            </w:pPr>
            <w:r>
              <w:rPr>
                <w:kern w:val="0"/>
                <w:szCs w:val="21"/>
              </w:rPr>
              <w:t>4.48</w:t>
            </w:r>
          </w:p>
        </w:tc>
        <w:tc>
          <w:tcPr>
            <w:tcW w:w="1275" w:type="dxa"/>
            <w:vAlign w:val="center"/>
          </w:tcPr>
          <w:p>
            <w:pPr>
              <w:jc w:val="center"/>
              <w:rPr>
                <w:szCs w:val="21"/>
              </w:rPr>
            </w:pPr>
            <w:r>
              <w:rPr>
                <w:szCs w:val="21"/>
              </w:rPr>
              <w:t>林草地</w:t>
            </w:r>
          </w:p>
        </w:tc>
        <w:tc>
          <w:tcPr>
            <w:tcW w:w="1861" w:type="dxa"/>
            <w:vAlign w:val="center"/>
          </w:tcPr>
          <w:p>
            <w:pPr>
              <w:pStyle w:val="147"/>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水力侵蚀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3169" w:type="dxa"/>
            <w:vAlign w:val="center"/>
          </w:tcPr>
          <w:p>
            <w:pPr>
              <w:widowControl/>
              <w:jc w:val="center"/>
              <w:rPr>
                <w:kern w:val="0"/>
                <w:szCs w:val="21"/>
              </w:rPr>
            </w:pPr>
            <w:r>
              <w:rPr>
                <w:kern w:val="0"/>
                <w:szCs w:val="21"/>
              </w:rPr>
              <w:t>废石场堆场区</w:t>
            </w:r>
          </w:p>
        </w:tc>
        <w:tc>
          <w:tcPr>
            <w:tcW w:w="874" w:type="dxa"/>
            <w:vAlign w:val="center"/>
          </w:tcPr>
          <w:p>
            <w:pPr>
              <w:jc w:val="center"/>
              <w:rPr>
                <w:szCs w:val="21"/>
              </w:rPr>
            </w:pPr>
            <w:r>
              <w:rPr>
                <w:szCs w:val="21"/>
              </w:rPr>
              <w:t>hm</w:t>
            </w:r>
            <w:r>
              <w:rPr>
                <w:szCs w:val="21"/>
                <w:vertAlign w:val="superscript"/>
              </w:rPr>
              <w:t>2</w:t>
            </w:r>
          </w:p>
        </w:tc>
        <w:tc>
          <w:tcPr>
            <w:tcW w:w="1343" w:type="dxa"/>
            <w:vAlign w:val="center"/>
          </w:tcPr>
          <w:p>
            <w:pPr>
              <w:widowControl/>
              <w:jc w:val="center"/>
              <w:rPr>
                <w:kern w:val="0"/>
                <w:szCs w:val="21"/>
              </w:rPr>
            </w:pPr>
            <w:r>
              <w:rPr>
                <w:kern w:val="0"/>
                <w:szCs w:val="21"/>
              </w:rPr>
              <w:t>12.43</w:t>
            </w:r>
          </w:p>
        </w:tc>
        <w:tc>
          <w:tcPr>
            <w:tcW w:w="1275" w:type="dxa"/>
            <w:vAlign w:val="center"/>
          </w:tcPr>
          <w:p>
            <w:pPr>
              <w:jc w:val="center"/>
              <w:rPr>
                <w:szCs w:val="21"/>
              </w:rPr>
            </w:pPr>
            <w:r>
              <w:rPr>
                <w:szCs w:val="21"/>
              </w:rPr>
              <w:t>林草地</w:t>
            </w:r>
          </w:p>
        </w:tc>
        <w:tc>
          <w:tcPr>
            <w:tcW w:w="1861" w:type="dxa"/>
            <w:vAlign w:val="center"/>
          </w:tcPr>
          <w:p>
            <w:pPr>
              <w:pStyle w:val="147"/>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水力侵蚀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3169" w:type="dxa"/>
            <w:vAlign w:val="center"/>
          </w:tcPr>
          <w:p>
            <w:pPr>
              <w:widowControl/>
              <w:jc w:val="center"/>
              <w:rPr>
                <w:szCs w:val="21"/>
              </w:rPr>
            </w:pPr>
            <w:r>
              <w:rPr>
                <w:kern w:val="0"/>
                <w:szCs w:val="21"/>
              </w:rPr>
              <w:t>尾矿库</w:t>
            </w:r>
          </w:p>
        </w:tc>
        <w:tc>
          <w:tcPr>
            <w:tcW w:w="874" w:type="dxa"/>
            <w:vAlign w:val="center"/>
          </w:tcPr>
          <w:p>
            <w:pPr>
              <w:jc w:val="center"/>
              <w:rPr>
                <w:szCs w:val="21"/>
              </w:rPr>
            </w:pPr>
            <w:r>
              <w:rPr>
                <w:szCs w:val="21"/>
              </w:rPr>
              <w:t>hm</w:t>
            </w:r>
            <w:r>
              <w:rPr>
                <w:szCs w:val="21"/>
                <w:vertAlign w:val="superscript"/>
              </w:rPr>
              <w:t>2</w:t>
            </w:r>
          </w:p>
        </w:tc>
        <w:tc>
          <w:tcPr>
            <w:tcW w:w="1343" w:type="dxa"/>
            <w:vAlign w:val="center"/>
          </w:tcPr>
          <w:p>
            <w:pPr>
              <w:widowControl/>
              <w:jc w:val="center"/>
              <w:rPr>
                <w:szCs w:val="21"/>
              </w:rPr>
            </w:pPr>
            <w:r>
              <w:rPr>
                <w:kern w:val="0"/>
                <w:szCs w:val="21"/>
              </w:rPr>
              <w:t>9.8</w:t>
            </w:r>
          </w:p>
        </w:tc>
        <w:tc>
          <w:tcPr>
            <w:tcW w:w="1275" w:type="dxa"/>
            <w:vAlign w:val="center"/>
          </w:tcPr>
          <w:p>
            <w:pPr>
              <w:jc w:val="center"/>
              <w:rPr>
                <w:szCs w:val="21"/>
              </w:rPr>
            </w:pPr>
            <w:r>
              <w:rPr>
                <w:szCs w:val="21"/>
              </w:rPr>
              <w:t>林草地</w:t>
            </w:r>
          </w:p>
        </w:tc>
        <w:tc>
          <w:tcPr>
            <w:tcW w:w="1861" w:type="dxa"/>
            <w:vAlign w:val="center"/>
          </w:tcPr>
          <w:p>
            <w:pPr>
              <w:pStyle w:val="147"/>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水力侵蚀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3169" w:type="dxa"/>
            <w:vAlign w:val="center"/>
          </w:tcPr>
          <w:p>
            <w:pPr>
              <w:widowControl/>
              <w:jc w:val="center"/>
              <w:rPr>
                <w:szCs w:val="21"/>
              </w:rPr>
            </w:pPr>
            <w:r>
              <w:rPr>
                <w:kern w:val="0"/>
                <w:szCs w:val="21"/>
              </w:rPr>
              <w:t>运输道路</w:t>
            </w:r>
          </w:p>
        </w:tc>
        <w:tc>
          <w:tcPr>
            <w:tcW w:w="874" w:type="dxa"/>
            <w:vAlign w:val="center"/>
          </w:tcPr>
          <w:p>
            <w:pPr>
              <w:jc w:val="center"/>
              <w:rPr>
                <w:szCs w:val="21"/>
              </w:rPr>
            </w:pPr>
            <w:r>
              <w:rPr>
                <w:szCs w:val="21"/>
              </w:rPr>
              <w:t>hm</w:t>
            </w:r>
            <w:r>
              <w:rPr>
                <w:szCs w:val="21"/>
                <w:vertAlign w:val="superscript"/>
              </w:rPr>
              <w:t>2</w:t>
            </w:r>
          </w:p>
        </w:tc>
        <w:tc>
          <w:tcPr>
            <w:tcW w:w="1343" w:type="dxa"/>
            <w:vAlign w:val="center"/>
          </w:tcPr>
          <w:p>
            <w:pPr>
              <w:widowControl/>
              <w:jc w:val="center"/>
              <w:rPr>
                <w:szCs w:val="21"/>
              </w:rPr>
            </w:pPr>
            <w:r>
              <w:rPr>
                <w:kern w:val="0"/>
                <w:szCs w:val="21"/>
              </w:rPr>
              <w:t>1.9</w:t>
            </w:r>
          </w:p>
        </w:tc>
        <w:tc>
          <w:tcPr>
            <w:tcW w:w="1275" w:type="dxa"/>
            <w:vAlign w:val="center"/>
          </w:tcPr>
          <w:p>
            <w:pPr>
              <w:jc w:val="center"/>
              <w:rPr>
                <w:szCs w:val="21"/>
              </w:rPr>
            </w:pPr>
            <w:r>
              <w:rPr>
                <w:szCs w:val="21"/>
              </w:rPr>
              <w:t>林草地</w:t>
            </w:r>
          </w:p>
        </w:tc>
        <w:tc>
          <w:tcPr>
            <w:tcW w:w="1861" w:type="dxa"/>
            <w:vAlign w:val="center"/>
          </w:tcPr>
          <w:p>
            <w:pPr>
              <w:pStyle w:val="147"/>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水力侵蚀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3169" w:type="dxa"/>
            <w:vAlign w:val="center"/>
          </w:tcPr>
          <w:p>
            <w:pPr>
              <w:jc w:val="center"/>
              <w:rPr>
                <w:szCs w:val="21"/>
              </w:rPr>
            </w:pPr>
            <w:r>
              <w:rPr>
                <w:szCs w:val="21"/>
              </w:rPr>
              <w:t>合计</w:t>
            </w:r>
          </w:p>
        </w:tc>
        <w:tc>
          <w:tcPr>
            <w:tcW w:w="874" w:type="dxa"/>
            <w:vAlign w:val="center"/>
          </w:tcPr>
          <w:p>
            <w:pPr>
              <w:jc w:val="center"/>
              <w:rPr>
                <w:szCs w:val="21"/>
              </w:rPr>
            </w:pPr>
            <w:r>
              <w:rPr>
                <w:szCs w:val="21"/>
              </w:rPr>
              <w:t>hm</w:t>
            </w:r>
            <w:r>
              <w:rPr>
                <w:szCs w:val="21"/>
                <w:vertAlign w:val="superscript"/>
              </w:rPr>
              <w:t>2</w:t>
            </w:r>
          </w:p>
        </w:tc>
        <w:tc>
          <w:tcPr>
            <w:tcW w:w="1343" w:type="dxa"/>
            <w:vAlign w:val="center"/>
          </w:tcPr>
          <w:p>
            <w:pPr>
              <w:widowControl/>
              <w:jc w:val="center"/>
              <w:rPr>
                <w:szCs w:val="21"/>
              </w:rPr>
            </w:pPr>
            <w:r>
              <w:rPr>
                <w:kern w:val="0"/>
                <w:szCs w:val="21"/>
              </w:rPr>
              <w:t>28.61</w:t>
            </w:r>
          </w:p>
        </w:tc>
        <w:tc>
          <w:tcPr>
            <w:tcW w:w="1275" w:type="dxa"/>
            <w:vAlign w:val="center"/>
          </w:tcPr>
          <w:p>
            <w:pPr>
              <w:jc w:val="center"/>
              <w:rPr>
                <w:szCs w:val="21"/>
              </w:rPr>
            </w:pPr>
            <w:r>
              <w:rPr>
                <w:szCs w:val="21"/>
              </w:rPr>
              <w:t>　</w:t>
            </w:r>
          </w:p>
        </w:tc>
        <w:tc>
          <w:tcPr>
            <w:tcW w:w="1861" w:type="dxa"/>
            <w:vAlign w:val="center"/>
          </w:tcPr>
          <w:p>
            <w:pPr>
              <w:jc w:val="center"/>
              <w:rPr>
                <w:szCs w:val="21"/>
              </w:rPr>
            </w:pPr>
            <w:r>
              <w:rPr>
                <w:szCs w:val="21"/>
              </w:rPr>
              <w:t>　</w:t>
            </w:r>
          </w:p>
        </w:tc>
      </w:tr>
    </w:tbl>
    <w:p>
      <w:pPr>
        <w:pStyle w:val="74"/>
      </w:pPr>
      <w:bookmarkStart w:id="262" w:name="_Toc470358670"/>
      <w:r>
        <w:t>2.2.1.3产品方案</w:t>
      </w:r>
      <w:bookmarkEnd w:id="262"/>
    </w:p>
    <w:p>
      <w:pPr>
        <w:spacing w:line="360" w:lineRule="auto"/>
        <w:ind w:firstLine="352" w:firstLineChars="147"/>
        <w:rPr>
          <w:sz w:val="24"/>
        </w:rPr>
      </w:pPr>
      <w:r>
        <w:rPr>
          <w:sz w:val="24"/>
        </w:rPr>
        <w:t>（1）矿山</w:t>
      </w:r>
    </w:p>
    <w:p>
      <w:pPr>
        <w:spacing w:line="360" w:lineRule="auto"/>
        <w:ind w:firstLine="352" w:firstLineChars="147"/>
        <w:rPr>
          <w:sz w:val="24"/>
        </w:rPr>
      </w:pPr>
      <w:r>
        <w:rPr>
          <w:sz w:val="24"/>
        </w:rPr>
        <w:t>新建采矿规模为年开采硫铁矿15万t，主要有价元素为硫，铜，矿石全部供应新建500t/d选厂使用。</w:t>
      </w:r>
    </w:p>
    <w:p>
      <w:pPr>
        <w:spacing w:line="360" w:lineRule="auto"/>
        <w:ind w:firstLine="352" w:firstLineChars="147"/>
        <w:rPr>
          <w:sz w:val="24"/>
        </w:rPr>
      </w:pPr>
      <w:r>
        <w:rPr>
          <w:sz w:val="24"/>
        </w:rPr>
        <w:t>（2）500t/d选厂</w:t>
      </w:r>
    </w:p>
    <w:p>
      <w:pPr>
        <w:spacing w:line="360" w:lineRule="auto"/>
        <w:ind w:firstLine="352" w:firstLineChars="147"/>
        <w:rPr>
          <w:sz w:val="24"/>
        </w:rPr>
      </w:pPr>
      <w:r>
        <w:rPr>
          <w:sz w:val="24"/>
        </w:rPr>
        <w:t>根据矿石成分以及市场需要，本项目通过破碎、磨矿、分级、浮选工艺，生产硫精粉和铜精粉，产品方案见表2.2-4。</w:t>
      </w:r>
    </w:p>
    <w:p>
      <w:pPr>
        <w:snapToGrid w:val="0"/>
        <w:ind w:firstLine="323" w:firstLineChars="147"/>
        <w:rPr>
          <w:sz w:val="24"/>
        </w:rPr>
      </w:pPr>
      <w:r>
        <w:rPr>
          <w:rFonts w:eastAsia="黑体"/>
          <w:sz w:val="22"/>
        </w:rPr>
        <w:t>表2.2-4                 项目产品一览表</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676"/>
        <w:gridCol w:w="1777"/>
        <w:gridCol w:w="1908"/>
        <w:gridCol w:w="4167"/>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676" w:type="dxa"/>
            <w:vAlign w:val="center"/>
          </w:tcPr>
          <w:p>
            <w:pPr>
              <w:adjustRightInd w:val="0"/>
              <w:snapToGrid w:val="0"/>
              <w:jc w:val="center"/>
              <w:rPr>
                <w:sz w:val="20"/>
                <w:szCs w:val="20"/>
              </w:rPr>
            </w:pPr>
            <w:r>
              <w:rPr>
                <w:sz w:val="20"/>
                <w:szCs w:val="20"/>
              </w:rPr>
              <w:t>序号</w:t>
            </w:r>
          </w:p>
        </w:tc>
        <w:tc>
          <w:tcPr>
            <w:tcW w:w="1777" w:type="dxa"/>
            <w:vAlign w:val="center"/>
          </w:tcPr>
          <w:p>
            <w:pPr>
              <w:adjustRightInd w:val="0"/>
              <w:snapToGrid w:val="0"/>
              <w:jc w:val="center"/>
              <w:rPr>
                <w:sz w:val="20"/>
                <w:szCs w:val="20"/>
              </w:rPr>
            </w:pPr>
            <w:r>
              <w:rPr>
                <w:sz w:val="20"/>
                <w:szCs w:val="20"/>
              </w:rPr>
              <w:t>产品</w:t>
            </w:r>
          </w:p>
        </w:tc>
        <w:tc>
          <w:tcPr>
            <w:tcW w:w="1908" w:type="dxa"/>
            <w:vAlign w:val="center"/>
          </w:tcPr>
          <w:p>
            <w:pPr>
              <w:adjustRightInd w:val="0"/>
              <w:snapToGrid w:val="0"/>
              <w:jc w:val="center"/>
              <w:rPr>
                <w:sz w:val="20"/>
                <w:szCs w:val="20"/>
              </w:rPr>
            </w:pPr>
            <w:r>
              <w:rPr>
                <w:sz w:val="20"/>
                <w:szCs w:val="20"/>
              </w:rPr>
              <w:t>产量（t/a）</w:t>
            </w:r>
          </w:p>
        </w:tc>
        <w:tc>
          <w:tcPr>
            <w:tcW w:w="4167" w:type="dxa"/>
            <w:vAlign w:val="center"/>
          </w:tcPr>
          <w:p>
            <w:pPr>
              <w:adjustRightInd w:val="0"/>
              <w:snapToGrid w:val="0"/>
              <w:jc w:val="center"/>
              <w:rPr>
                <w:sz w:val="20"/>
                <w:szCs w:val="20"/>
              </w:rPr>
            </w:pPr>
            <w:r>
              <w:rPr>
                <w:sz w:val="20"/>
                <w:szCs w:val="20"/>
              </w:rPr>
              <w:t>备注</w:t>
            </w:r>
          </w:p>
        </w:tc>
      </w:tr>
      <w:tr>
        <w:tblPrEx>
          <w:tblLayout w:type="fixed"/>
          <w:tblCellMar>
            <w:top w:w="0" w:type="dxa"/>
            <w:left w:w="108" w:type="dxa"/>
            <w:bottom w:w="0" w:type="dxa"/>
            <w:right w:w="108" w:type="dxa"/>
          </w:tblCellMar>
        </w:tblPrEx>
        <w:trPr>
          <w:trHeight w:val="397" w:hRule="atLeast"/>
        </w:trPr>
        <w:tc>
          <w:tcPr>
            <w:tcW w:w="676" w:type="dxa"/>
            <w:vAlign w:val="center"/>
          </w:tcPr>
          <w:p>
            <w:pPr>
              <w:adjustRightInd w:val="0"/>
              <w:snapToGrid w:val="0"/>
              <w:jc w:val="center"/>
              <w:rPr>
                <w:sz w:val="20"/>
                <w:szCs w:val="20"/>
              </w:rPr>
            </w:pPr>
            <w:r>
              <w:rPr>
                <w:sz w:val="20"/>
                <w:szCs w:val="20"/>
              </w:rPr>
              <w:t>1</w:t>
            </w:r>
          </w:p>
        </w:tc>
        <w:tc>
          <w:tcPr>
            <w:tcW w:w="1777" w:type="dxa"/>
            <w:vAlign w:val="center"/>
          </w:tcPr>
          <w:p>
            <w:pPr>
              <w:adjustRightInd w:val="0"/>
              <w:snapToGrid w:val="0"/>
              <w:jc w:val="center"/>
              <w:rPr>
                <w:sz w:val="20"/>
                <w:szCs w:val="20"/>
              </w:rPr>
            </w:pPr>
            <w:r>
              <w:rPr>
                <w:sz w:val="20"/>
                <w:szCs w:val="20"/>
              </w:rPr>
              <w:t>硫精粉</w:t>
            </w:r>
          </w:p>
        </w:tc>
        <w:tc>
          <w:tcPr>
            <w:tcW w:w="1908" w:type="dxa"/>
            <w:vAlign w:val="center"/>
          </w:tcPr>
          <w:p>
            <w:pPr>
              <w:adjustRightInd w:val="0"/>
              <w:snapToGrid w:val="0"/>
              <w:jc w:val="center"/>
              <w:rPr>
                <w:sz w:val="20"/>
                <w:szCs w:val="20"/>
              </w:rPr>
            </w:pPr>
            <w:r>
              <w:rPr>
                <w:sz w:val="20"/>
                <w:szCs w:val="20"/>
              </w:rPr>
              <w:t>141600</w:t>
            </w:r>
          </w:p>
        </w:tc>
        <w:tc>
          <w:tcPr>
            <w:tcW w:w="4167" w:type="dxa"/>
            <w:vAlign w:val="center"/>
          </w:tcPr>
          <w:p>
            <w:pPr>
              <w:adjustRightInd w:val="0"/>
              <w:snapToGrid w:val="0"/>
              <w:jc w:val="center"/>
              <w:rPr>
                <w:sz w:val="20"/>
                <w:szCs w:val="20"/>
              </w:rPr>
            </w:pPr>
            <w:r>
              <w:rPr>
                <w:sz w:val="20"/>
                <w:szCs w:val="20"/>
              </w:rPr>
              <w:t>品位：47.6%；含硫1184.4 t/a</w:t>
            </w:r>
          </w:p>
        </w:tc>
      </w:tr>
      <w:tr>
        <w:tblPrEx>
          <w:tblLayout w:type="fixed"/>
          <w:tblCellMar>
            <w:top w:w="0" w:type="dxa"/>
            <w:left w:w="108" w:type="dxa"/>
            <w:bottom w:w="0" w:type="dxa"/>
            <w:right w:w="108" w:type="dxa"/>
          </w:tblCellMar>
        </w:tblPrEx>
        <w:trPr>
          <w:trHeight w:val="397" w:hRule="atLeast"/>
        </w:trPr>
        <w:tc>
          <w:tcPr>
            <w:tcW w:w="676" w:type="dxa"/>
            <w:vAlign w:val="center"/>
          </w:tcPr>
          <w:p>
            <w:pPr>
              <w:adjustRightInd w:val="0"/>
              <w:snapToGrid w:val="0"/>
              <w:jc w:val="center"/>
              <w:rPr>
                <w:sz w:val="20"/>
                <w:szCs w:val="20"/>
              </w:rPr>
            </w:pPr>
            <w:r>
              <w:rPr>
                <w:sz w:val="20"/>
                <w:szCs w:val="20"/>
              </w:rPr>
              <w:t>2</w:t>
            </w:r>
          </w:p>
        </w:tc>
        <w:tc>
          <w:tcPr>
            <w:tcW w:w="1777" w:type="dxa"/>
            <w:vAlign w:val="center"/>
          </w:tcPr>
          <w:p>
            <w:pPr>
              <w:adjustRightInd w:val="0"/>
              <w:snapToGrid w:val="0"/>
              <w:jc w:val="center"/>
              <w:rPr>
                <w:sz w:val="20"/>
                <w:szCs w:val="20"/>
              </w:rPr>
            </w:pPr>
            <w:r>
              <w:rPr>
                <w:sz w:val="20"/>
                <w:szCs w:val="20"/>
              </w:rPr>
              <w:t>铜精粉</w:t>
            </w:r>
          </w:p>
        </w:tc>
        <w:tc>
          <w:tcPr>
            <w:tcW w:w="1908" w:type="dxa"/>
            <w:vAlign w:val="center"/>
          </w:tcPr>
          <w:p>
            <w:pPr>
              <w:adjustRightInd w:val="0"/>
              <w:snapToGrid w:val="0"/>
              <w:jc w:val="center"/>
              <w:rPr>
                <w:sz w:val="20"/>
                <w:szCs w:val="20"/>
              </w:rPr>
            </w:pPr>
            <w:r>
              <w:rPr>
                <w:sz w:val="20"/>
                <w:szCs w:val="20"/>
              </w:rPr>
              <w:t>4975</w:t>
            </w:r>
          </w:p>
        </w:tc>
        <w:tc>
          <w:tcPr>
            <w:tcW w:w="4167" w:type="dxa"/>
            <w:vAlign w:val="center"/>
          </w:tcPr>
          <w:p>
            <w:pPr>
              <w:adjustRightInd w:val="0"/>
              <w:snapToGrid w:val="0"/>
              <w:jc w:val="center"/>
              <w:rPr>
                <w:sz w:val="20"/>
                <w:szCs w:val="20"/>
              </w:rPr>
            </w:pPr>
            <w:r>
              <w:rPr>
                <w:sz w:val="20"/>
                <w:szCs w:val="20"/>
              </w:rPr>
              <w:t>铜品位11.5%，含铜572.125t/a；</w:t>
            </w:r>
          </w:p>
          <w:p>
            <w:pPr>
              <w:adjustRightInd w:val="0"/>
              <w:snapToGrid w:val="0"/>
              <w:jc w:val="center"/>
              <w:rPr>
                <w:sz w:val="20"/>
                <w:szCs w:val="20"/>
              </w:rPr>
            </w:pPr>
            <w:r>
              <w:rPr>
                <w:sz w:val="20"/>
                <w:szCs w:val="20"/>
              </w:rPr>
              <w:t>金品位14.37g/t，含金0.0715 t/a；</w:t>
            </w:r>
          </w:p>
          <w:p>
            <w:pPr>
              <w:adjustRightInd w:val="0"/>
              <w:snapToGrid w:val="0"/>
              <w:jc w:val="center"/>
              <w:rPr>
                <w:sz w:val="20"/>
                <w:szCs w:val="20"/>
              </w:rPr>
            </w:pPr>
            <w:r>
              <w:rPr>
                <w:sz w:val="20"/>
                <w:szCs w:val="20"/>
              </w:rPr>
              <w:t>银171.55 g/t，含银0.5848t/a。</w:t>
            </w:r>
          </w:p>
        </w:tc>
      </w:tr>
    </w:tbl>
    <w:p>
      <w:pPr>
        <w:pStyle w:val="10"/>
        <w:rPr>
          <w:rFonts w:ascii="Times New Roman" w:hAnsi="Times New Roman"/>
        </w:rPr>
      </w:pPr>
      <w:r>
        <w:rPr>
          <w:rFonts w:ascii="Times New Roman" w:hAnsi="Times New Roman"/>
        </w:rPr>
        <w:t>2.2.1.4项目建设条件</w:t>
      </w:r>
    </w:p>
    <w:p>
      <w:pPr>
        <w:pStyle w:val="107"/>
      </w:pPr>
      <w:r>
        <w:t xml:space="preserve">    （1）地理位置及交通</w:t>
      </w:r>
    </w:p>
    <w:p>
      <w:pPr>
        <w:pStyle w:val="132"/>
        <w:ind w:firstLine="480"/>
        <w:rPr>
          <w:rFonts w:ascii="Times New Roman" w:hAnsi="Times New Roman" w:eastAsia="宋体" w:cs="Times New Roman"/>
        </w:rPr>
      </w:pPr>
      <w:r>
        <w:rPr>
          <w:rFonts w:ascii="Times New Roman" w:hAnsi="Times New Roman" w:eastAsia="宋体" w:cs="Times New Roman"/>
        </w:rPr>
        <w:t>项目区距朱阳镇23km，朱阳镇到灵宝市41km，有水泥公路相通，灵宝市内有310国道、209国道和G30连霍高速公路及陇海铁路线。交通较为便利。</w:t>
      </w:r>
    </w:p>
    <w:p>
      <w:pPr>
        <w:pStyle w:val="107"/>
      </w:pPr>
      <w:r>
        <w:t xml:space="preserve">   （2）场内外运输</w:t>
      </w:r>
    </w:p>
    <w:p>
      <w:pPr>
        <w:pStyle w:val="107"/>
      </w:pPr>
      <w:bookmarkStart w:id="263" w:name="_Toc128457586"/>
      <w:bookmarkStart w:id="264" w:name="_Toc320561142"/>
      <w:r>
        <w:t xml:space="preserve">   1、内部运输</w:t>
      </w:r>
      <w:bookmarkEnd w:id="263"/>
      <w:bookmarkEnd w:id="264"/>
    </w:p>
    <w:p>
      <w:pPr>
        <w:pStyle w:val="107"/>
      </w:pPr>
      <w:r>
        <w:t xml:space="preserve">    矿山内部物料运输主要是使用汽车运输废石。选矿厂内部物料运输主要通过车间皮带运输和管道运输完成。</w:t>
      </w:r>
    </w:p>
    <w:p>
      <w:pPr>
        <w:pStyle w:val="107"/>
      </w:pPr>
      <w:bookmarkStart w:id="265" w:name="_Toc320561143"/>
      <w:bookmarkStart w:id="266" w:name="_Toc128457587"/>
      <w:r>
        <w:t xml:space="preserve">    2、外部运输</w:t>
      </w:r>
      <w:bookmarkEnd w:id="265"/>
      <w:bookmarkEnd w:id="266"/>
    </w:p>
    <w:p>
      <w:pPr>
        <w:pStyle w:val="107"/>
      </w:pPr>
      <w:r>
        <w:t xml:space="preserve">    矿山外部运输主要是运出精粉。选矿厂外部运输大宗货物主要每年运出精矿14.6575×10</w:t>
      </w:r>
      <w:r>
        <w:rPr>
          <w:vertAlign w:val="superscript"/>
        </w:rPr>
        <w:t>4</w:t>
      </w:r>
      <w:r>
        <w:t>t，运距不等。</w:t>
      </w:r>
    </w:p>
    <w:p>
      <w:pPr>
        <w:pStyle w:val="107"/>
      </w:pPr>
      <w:r>
        <w:t xml:space="preserve">    （3）供水</w:t>
      </w:r>
    </w:p>
    <w:p>
      <w:pPr>
        <w:pStyle w:val="107"/>
      </w:pPr>
      <w:r>
        <w:t xml:space="preserve">    地下采矿利用矿坑涌水作为生产防尘用水。坑下凿岩产生粉尘较多，为实现安全文明生产，必须实施湿式凿岩，做到爆破和转运处定时洒水，以及主要巷道定期清洗。在主竖井井口附近建容积500m</w:t>
      </w:r>
      <w:r>
        <w:rPr>
          <w:vertAlign w:val="superscript"/>
        </w:rPr>
        <w:t>3</w:t>
      </w:r>
      <w:r>
        <w:t>高位水池，以供水管网型式集中向坑内各用水点直接供水。</w:t>
      </w:r>
    </w:p>
    <w:p>
      <w:pPr>
        <w:pStyle w:val="107"/>
      </w:pPr>
      <w:r>
        <w:t xml:space="preserve">    选矿生产供水分为两个部分，一是尾矿回收水，在尾矿库消力池旁边选址建设回水泵站一座（L×B×H=6.0×4.0×3.5m），内设150TSWA×7型水泵2台（一用一备），将水经约0.72km钢管（DN150）扬至选矿厂高位回水池（V=500m</w:t>
      </w:r>
      <w:r>
        <w:rPr>
          <w:vertAlign w:val="superscript"/>
        </w:rPr>
        <w:t>3</w:t>
      </w:r>
      <w:r>
        <w:t>，L×B×H=14.3×10.7×3.5m）。二是用矿坑涌水做补加新水水源，建有高位清水池（V=500m</w:t>
      </w:r>
      <w:r>
        <w:rPr>
          <w:vertAlign w:val="superscript"/>
        </w:rPr>
        <w:t>3</w:t>
      </w:r>
      <w:r>
        <w:t>，L×B×H=14.3×10.7×3.5m）。</w:t>
      </w:r>
    </w:p>
    <w:p>
      <w:pPr>
        <w:pStyle w:val="107"/>
      </w:pPr>
      <w:r>
        <w:t xml:space="preserve">    生活用水同样是来自于矿坑涌水，已有完整的供水系统，矿坑涌水经沉淀池沉淀后可满足采选职工生活用水需要。</w:t>
      </w:r>
    </w:p>
    <w:p>
      <w:pPr>
        <w:pStyle w:val="107"/>
      </w:pPr>
      <w:r>
        <w:t xml:space="preserve">    （4）供电</w:t>
      </w:r>
    </w:p>
    <w:p>
      <w:pPr>
        <w:spacing w:line="360" w:lineRule="auto"/>
        <w:ind w:firstLine="480" w:firstLineChars="200"/>
      </w:pPr>
      <w:r>
        <w:rPr>
          <w:rStyle w:val="106"/>
        </w:rPr>
        <w:t>扩建选矿厂供电源引自老选矿厂10kv变电站。扩建矿山沿用原矿山供电</w:t>
      </w:r>
      <w:r>
        <w:t>。</w:t>
      </w:r>
    </w:p>
    <w:p>
      <w:pPr>
        <w:pStyle w:val="74"/>
        <w:rPr>
          <w:rStyle w:val="154"/>
          <w:rFonts w:ascii="Times New Roman" w:hAnsi="Times New Roman" w:eastAsia="楷体" w:cs="Times New Roman"/>
          <w:b w:val="0"/>
          <w:bCs w:val="0"/>
          <w:sz w:val="24"/>
        </w:rPr>
      </w:pPr>
      <w:bookmarkStart w:id="267" w:name="_Toc470358671"/>
      <w:r>
        <w:rPr>
          <w:rStyle w:val="154"/>
          <w:rFonts w:ascii="Times New Roman" w:hAnsi="Times New Roman" w:eastAsia="楷体" w:cs="Times New Roman"/>
          <w:b w:val="0"/>
          <w:bCs w:val="0"/>
          <w:sz w:val="24"/>
        </w:rPr>
        <w:t>2.2.2扩建采矿工程概况</w:t>
      </w:r>
      <w:bookmarkEnd w:id="267"/>
    </w:p>
    <w:p>
      <w:pPr>
        <w:pStyle w:val="5"/>
      </w:pPr>
      <w:r>
        <w:t>2.2.2.1矿床特征</w:t>
      </w:r>
    </w:p>
    <w:p>
      <w:pPr>
        <w:spacing w:line="360" w:lineRule="auto"/>
        <w:ind w:firstLine="480" w:firstLineChars="200"/>
        <w:rPr>
          <w:sz w:val="24"/>
        </w:rPr>
      </w:pPr>
      <w:r>
        <w:rPr>
          <w:sz w:val="24"/>
        </w:rPr>
        <w:t>硫铁矿床由七个矿体群组成，其中，IV、Ⅷ号矿体群分别受F402、F204断裂控制，其余受接触带或接触带与断裂带联合控制。在硫铁矿体群中，均以硫铁矿为主，伴生有菱铁矿、磁铁矿和铜、锌、金等矿产。</w:t>
      </w:r>
    </w:p>
    <w:p>
      <w:r>
        <w:object>
          <v:shape id="_x0000_i1026" o:spt="75" type="#_x0000_t75" style="height:368.05pt;width:404.35pt;" o:ole="t" filled="f" o:preferrelative="t" stroked="f" coordsize="21600,21600">
            <v:path/>
            <v:fill on="f" focussize="0,0"/>
            <v:stroke on="f" joinstyle="miter"/>
            <v:imagedata r:id="rId24" cropleft="13726f" croptop="19652f" cropright="34178f" cropbottom="18873f" o:title=""/>
            <o:lock v:ext="edit" aspectratio="t"/>
            <w10:wrap type="none"/>
            <w10:anchorlock/>
          </v:shape>
          <o:OLEObject Type="Embed" ProgID="AutoCAD.Drawing.17" ShapeID="_x0000_i1026" DrawAspect="Content" ObjectID="_1468075725" r:id="rId23">
            <o:LockedField>false</o:LockedField>
          </o:OLEObject>
        </w:object>
      </w:r>
    </w:p>
    <w:p>
      <w:pPr>
        <w:pStyle w:val="5"/>
      </w:pPr>
      <w:r>
        <w:t>2.2.2.2矿床地质特征</w:t>
      </w:r>
    </w:p>
    <w:p>
      <w:pPr>
        <w:pStyle w:val="107"/>
      </w:pPr>
      <w:r>
        <w:t xml:space="preserve">   本区共圈出七个工业矿体群，编号依次为：Ⅰ、Ⅱ、Ⅲ、Ⅳ、Ⅴ、Ⅵ、Ⅶ等。每个矿体群由2～4个单矿体组成，唯Ⅴ号为单一矿体。</w:t>
      </w:r>
    </w:p>
    <w:p>
      <w:pPr>
        <w:pStyle w:val="107"/>
      </w:pPr>
      <w:r>
        <w:t xml:space="preserve">    矿体群东西向分布于下村到银家沟东部山梁之间，南北自1326m高地，到银家沟主沟南山梁。东西长约1000m，南北宽800m，分布面积约0.8km</w:t>
      </w:r>
      <w:r>
        <w:rPr>
          <w:vertAlign w:val="superscript"/>
        </w:rPr>
        <w:t>2</w:t>
      </w:r>
      <w:r>
        <w:t>，矿体群围绕斑岩体沿接触带大致呈环状分布。其中，Ⅴ、Ⅰ、Ⅱ、Ⅳ号矿体群依次分布在岩体北东、北至北西方向：Ⅶ、Ⅵ、Ⅲ号矿体群依次分布在岩体西、西南到东南方向。平面投影，Ⅰ、Ⅱ、Ⅳ号矿体群在Ⅰ号矿体群西端互相重合，其它矿体群呈单个分布。</w:t>
      </w:r>
    </w:p>
    <w:p>
      <w:pPr>
        <w:pStyle w:val="107"/>
      </w:pPr>
      <w:r>
        <w:t xml:space="preserve">    V、Ⅵ、Ⅶ等三个矿体群规模小，为次要矿体群。</w:t>
      </w:r>
    </w:p>
    <w:p>
      <w:pPr>
        <w:pStyle w:val="5"/>
      </w:pPr>
      <w:r>
        <w:t>2.2.2.3矿石质量特征</w:t>
      </w:r>
    </w:p>
    <w:p>
      <w:pPr>
        <w:pStyle w:val="151"/>
        <w:ind w:firstLine="504"/>
        <w:rPr>
          <w:rFonts w:ascii="Times New Roman" w:hAnsi="Times New Roman" w:eastAsia="宋体" w:cs="Times New Roman"/>
        </w:rPr>
      </w:pPr>
      <w:r>
        <w:rPr>
          <w:rFonts w:ascii="Times New Roman" w:hAnsi="Times New Roman" w:cs="Times New Roman"/>
        </w:rPr>
        <w:t xml:space="preserve">  </w:t>
      </w:r>
      <w:bookmarkStart w:id="268" w:name="_Toc320561088"/>
      <w:r>
        <w:rPr>
          <w:rFonts w:ascii="Times New Roman" w:hAnsi="Times New Roman" w:eastAsia="宋体" w:cs="Times New Roman"/>
        </w:rPr>
        <w:t>1、矿物组成</w:t>
      </w:r>
      <w:bookmarkEnd w:id="268"/>
    </w:p>
    <w:p>
      <w:pPr>
        <w:pStyle w:val="151"/>
        <w:ind w:firstLine="480"/>
        <w:rPr>
          <w:rFonts w:ascii="Times New Roman" w:hAnsi="Times New Roman" w:eastAsia="宋体" w:cs="Times New Roman"/>
        </w:rPr>
      </w:pPr>
      <w:r>
        <w:rPr>
          <w:rFonts w:ascii="Times New Roman" w:hAnsi="Times New Roman" w:eastAsia="宋体" w:cs="Times New Roman"/>
        </w:rPr>
        <w:t>主要金属矿物为黄铁矿、菱铁矿、磁铁矿及次生矿物褐铁矿；次要金属矿物有闪锌矿、方铅矿、黄铜矿等；脉石 矿物主要为白云石、铁白云石、方解石、钾长石、绢云母、高岭石等。</w:t>
      </w:r>
    </w:p>
    <w:p>
      <w:pPr>
        <w:pStyle w:val="151"/>
        <w:ind w:firstLine="180" w:firstLineChars="82"/>
        <w:rPr>
          <w:rFonts w:ascii="Times New Roman" w:hAnsi="Times New Roman" w:eastAsia="黑体" w:cs="Times New Roman"/>
          <w:sz w:val="22"/>
          <w:szCs w:val="22"/>
        </w:rPr>
      </w:pPr>
      <w:r>
        <w:rPr>
          <w:rFonts w:ascii="Times New Roman" w:hAnsi="Times New Roman" w:eastAsia="黑体" w:cs="Times New Roman"/>
          <w:sz w:val="22"/>
          <w:szCs w:val="22"/>
        </w:rPr>
        <w:t xml:space="preserve">  表2.2-5                原矿多元素分析结果</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756"/>
        <w:gridCol w:w="941"/>
        <w:gridCol w:w="941"/>
        <w:gridCol w:w="941"/>
        <w:gridCol w:w="941"/>
        <w:gridCol w:w="941"/>
        <w:gridCol w:w="942"/>
        <w:gridCol w:w="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80"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项目</w:t>
            </w:r>
          </w:p>
        </w:tc>
        <w:tc>
          <w:tcPr>
            <w:tcW w:w="756"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Cu</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S</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Pb</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Zn</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TFe</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SiO</w:t>
            </w:r>
            <w:r>
              <w:rPr>
                <w:rFonts w:ascii="Times New Roman" w:hAnsi="Times New Roman" w:eastAsia="宋体" w:cs="Times New Roman"/>
                <w:sz w:val="20"/>
                <w:vertAlign w:val="subscript"/>
              </w:rPr>
              <w:t>2</w:t>
            </w:r>
          </w:p>
        </w:tc>
        <w:tc>
          <w:tcPr>
            <w:tcW w:w="942"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Al</w:t>
            </w:r>
            <w:r>
              <w:rPr>
                <w:rFonts w:ascii="Times New Roman" w:hAnsi="Times New Roman" w:eastAsia="宋体" w:cs="Times New Roman"/>
                <w:sz w:val="20"/>
                <w:vertAlign w:val="subscript"/>
              </w:rPr>
              <w:t>2</w:t>
            </w:r>
            <w:r>
              <w:rPr>
                <w:rFonts w:ascii="Times New Roman" w:hAnsi="Times New Roman" w:eastAsia="宋体" w:cs="Times New Roman"/>
                <w:sz w:val="20"/>
              </w:rPr>
              <w:t>O</w:t>
            </w:r>
            <w:r>
              <w:rPr>
                <w:rFonts w:ascii="Times New Roman" w:hAnsi="Times New Roman" w:eastAsia="宋体" w:cs="Times New Roman"/>
                <w:sz w:val="20"/>
                <w:vertAlign w:val="subscript"/>
              </w:rPr>
              <w:t>3</w:t>
            </w:r>
          </w:p>
        </w:tc>
        <w:tc>
          <w:tcPr>
            <w:tcW w:w="939"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TiO</w:t>
            </w:r>
            <w:r>
              <w:rPr>
                <w:rFonts w:ascii="Times New Roman" w:hAnsi="Times New Roman" w:eastAsia="宋体" w:cs="Times New Roman"/>
                <w:sz w:val="20"/>
                <w:vertAlign w:val="sub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80"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含量（%）</w:t>
            </w:r>
          </w:p>
        </w:tc>
        <w:tc>
          <w:tcPr>
            <w:tcW w:w="756"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0.168</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16.37</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0.021</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0.204</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18.15</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29.22</w:t>
            </w:r>
          </w:p>
        </w:tc>
        <w:tc>
          <w:tcPr>
            <w:tcW w:w="942"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6.04</w:t>
            </w:r>
          </w:p>
        </w:tc>
        <w:tc>
          <w:tcPr>
            <w:tcW w:w="939"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80"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项目</w:t>
            </w:r>
          </w:p>
        </w:tc>
        <w:tc>
          <w:tcPr>
            <w:tcW w:w="756"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CaO</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MgO</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MnO</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As</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F</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CO</w:t>
            </w:r>
            <w:r>
              <w:rPr>
                <w:rFonts w:ascii="Times New Roman" w:hAnsi="Times New Roman" w:eastAsia="宋体" w:cs="Times New Roman"/>
                <w:sz w:val="20"/>
                <w:vertAlign w:val="subscript"/>
              </w:rPr>
              <w:t>2</w:t>
            </w:r>
          </w:p>
        </w:tc>
        <w:tc>
          <w:tcPr>
            <w:tcW w:w="942"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Au(g/t)</w:t>
            </w:r>
          </w:p>
        </w:tc>
        <w:tc>
          <w:tcPr>
            <w:tcW w:w="939" w:type="dxa"/>
            <w:vAlign w:val="center"/>
          </w:tcPr>
          <w:p>
            <w:pPr>
              <w:pStyle w:val="151"/>
              <w:spacing w:line="240" w:lineRule="auto"/>
              <w:ind w:firstLine="0" w:firstLineChars="0"/>
              <w:jc w:val="center"/>
              <w:rPr>
                <w:rFonts w:ascii="Times New Roman" w:hAnsi="Times New Roman" w:eastAsia="宋体" w:cs="Times New Roman"/>
                <w:sz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80"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含量（%）</w:t>
            </w:r>
          </w:p>
        </w:tc>
        <w:tc>
          <w:tcPr>
            <w:tcW w:w="756"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6.62</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3.98</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0.76</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0.0075</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0.097</w:t>
            </w:r>
          </w:p>
        </w:tc>
        <w:tc>
          <w:tcPr>
            <w:tcW w:w="941"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13.01</w:t>
            </w:r>
          </w:p>
        </w:tc>
        <w:tc>
          <w:tcPr>
            <w:tcW w:w="942" w:type="dxa"/>
            <w:vAlign w:val="center"/>
          </w:tcPr>
          <w:p>
            <w:pPr>
              <w:pStyle w:val="151"/>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0.1</w:t>
            </w:r>
          </w:p>
        </w:tc>
        <w:tc>
          <w:tcPr>
            <w:tcW w:w="939" w:type="dxa"/>
            <w:vAlign w:val="center"/>
          </w:tcPr>
          <w:p>
            <w:pPr>
              <w:pStyle w:val="151"/>
              <w:spacing w:line="240" w:lineRule="auto"/>
              <w:ind w:firstLine="0" w:firstLineChars="0"/>
              <w:jc w:val="center"/>
              <w:rPr>
                <w:rFonts w:ascii="Times New Roman" w:hAnsi="Times New Roman" w:eastAsia="宋体" w:cs="Times New Roman"/>
                <w:sz w:val="20"/>
              </w:rPr>
            </w:pPr>
          </w:p>
        </w:tc>
      </w:tr>
    </w:tbl>
    <w:p>
      <w:pPr>
        <w:pStyle w:val="151"/>
        <w:ind w:firstLine="480"/>
        <w:rPr>
          <w:rFonts w:ascii="Times New Roman" w:hAnsi="Times New Roman" w:eastAsia="宋体" w:cs="Times New Roman"/>
        </w:rPr>
      </w:pPr>
      <w:bookmarkStart w:id="269" w:name="_Toc320561089"/>
      <w:r>
        <w:rPr>
          <w:rFonts w:ascii="Times New Roman" w:hAnsi="Times New Roman" w:eastAsia="宋体" w:cs="Times New Roman"/>
        </w:rPr>
        <w:t>2、矿物化学成分及特征</w:t>
      </w:r>
      <w:bookmarkEnd w:id="269"/>
    </w:p>
    <w:p>
      <w:pPr>
        <w:pStyle w:val="107"/>
        <w:jc w:val="both"/>
      </w:pPr>
      <w:r>
        <w:t xml:space="preserve">    除硅酸盐基本成分外，成矿元素以硫为主，各矿体群单工程平均硫含量为12.00～41.57％，全区硫平均品位18.24％。主要有益伴(共)生组分为铁、铜、锌、铅，金、银、钼、碲等，有害杂质除砷、氟外，铅、锌亦属此列。</w:t>
      </w:r>
    </w:p>
    <w:p>
      <w:pPr>
        <w:pStyle w:val="151"/>
        <w:adjustRightInd w:val="0"/>
        <w:snapToGrid w:val="0"/>
        <w:spacing w:beforeLines="50" w:line="240" w:lineRule="auto"/>
        <w:ind w:firstLine="180" w:firstLineChars="82"/>
        <w:jc w:val="left"/>
        <w:rPr>
          <w:rFonts w:ascii="Times New Roman" w:hAnsi="Times New Roman" w:eastAsia="黑体" w:cs="Times New Roman"/>
          <w:sz w:val="22"/>
          <w:szCs w:val="22"/>
        </w:rPr>
      </w:pPr>
      <w:r>
        <w:rPr>
          <w:rFonts w:ascii="Times New Roman" w:hAnsi="Times New Roman" w:eastAsia="黑体" w:cs="Times New Roman"/>
          <w:sz w:val="22"/>
          <w:szCs w:val="22"/>
        </w:rPr>
        <w:t xml:space="preserve"> 表2.2-6                 原矿光谱半定量分析结果</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916"/>
        <w:gridCol w:w="980"/>
        <w:gridCol w:w="992"/>
        <w:gridCol w:w="912"/>
        <w:gridCol w:w="888"/>
        <w:gridCol w:w="973"/>
        <w:gridCol w:w="952"/>
        <w:gridCol w:w="7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1180"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项目</w:t>
            </w:r>
          </w:p>
        </w:tc>
        <w:tc>
          <w:tcPr>
            <w:tcW w:w="916"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Fe</w:t>
            </w:r>
          </w:p>
        </w:tc>
        <w:tc>
          <w:tcPr>
            <w:tcW w:w="980"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Ca</w:t>
            </w:r>
          </w:p>
        </w:tc>
        <w:tc>
          <w:tcPr>
            <w:tcW w:w="99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Mg</w:t>
            </w:r>
          </w:p>
        </w:tc>
        <w:tc>
          <w:tcPr>
            <w:tcW w:w="91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Al</w:t>
            </w:r>
          </w:p>
        </w:tc>
        <w:tc>
          <w:tcPr>
            <w:tcW w:w="888"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Si</w:t>
            </w:r>
          </w:p>
        </w:tc>
        <w:tc>
          <w:tcPr>
            <w:tcW w:w="973"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Pb</w:t>
            </w:r>
          </w:p>
        </w:tc>
        <w:tc>
          <w:tcPr>
            <w:tcW w:w="95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Cu</w:t>
            </w:r>
          </w:p>
        </w:tc>
        <w:tc>
          <w:tcPr>
            <w:tcW w:w="729"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Zn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1180"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含量（%）</w:t>
            </w:r>
          </w:p>
        </w:tc>
        <w:tc>
          <w:tcPr>
            <w:tcW w:w="916"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＞10</w:t>
            </w:r>
          </w:p>
        </w:tc>
        <w:tc>
          <w:tcPr>
            <w:tcW w:w="980"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0.2</w:t>
            </w:r>
          </w:p>
        </w:tc>
        <w:tc>
          <w:tcPr>
            <w:tcW w:w="99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0.05</w:t>
            </w:r>
          </w:p>
        </w:tc>
        <w:tc>
          <w:tcPr>
            <w:tcW w:w="91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0.07</w:t>
            </w:r>
          </w:p>
        </w:tc>
        <w:tc>
          <w:tcPr>
            <w:tcW w:w="888"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0.3</w:t>
            </w:r>
          </w:p>
        </w:tc>
        <w:tc>
          <w:tcPr>
            <w:tcW w:w="973"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＜0.001</w:t>
            </w:r>
          </w:p>
        </w:tc>
        <w:tc>
          <w:tcPr>
            <w:tcW w:w="95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0.05</w:t>
            </w:r>
          </w:p>
        </w:tc>
        <w:tc>
          <w:tcPr>
            <w:tcW w:w="729"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1180"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项目</w:t>
            </w:r>
          </w:p>
        </w:tc>
        <w:tc>
          <w:tcPr>
            <w:tcW w:w="916"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Mo</w:t>
            </w:r>
          </w:p>
        </w:tc>
        <w:tc>
          <w:tcPr>
            <w:tcW w:w="980"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Bi</w:t>
            </w:r>
          </w:p>
        </w:tc>
        <w:tc>
          <w:tcPr>
            <w:tcW w:w="99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Ga</w:t>
            </w:r>
          </w:p>
        </w:tc>
        <w:tc>
          <w:tcPr>
            <w:tcW w:w="91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Na</w:t>
            </w:r>
          </w:p>
        </w:tc>
        <w:tc>
          <w:tcPr>
            <w:tcW w:w="888"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Ti</w:t>
            </w:r>
          </w:p>
        </w:tc>
        <w:tc>
          <w:tcPr>
            <w:tcW w:w="973"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Mn</w:t>
            </w:r>
          </w:p>
        </w:tc>
        <w:tc>
          <w:tcPr>
            <w:tcW w:w="95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Nb</w:t>
            </w:r>
          </w:p>
        </w:tc>
        <w:tc>
          <w:tcPr>
            <w:tcW w:w="729"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1180"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含量（%）</w:t>
            </w:r>
          </w:p>
        </w:tc>
        <w:tc>
          <w:tcPr>
            <w:tcW w:w="916" w:type="dxa"/>
            <w:vAlign w:val="center"/>
          </w:tcPr>
          <w:p>
            <w:pPr>
              <w:pStyle w:val="151"/>
              <w:adjustRightInd w:val="0"/>
              <w:snapToGrid w:val="0"/>
              <w:spacing w:line="240" w:lineRule="auto"/>
              <w:ind w:firstLine="0" w:firstLineChars="0"/>
              <w:jc w:val="center"/>
              <w:rPr>
                <w:rFonts w:ascii="Times New Roman" w:hAnsi="Times New Roman" w:eastAsia="宋体" w:cs="Times New Roman"/>
                <w:spacing w:val="-20"/>
                <w:sz w:val="20"/>
              </w:rPr>
            </w:pPr>
            <w:r>
              <w:rPr>
                <w:rFonts w:ascii="Times New Roman" w:hAnsi="Times New Roman" w:eastAsia="宋体" w:cs="Times New Roman"/>
                <w:spacing w:val="-20"/>
                <w:sz w:val="20"/>
              </w:rPr>
              <w:t>＜0.001</w:t>
            </w:r>
          </w:p>
        </w:tc>
        <w:tc>
          <w:tcPr>
            <w:tcW w:w="980"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＜0.003</w:t>
            </w:r>
          </w:p>
        </w:tc>
        <w:tc>
          <w:tcPr>
            <w:tcW w:w="99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＜0.001</w:t>
            </w:r>
          </w:p>
        </w:tc>
        <w:tc>
          <w:tcPr>
            <w:tcW w:w="91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 1</w:t>
            </w:r>
          </w:p>
        </w:tc>
        <w:tc>
          <w:tcPr>
            <w:tcW w:w="888"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0.003</w:t>
            </w:r>
          </w:p>
        </w:tc>
        <w:tc>
          <w:tcPr>
            <w:tcW w:w="973"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13.01</w:t>
            </w:r>
          </w:p>
        </w:tc>
        <w:tc>
          <w:tcPr>
            <w:tcW w:w="952"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r>
              <w:rPr>
                <w:rFonts w:ascii="Times New Roman" w:hAnsi="Times New Roman" w:eastAsia="宋体" w:cs="Times New Roman"/>
                <w:sz w:val="20"/>
              </w:rPr>
              <w:t>＜0.003</w:t>
            </w:r>
          </w:p>
        </w:tc>
        <w:tc>
          <w:tcPr>
            <w:tcW w:w="729" w:type="dxa"/>
            <w:vAlign w:val="center"/>
          </w:tcPr>
          <w:p>
            <w:pPr>
              <w:pStyle w:val="151"/>
              <w:adjustRightInd w:val="0"/>
              <w:snapToGrid w:val="0"/>
              <w:spacing w:line="240" w:lineRule="auto"/>
              <w:ind w:firstLine="0" w:firstLineChars="0"/>
              <w:jc w:val="center"/>
              <w:rPr>
                <w:rFonts w:ascii="Times New Roman" w:hAnsi="Times New Roman" w:eastAsia="宋体" w:cs="Times New Roman"/>
                <w:sz w:val="20"/>
              </w:rPr>
            </w:pPr>
          </w:p>
        </w:tc>
      </w:tr>
    </w:tbl>
    <w:p>
      <w:pPr>
        <w:spacing w:line="360" w:lineRule="auto"/>
        <w:rPr>
          <w:sz w:val="24"/>
        </w:rPr>
      </w:pPr>
      <w:r>
        <w:rPr>
          <w:sz w:val="24"/>
        </w:rPr>
        <w:t xml:space="preserve">    （3）资源储量</w:t>
      </w:r>
    </w:p>
    <w:p>
      <w:pPr>
        <w:pStyle w:val="107"/>
      </w:pPr>
      <w:r>
        <w:t xml:space="preserve">    截止2010年6月底硫铁矿资源量4269.7万吨。设计利用储量4100万吨。具体见表4.1-1。</w:t>
      </w:r>
    </w:p>
    <w:p>
      <w:pPr>
        <w:jc w:val="left"/>
        <w:rPr>
          <w:rFonts w:eastAsia="黑体"/>
          <w:sz w:val="22"/>
          <w:szCs w:val="22"/>
        </w:rPr>
      </w:pPr>
      <w:r>
        <w:rPr>
          <w:b/>
        </w:rPr>
        <w:t xml:space="preserve">    </w:t>
      </w:r>
      <w:r>
        <w:rPr>
          <w:rFonts w:eastAsia="黑体"/>
          <w:sz w:val="22"/>
          <w:szCs w:val="22"/>
        </w:rPr>
        <w:t>表4.1-1                   保有资源储量</w:t>
      </w:r>
    </w:p>
    <w:tbl>
      <w:tblPr>
        <w:tblStyle w:val="54"/>
        <w:tblW w:w="84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708"/>
        <w:gridCol w:w="2940"/>
        <w:gridCol w:w="1357"/>
        <w:gridCol w:w="882"/>
        <w:gridCol w:w="7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2" w:type="dxa"/>
            <w:vAlign w:val="center"/>
          </w:tcPr>
          <w:p>
            <w:pPr>
              <w:spacing w:line="240" w:lineRule="exact"/>
              <w:jc w:val="center"/>
              <w:rPr>
                <w:szCs w:val="21"/>
              </w:rPr>
            </w:pPr>
          </w:p>
        </w:tc>
        <w:tc>
          <w:tcPr>
            <w:tcW w:w="1708" w:type="dxa"/>
            <w:vAlign w:val="center"/>
          </w:tcPr>
          <w:p>
            <w:pPr>
              <w:spacing w:line="240" w:lineRule="exact"/>
              <w:jc w:val="center"/>
              <w:rPr>
                <w:szCs w:val="21"/>
              </w:rPr>
            </w:pPr>
            <w:r>
              <w:rPr>
                <w:szCs w:val="21"/>
              </w:rPr>
              <w:t>650m以上（121b）+(122b)</w:t>
            </w:r>
          </w:p>
        </w:tc>
        <w:tc>
          <w:tcPr>
            <w:tcW w:w="2940" w:type="dxa"/>
            <w:vAlign w:val="center"/>
          </w:tcPr>
          <w:p>
            <w:pPr>
              <w:spacing w:line="240" w:lineRule="exact"/>
              <w:jc w:val="center"/>
              <w:rPr>
                <w:szCs w:val="21"/>
              </w:rPr>
            </w:pPr>
            <w:r>
              <w:rPr>
                <w:szCs w:val="21"/>
              </w:rPr>
              <w:t>650m以上</w:t>
            </w:r>
          </w:p>
          <w:p>
            <w:pPr>
              <w:spacing w:line="240" w:lineRule="exact"/>
              <w:jc w:val="center"/>
              <w:rPr>
                <w:szCs w:val="21"/>
              </w:rPr>
            </w:pPr>
            <w:r>
              <w:rPr>
                <w:szCs w:val="21"/>
              </w:rPr>
              <w:t>(333)+（2S21）+（2S22）+(334)</w:t>
            </w:r>
          </w:p>
        </w:tc>
        <w:tc>
          <w:tcPr>
            <w:tcW w:w="1357" w:type="dxa"/>
            <w:vAlign w:val="center"/>
          </w:tcPr>
          <w:p>
            <w:pPr>
              <w:spacing w:line="240" w:lineRule="exact"/>
              <w:jc w:val="center"/>
              <w:rPr>
                <w:szCs w:val="21"/>
              </w:rPr>
            </w:pPr>
            <w:r>
              <w:rPr>
                <w:szCs w:val="21"/>
              </w:rPr>
              <w:t>650m以下</w:t>
            </w:r>
          </w:p>
          <w:p>
            <w:pPr>
              <w:spacing w:line="240" w:lineRule="exact"/>
              <w:jc w:val="center"/>
              <w:rPr>
                <w:szCs w:val="21"/>
              </w:rPr>
            </w:pPr>
            <w:r>
              <w:rPr>
                <w:szCs w:val="21"/>
              </w:rPr>
              <w:t>(333)+(334)</w:t>
            </w:r>
          </w:p>
        </w:tc>
        <w:tc>
          <w:tcPr>
            <w:tcW w:w="882" w:type="dxa"/>
            <w:vAlign w:val="center"/>
          </w:tcPr>
          <w:p>
            <w:pPr>
              <w:spacing w:line="240" w:lineRule="exact"/>
              <w:jc w:val="center"/>
              <w:rPr>
                <w:szCs w:val="21"/>
              </w:rPr>
            </w:pPr>
            <w:r>
              <w:rPr>
                <w:szCs w:val="21"/>
              </w:rPr>
              <w:t>合计</w:t>
            </w:r>
          </w:p>
        </w:tc>
        <w:tc>
          <w:tcPr>
            <w:tcW w:w="753" w:type="dxa"/>
            <w:vAlign w:val="center"/>
          </w:tcPr>
          <w:p>
            <w:pPr>
              <w:spacing w:line="240" w:lineRule="exact"/>
              <w:jc w:val="center"/>
              <w:rPr>
                <w:szCs w:val="21"/>
              </w:rPr>
            </w:pPr>
            <w:r>
              <w:rPr>
                <w:szCs w:val="21"/>
              </w:rPr>
              <w:t>设计</w:t>
            </w:r>
          </w:p>
          <w:p>
            <w:pPr>
              <w:spacing w:line="240" w:lineRule="exact"/>
              <w:jc w:val="center"/>
              <w:rPr>
                <w:szCs w:val="21"/>
              </w:rPr>
            </w:pPr>
            <w:r>
              <w:rPr>
                <w:szCs w:val="21"/>
              </w:rPr>
              <w:t>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2" w:type="dxa"/>
            <w:vAlign w:val="center"/>
          </w:tcPr>
          <w:p>
            <w:pPr>
              <w:spacing w:line="240" w:lineRule="exact"/>
              <w:jc w:val="center"/>
              <w:rPr>
                <w:spacing w:val="-20"/>
                <w:szCs w:val="21"/>
              </w:rPr>
            </w:pPr>
            <w:r>
              <w:rPr>
                <w:spacing w:val="-20"/>
                <w:szCs w:val="21"/>
              </w:rPr>
              <w:t>储量（万吨）</w:t>
            </w:r>
          </w:p>
        </w:tc>
        <w:tc>
          <w:tcPr>
            <w:tcW w:w="1708" w:type="dxa"/>
            <w:vAlign w:val="center"/>
          </w:tcPr>
          <w:p>
            <w:pPr>
              <w:spacing w:line="240" w:lineRule="exact"/>
              <w:jc w:val="center"/>
              <w:rPr>
                <w:szCs w:val="21"/>
              </w:rPr>
            </w:pPr>
            <w:r>
              <w:rPr>
                <w:szCs w:val="21"/>
              </w:rPr>
              <w:t>94.89</w:t>
            </w:r>
          </w:p>
        </w:tc>
        <w:tc>
          <w:tcPr>
            <w:tcW w:w="2940" w:type="dxa"/>
            <w:vAlign w:val="center"/>
          </w:tcPr>
          <w:p>
            <w:pPr>
              <w:spacing w:line="240" w:lineRule="exact"/>
              <w:jc w:val="center"/>
              <w:rPr>
                <w:szCs w:val="21"/>
              </w:rPr>
            </w:pPr>
            <w:r>
              <w:rPr>
                <w:szCs w:val="21"/>
              </w:rPr>
              <w:t>2043.21</w:t>
            </w:r>
          </w:p>
        </w:tc>
        <w:tc>
          <w:tcPr>
            <w:tcW w:w="1357" w:type="dxa"/>
            <w:vAlign w:val="center"/>
          </w:tcPr>
          <w:p>
            <w:pPr>
              <w:spacing w:line="240" w:lineRule="exact"/>
              <w:jc w:val="center"/>
              <w:rPr>
                <w:szCs w:val="21"/>
              </w:rPr>
            </w:pPr>
            <w:r>
              <w:rPr>
                <w:szCs w:val="21"/>
              </w:rPr>
              <w:t>2138.1</w:t>
            </w:r>
          </w:p>
        </w:tc>
        <w:tc>
          <w:tcPr>
            <w:tcW w:w="882" w:type="dxa"/>
            <w:vAlign w:val="center"/>
          </w:tcPr>
          <w:p>
            <w:pPr>
              <w:spacing w:line="240" w:lineRule="exact"/>
              <w:jc w:val="center"/>
              <w:rPr>
                <w:szCs w:val="21"/>
              </w:rPr>
            </w:pPr>
            <w:r>
              <w:rPr>
                <w:szCs w:val="21"/>
              </w:rPr>
              <w:t>4269.7</w:t>
            </w:r>
          </w:p>
        </w:tc>
        <w:tc>
          <w:tcPr>
            <w:tcW w:w="753" w:type="dxa"/>
            <w:vAlign w:val="center"/>
          </w:tcPr>
          <w:p>
            <w:pPr>
              <w:spacing w:line="240" w:lineRule="exact"/>
              <w:jc w:val="center"/>
              <w:rPr>
                <w:szCs w:val="21"/>
              </w:rPr>
            </w:pPr>
            <w:r>
              <w:rPr>
                <w:szCs w:val="21"/>
              </w:rPr>
              <w:t>4100</w:t>
            </w:r>
          </w:p>
        </w:tc>
      </w:tr>
    </w:tbl>
    <w:p>
      <w:pPr>
        <w:pStyle w:val="5"/>
      </w:pPr>
      <w:r>
        <w:t>2.2.2.4</w:t>
      </w:r>
      <w:bookmarkStart w:id="270" w:name="_Toc320561046"/>
      <w:r>
        <w:t>矿床生产能力及开采范围</w:t>
      </w:r>
      <w:bookmarkEnd w:id="270"/>
    </w:p>
    <w:p>
      <w:pPr>
        <w:spacing w:line="360" w:lineRule="auto"/>
        <w:ind w:firstLine="420" w:firstLineChars="200"/>
        <w:rPr>
          <w:sz w:val="24"/>
        </w:rPr>
      </w:pPr>
      <w:r>
        <w:t xml:space="preserve"> </w:t>
      </w:r>
      <w:r>
        <w:rPr>
          <w:sz w:val="24"/>
        </w:rPr>
        <w:t>生产能力：30万吨/年。</w:t>
      </w:r>
    </w:p>
    <w:p>
      <w:pPr>
        <w:spacing w:line="360" w:lineRule="auto"/>
        <w:ind w:firstLine="480" w:firstLineChars="200"/>
        <w:rPr>
          <w:sz w:val="24"/>
        </w:rPr>
      </w:pPr>
      <w:r>
        <w:rPr>
          <w:sz w:val="24"/>
        </w:rPr>
        <w:t>开采范围：主要开采III、Ⅵ、Ⅶ号矿体少量开采。</w:t>
      </w:r>
    </w:p>
    <w:p>
      <w:pPr>
        <w:pStyle w:val="107"/>
      </w:pPr>
      <w:r>
        <w:t xml:space="preserve">    开采范围：采矿许可证范围内的Ⅰ、Ⅱ、III、Ⅳ、Ⅴ、Ⅵ、Ⅶ号矿体的开采。</w:t>
      </w:r>
    </w:p>
    <w:p>
      <w:pPr>
        <w:pStyle w:val="5"/>
      </w:pPr>
      <w:bookmarkStart w:id="271" w:name="_Toc320561047"/>
      <w:r>
        <w:t>2.2.2.5矿床的开采顺序</w:t>
      </w:r>
      <w:bookmarkEnd w:id="271"/>
    </w:p>
    <w:p>
      <w:pPr>
        <w:pStyle w:val="107"/>
        <w:rPr>
          <w:rFonts w:eastAsia="宋体"/>
        </w:rPr>
      </w:pPr>
      <w:r>
        <w:rPr>
          <w:rFonts w:eastAsia="宋体"/>
        </w:rPr>
        <w:t xml:space="preserve">    （1）III号矿体埋藏浅，勘探程度较高，品位较富，水文地质条件较简单，适于首采开采。Ⅵ、Ⅶ矿体作为正常生产接替开采。</w:t>
      </w:r>
    </w:p>
    <w:p>
      <w:pPr>
        <w:pStyle w:val="107"/>
        <w:rPr>
          <w:rFonts w:eastAsia="宋体"/>
        </w:rPr>
      </w:pPr>
      <w:r>
        <w:rPr>
          <w:rFonts w:eastAsia="宋体"/>
        </w:rPr>
        <w:t xml:space="preserve">    （2）矿体本身的开采顺序是：沿倾斜方向自上而下，沿走向后退式开采。</w:t>
      </w:r>
    </w:p>
    <w:p>
      <w:pPr>
        <w:pStyle w:val="5"/>
      </w:pPr>
      <w:bookmarkStart w:id="272" w:name="_Toc320561060"/>
      <w:r>
        <w:t>2.2.2.6矿山开拓系统</w:t>
      </w:r>
      <w:bookmarkEnd w:id="272"/>
    </w:p>
    <w:p>
      <w:pPr>
        <w:pStyle w:val="156"/>
        <w:rPr>
          <w:rFonts w:ascii="Times New Roman" w:hAnsi="Times New Roman" w:eastAsia="宋体" w:cs="Times New Roman"/>
        </w:rPr>
      </w:pPr>
      <w:bookmarkStart w:id="273" w:name="_Toc320561061"/>
      <w:r>
        <w:rPr>
          <w:rFonts w:ascii="Times New Roman" w:hAnsi="Times New Roman" w:eastAsia="宋体" w:cs="Times New Roman"/>
        </w:rPr>
        <w:t>1、矿山开拓的相关条件</w:t>
      </w:r>
      <w:bookmarkEnd w:id="273"/>
    </w:p>
    <w:p>
      <w:pPr>
        <w:pStyle w:val="156"/>
        <w:rPr>
          <w:rFonts w:ascii="Times New Roman" w:hAnsi="Times New Roman" w:eastAsia="宋体" w:cs="Times New Roman"/>
        </w:rPr>
      </w:pPr>
      <w:r>
        <w:rPr>
          <w:rFonts w:ascii="Times New Roman" w:hAnsi="Times New Roman" w:eastAsia="宋体" w:cs="Times New Roman"/>
        </w:rPr>
        <w:t>根据目前的实际情况，结合矿体赋存状态，布置开拓系统。</w:t>
      </w:r>
    </w:p>
    <w:p>
      <w:pPr>
        <w:pStyle w:val="156"/>
        <w:rPr>
          <w:rFonts w:ascii="Times New Roman" w:hAnsi="Times New Roman" w:eastAsia="宋体" w:cs="Times New Roman"/>
        </w:rPr>
      </w:pPr>
      <w:r>
        <w:rPr>
          <w:rFonts w:ascii="Times New Roman" w:hAnsi="Times New Roman" w:eastAsia="宋体" w:cs="Times New Roman"/>
        </w:rPr>
        <w:t>地表崩落范围的圈定：根据矿体顶、底板岩层性质及所采用的采矿方法，设计采用类比法确定开采移动角，以确定岩石移动范围。矿体上盘移动65°，下盘移动角70°，端部移动角75°，表土移动角45°。</w:t>
      </w:r>
    </w:p>
    <w:p>
      <w:pPr>
        <w:pStyle w:val="156"/>
        <w:rPr>
          <w:rFonts w:ascii="Times New Roman" w:hAnsi="Times New Roman" w:eastAsia="宋体" w:cs="Times New Roman"/>
        </w:rPr>
      </w:pPr>
      <w:bookmarkStart w:id="274" w:name="_Toc320561062"/>
      <w:r>
        <w:rPr>
          <w:rFonts w:ascii="Times New Roman" w:hAnsi="Times New Roman" w:eastAsia="宋体" w:cs="Times New Roman"/>
        </w:rPr>
        <w:t>2、中段高度的确定</w:t>
      </w:r>
      <w:bookmarkEnd w:id="274"/>
    </w:p>
    <w:p>
      <w:pPr>
        <w:pStyle w:val="156"/>
        <w:rPr>
          <w:rFonts w:ascii="Times New Roman" w:hAnsi="Times New Roman" w:eastAsia="宋体" w:cs="Times New Roman"/>
        </w:rPr>
      </w:pPr>
      <w:r>
        <w:rPr>
          <w:rFonts w:ascii="Times New Roman" w:hAnsi="Times New Roman" w:eastAsia="宋体" w:cs="Times New Roman"/>
        </w:rPr>
        <w:t>根据矿体产状及赋存状态，结合矿山实际情况，确定中段高度50m。</w:t>
      </w:r>
    </w:p>
    <w:p>
      <w:pPr>
        <w:pStyle w:val="156"/>
        <w:rPr>
          <w:rFonts w:ascii="Times New Roman" w:hAnsi="Times New Roman" w:eastAsia="宋体" w:cs="Times New Roman"/>
        </w:rPr>
      </w:pPr>
      <w:bookmarkStart w:id="275" w:name="_Toc320561063"/>
      <w:r>
        <w:rPr>
          <w:rFonts w:ascii="Times New Roman" w:hAnsi="Times New Roman" w:eastAsia="宋体" w:cs="Times New Roman"/>
        </w:rPr>
        <w:t>3、开拓方案选择</w:t>
      </w:r>
      <w:bookmarkEnd w:id="275"/>
    </w:p>
    <w:p>
      <w:pPr>
        <w:pStyle w:val="156"/>
        <w:rPr>
          <w:rFonts w:ascii="Times New Roman" w:hAnsi="Times New Roman" w:eastAsia="宋体" w:cs="Times New Roman"/>
        </w:rPr>
      </w:pPr>
      <w:r>
        <w:rPr>
          <w:rFonts w:ascii="Times New Roman" w:hAnsi="Times New Roman" w:eastAsia="宋体" w:cs="Times New Roman"/>
        </w:rPr>
        <w:t>根据矿体赋存条件以及矿区地形的特点、并考虑征地范围及矿界范围。因此本次设计采用竖井开拓方案。</w:t>
      </w:r>
    </w:p>
    <w:p>
      <w:pPr>
        <w:pStyle w:val="156"/>
        <w:rPr>
          <w:rFonts w:ascii="Times New Roman" w:hAnsi="Times New Roman" w:eastAsia="宋体" w:cs="Times New Roman"/>
        </w:rPr>
      </w:pPr>
      <w:bookmarkStart w:id="276" w:name="_Toc320561064"/>
      <w:r>
        <w:rPr>
          <w:rFonts w:ascii="Times New Roman" w:hAnsi="Times New Roman" w:eastAsia="宋体" w:cs="Times New Roman"/>
        </w:rPr>
        <w:t>4、开拓方案简述</w:t>
      </w:r>
      <w:bookmarkEnd w:id="276"/>
    </w:p>
    <w:p>
      <w:pPr>
        <w:pStyle w:val="156"/>
        <w:rPr>
          <w:rFonts w:ascii="Times New Roman" w:hAnsi="Times New Roman" w:eastAsia="宋体" w:cs="Times New Roman"/>
        </w:rPr>
      </w:pPr>
      <w:r>
        <w:rPr>
          <w:rFonts w:ascii="Times New Roman" w:hAnsi="Times New Roman" w:eastAsia="宋体" w:cs="Times New Roman"/>
        </w:rPr>
        <w:t>主竖井座标为X=3786670.683，Y=37481675.021，Z=1118.00，出车方位角294°,该竖井圆形断面，Φ净=6m，Φ掘=6.7m，砼支护，下掘后井筒深度728m，含10m井底水窝。</w:t>
      </w:r>
    </w:p>
    <w:p>
      <w:pPr>
        <w:pStyle w:val="156"/>
        <w:rPr>
          <w:rFonts w:ascii="Times New Roman" w:hAnsi="Times New Roman" w:eastAsia="宋体" w:cs="Times New Roman"/>
        </w:rPr>
      </w:pPr>
      <w:r>
        <w:rPr>
          <w:rFonts w:ascii="Times New Roman" w:hAnsi="Times New Roman" w:eastAsia="宋体" w:cs="Times New Roman"/>
        </w:rPr>
        <w:t>设两条回风井。东回风斜井井口座标为 X=3786613.802，Y=37482331.921，Z=1125.00，Φ净2.6m，该风井已有，为东回风竖井。在矿区南部新掘一竖井，作为南风井，井口座标为 X=3786210.000，Y=37481970.000，Z=1120.00，Φ净2.6m，井底标高+900m。</w:t>
      </w:r>
    </w:p>
    <w:p>
      <w:pPr>
        <w:spacing w:line="360" w:lineRule="auto"/>
        <w:ind w:firstLine="480" w:firstLineChars="200"/>
        <w:rPr>
          <w:sz w:val="24"/>
        </w:rPr>
      </w:pPr>
      <w:r>
        <w:rPr>
          <w:sz w:val="24"/>
        </w:rPr>
        <w:t>I号矿体：900m做为主回风道。下设中段有：850m、800m、750m、700m、650m、600m、550m、500m、450m、400m中段。</w:t>
      </w:r>
    </w:p>
    <w:p>
      <w:pPr>
        <w:spacing w:line="360" w:lineRule="auto"/>
        <w:ind w:firstLine="480" w:firstLineChars="200"/>
        <w:rPr>
          <w:sz w:val="24"/>
        </w:rPr>
      </w:pPr>
      <w:r>
        <w:rPr>
          <w:sz w:val="24"/>
        </w:rPr>
        <w:t>Ⅱ号矿体：900m做为主回风道，中段高度50m。下设中段有：850m、800m、750m、700m、650m、600m、550m、500m中段。</w:t>
      </w:r>
    </w:p>
    <w:p>
      <w:pPr>
        <w:spacing w:line="360" w:lineRule="auto"/>
        <w:ind w:firstLine="480" w:firstLineChars="200"/>
        <w:rPr>
          <w:sz w:val="24"/>
        </w:rPr>
      </w:pP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号矿体：900m做为主回风道。下设中段有：850m、800m、750m、700m、650m、600m、550m、500m、450m、400m中段。</w:t>
      </w:r>
    </w:p>
    <w:p>
      <w:pPr>
        <w:spacing w:line="360" w:lineRule="auto"/>
        <w:ind w:firstLine="480" w:firstLineChars="200"/>
        <w:rPr>
          <w:sz w:val="24"/>
        </w:rPr>
      </w:pPr>
      <w:r>
        <w:rPr>
          <w:sz w:val="24"/>
        </w:rPr>
        <w:t>Ⅳ号矿体：900m做为主回风道，中段高度50m。下设中段有：850m、800m、750m、700m中段。</w:t>
      </w:r>
    </w:p>
    <w:p>
      <w:pPr>
        <w:spacing w:line="360" w:lineRule="auto"/>
        <w:ind w:firstLine="480" w:firstLineChars="200"/>
        <w:rPr>
          <w:sz w:val="24"/>
        </w:rPr>
      </w:pPr>
      <w:r>
        <w:rPr>
          <w:sz w:val="24"/>
        </w:rPr>
        <w:t>V号矿体：900m做为主回风道，中段高度50m。下设中段有：850m、800m、750m、700m中段。</w:t>
      </w:r>
    </w:p>
    <w:p>
      <w:pPr>
        <w:spacing w:line="360" w:lineRule="auto"/>
        <w:ind w:firstLine="480" w:firstLineChars="200"/>
        <w:rPr>
          <w:sz w:val="24"/>
        </w:rPr>
      </w:pPr>
      <w:r>
        <w:rPr>
          <w:sz w:val="24"/>
        </w:rPr>
        <w:t>Ⅵ号矿体：900m做为主回风道，中段高度50m。下设中段有：850m、800m、750m、700m、650m、600m、550m、500m、450m、400m中段。</w:t>
      </w:r>
    </w:p>
    <w:p>
      <w:pPr>
        <w:spacing w:line="360" w:lineRule="auto"/>
        <w:ind w:firstLine="480" w:firstLineChars="200"/>
        <w:rPr>
          <w:sz w:val="24"/>
        </w:rPr>
      </w:pPr>
      <w:r>
        <w:rPr>
          <w:sz w:val="24"/>
        </w:rPr>
        <w:t>Ⅶ号矿体：900m做为主回风道，中段高度50m。下设中段有：850m、800m、750m、700m、650m中段。</w:t>
      </w:r>
    </w:p>
    <w:p>
      <w:pPr>
        <w:spacing w:line="360" w:lineRule="auto"/>
        <w:ind w:firstLine="480" w:firstLineChars="200"/>
        <w:rPr>
          <w:sz w:val="24"/>
        </w:rPr>
      </w:pPr>
      <w:r>
        <w:rPr>
          <w:sz w:val="24"/>
        </w:rPr>
        <w:t>各中段端部，由通风行人天井相贯通。主竖井、东风井和斜竖井为矿山三个安全出口，井筒内设梯子间并安装梯子。</w:t>
      </w:r>
    </w:p>
    <w:p>
      <w:pPr>
        <w:jc w:val="left"/>
        <w:rPr>
          <w:rFonts w:eastAsia="黑体"/>
          <w:sz w:val="22"/>
          <w:szCs w:val="22"/>
        </w:rPr>
      </w:pPr>
      <w:r>
        <w:rPr>
          <w:b/>
        </w:rPr>
        <w:t xml:space="preserve">    </w:t>
      </w:r>
      <w:r>
        <w:rPr>
          <w:rFonts w:eastAsia="黑体"/>
          <w:sz w:val="22"/>
          <w:szCs w:val="22"/>
        </w:rPr>
        <w:t>表2.2-7                      井筒特征表</w:t>
      </w:r>
    </w:p>
    <w:tbl>
      <w:tblPr>
        <w:tblStyle w:val="54"/>
        <w:tblW w:w="83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6"/>
        <w:gridCol w:w="647"/>
        <w:gridCol w:w="612"/>
        <w:gridCol w:w="765"/>
        <w:gridCol w:w="2241"/>
        <w:gridCol w:w="1746"/>
        <w:gridCol w:w="15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6" w:hRule="atLeast"/>
        </w:trPr>
        <w:tc>
          <w:tcPr>
            <w:tcW w:w="776" w:type="dxa"/>
            <w:vAlign w:val="center"/>
          </w:tcPr>
          <w:p>
            <w:pPr>
              <w:spacing w:line="0" w:lineRule="atLeast"/>
              <w:jc w:val="center"/>
              <w:rPr>
                <w:kern w:val="0"/>
                <w:szCs w:val="21"/>
              </w:rPr>
            </w:pPr>
            <w:r>
              <w:rPr>
                <w:kern w:val="0"/>
                <w:szCs w:val="21"/>
              </w:rPr>
              <w:t>序号</w:t>
            </w:r>
          </w:p>
        </w:tc>
        <w:tc>
          <w:tcPr>
            <w:tcW w:w="1259" w:type="dxa"/>
            <w:gridSpan w:val="2"/>
            <w:vAlign w:val="center"/>
          </w:tcPr>
          <w:p>
            <w:pPr>
              <w:spacing w:line="0" w:lineRule="atLeast"/>
              <w:jc w:val="center"/>
              <w:rPr>
                <w:kern w:val="0"/>
                <w:szCs w:val="21"/>
              </w:rPr>
            </w:pPr>
            <w:r>
              <w:rPr>
                <w:kern w:val="0"/>
                <w:szCs w:val="21"/>
              </w:rPr>
              <w:t>名  称</w:t>
            </w:r>
          </w:p>
        </w:tc>
        <w:tc>
          <w:tcPr>
            <w:tcW w:w="765" w:type="dxa"/>
            <w:vAlign w:val="center"/>
          </w:tcPr>
          <w:p>
            <w:pPr>
              <w:spacing w:line="0" w:lineRule="atLeast"/>
              <w:jc w:val="center"/>
              <w:rPr>
                <w:kern w:val="0"/>
                <w:szCs w:val="21"/>
              </w:rPr>
            </w:pPr>
            <w:r>
              <w:rPr>
                <w:kern w:val="0"/>
                <w:szCs w:val="21"/>
              </w:rPr>
              <w:t>单位</w:t>
            </w:r>
          </w:p>
        </w:tc>
        <w:tc>
          <w:tcPr>
            <w:tcW w:w="2241" w:type="dxa"/>
            <w:vAlign w:val="center"/>
          </w:tcPr>
          <w:p>
            <w:pPr>
              <w:spacing w:line="0" w:lineRule="atLeast"/>
              <w:jc w:val="center"/>
              <w:rPr>
                <w:kern w:val="0"/>
                <w:szCs w:val="21"/>
              </w:rPr>
            </w:pPr>
            <w:r>
              <w:rPr>
                <w:kern w:val="0"/>
                <w:szCs w:val="21"/>
              </w:rPr>
              <w:t>主  井</w:t>
            </w:r>
          </w:p>
        </w:tc>
        <w:tc>
          <w:tcPr>
            <w:tcW w:w="1746" w:type="dxa"/>
            <w:vAlign w:val="center"/>
          </w:tcPr>
          <w:p>
            <w:pPr>
              <w:spacing w:line="0" w:lineRule="atLeast"/>
              <w:jc w:val="center"/>
              <w:rPr>
                <w:kern w:val="0"/>
                <w:szCs w:val="21"/>
              </w:rPr>
            </w:pPr>
            <w:r>
              <w:rPr>
                <w:kern w:val="0"/>
                <w:szCs w:val="21"/>
              </w:rPr>
              <w:t>东风井</w:t>
            </w:r>
          </w:p>
        </w:tc>
        <w:tc>
          <w:tcPr>
            <w:tcW w:w="1549" w:type="dxa"/>
            <w:vAlign w:val="center"/>
          </w:tcPr>
          <w:p>
            <w:pPr>
              <w:spacing w:line="0" w:lineRule="atLeast"/>
              <w:jc w:val="center"/>
              <w:rPr>
                <w:kern w:val="0"/>
                <w:szCs w:val="21"/>
              </w:rPr>
            </w:pPr>
            <w:r>
              <w:rPr>
                <w:kern w:val="0"/>
                <w:szCs w:val="21"/>
              </w:rPr>
              <w:t>东斜井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60" w:hRule="exact"/>
        </w:trPr>
        <w:tc>
          <w:tcPr>
            <w:tcW w:w="776" w:type="dxa"/>
            <w:vMerge w:val="restart"/>
            <w:vAlign w:val="center"/>
          </w:tcPr>
          <w:p>
            <w:pPr>
              <w:spacing w:line="0" w:lineRule="atLeast"/>
              <w:jc w:val="center"/>
              <w:rPr>
                <w:szCs w:val="21"/>
              </w:rPr>
            </w:pPr>
            <w:r>
              <w:rPr>
                <w:kern w:val="0"/>
                <w:szCs w:val="21"/>
              </w:rPr>
              <w:t>l</w:t>
            </w:r>
          </w:p>
        </w:tc>
        <w:tc>
          <w:tcPr>
            <w:tcW w:w="647" w:type="dxa"/>
            <w:vAlign w:val="center"/>
          </w:tcPr>
          <w:p>
            <w:pPr>
              <w:spacing w:line="0" w:lineRule="atLeast"/>
              <w:jc w:val="center"/>
              <w:rPr>
                <w:szCs w:val="21"/>
              </w:rPr>
            </w:pPr>
            <w:r>
              <w:rPr>
                <w:kern w:val="0"/>
                <w:szCs w:val="21"/>
              </w:rPr>
              <w:t>井口</w:t>
            </w:r>
          </w:p>
        </w:tc>
        <w:tc>
          <w:tcPr>
            <w:tcW w:w="612" w:type="dxa"/>
            <w:vAlign w:val="center"/>
          </w:tcPr>
          <w:p>
            <w:pPr>
              <w:spacing w:line="0" w:lineRule="atLeast"/>
              <w:jc w:val="center"/>
              <w:rPr>
                <w:szCs w:val="21"/>
              </w:rPr>
            </w:pPr>
            <w:r>
              <w:rPr>
                <w:kern w:val="0"/>
                <w:szCs w:val="21"/>
              </w:rPr>
              <w:t>X</w:t>
            </w:r>
          </w:p>
        </w:tc>
        <w:tc>
          <w:tcPr>
            <w:tcW w:w="765" w:type="dxa"/>
            <w:vAlign w:val="center"/>
          </w:tcPr>
          <w:p>
            <w:pPr>
              <w:spacing w:line="0" w:lineRule="atLeast"/>
              <w:jc w:val="center"/>
              <w:rPr>
                <w:szCs w:val="21"/>
              </w:rPr>
            </w:pPr>
            <w:r>
              <w:rPr>
                <w:kern w:val="0"/>
                <w:szCs w:val="21"/>
              </w:rPr>
              <w:t>m</w:t>
            </w:r>
          </w:p>
        </w:tc>
        <w:tc>
          <w:tcPr>
            <w:tcW w:w="2241" w:type="dxa"/>
            <w:vAlign w:val="center"/>
          </w:tcPr>
          <w:p>
            <w:pPr>
              <w:spacing w:line="0" w:lineRule="atLeast"/>
              <w:jc w:val="center"/>
              <w:rPr>
                <w:kern w:val="0"/>
                <w:szCs w:val="21"/>
              </w:rPr>
            </w:pPr>
            <w:r>
              <w:rPr>
                <w:kern w:val="0"/>
                <w:szCs w:val="21"/>
              </w:rPr>
              <w:t>3786670.683</w:t>
            </w:r>
          </w:p>
        </w:tc>
        <w:tc>
          <w:tcPr>
            <w:tcW w:w="1746" w:type="dxa"/>
            <w:vAlign w:val="center"/>
          </w:tcPr>
          <w:p>
            <w:pPr>
              <w:spacing w:line="0" w:lineRule="atLeast"/>
              <w:jc w:val="center"/>
              <w:rPr>
                <w:kern w:val="0"/>
                <w:szCs w:val="21"/>
              </w:rPr>
            </w:pPr>
            <w:r>
              <w:rPr>
                <w:kern w:val="0"/>
                <w:szCs w:val="21"/>
              </w:rPr>
              <w:t>3786613.802</w:t>
            </w:r>
          </w:p>
        </w:tc>
        <w:tc>
          <w:tcPr>
            <w:tcW w:w="1549" w:type="dxa"/>
            <w:vAlign w:val="center"/>
          </w:tcPr>
          <w:p>
            <w:pPr>
              <w:spacing w:line="0" w:lineRule="atLeast"/>
              <w:jc w:val="center"/>
              <w:rPr>
                <w:kern w:val="0"/>
                <w:szCs w:val="21"/>
              </w:rPr>
            </w:pPr>
            <w:r>
              <w:rPr>
                <w:kern w:val="0"/>
                <w:szCs w:val="21"/>
              </w:rPr>
              <w:t>3786210.000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exact"/>
        </w:trPr>
        <w:tc>
          <w:tcPr>
            <w:tcW w:w="776" w:type="dxa"/>
            <w:vMerge w:val="continue"/>
            <w:vAlign w:val="center"/>
          </w:tcPr>
          <w:p>
            <w:pPr>
              <w:spacing w:line="0" w:lineRule="atLeast"/>
              <w:jc w:val="center"/>
              <w:rPr>
                <w:kern w:val="0"/>
                <w:szCs w:val="21"/>
              </w:rPr>
            </w:pPr>
          </w:p>
        </w:tc>
        <w:tc>
          <w:tcPr>
            <w:tcW w:w="647" w:type="dxa"/>
            <w:vAlign w:val="center"/>
          </w:tcPr>
          <w:p>
            <w:pPr>
              <w:spacing w:line="0" w:lineRule="atLeast"/>
              <w:jc w:val="center"/>
              <w:rPr>
                <w:szCs w:val="21"/>
              </w:rPr>
            </w:pPr>
            <w:r>
              <w:rPr>
                <w:kern w:val="0"/>
                <w:szCs w:val="21"/>
              </w:rPr>
              <w:t>座标</w:t>
            </w:r>
          </w:p>
        </w:tc>
        <w:tc>
          <w:tcPr>
            <w:tcW w:w="612" w:type="dxa"/>
            <w:vAlign w:val="center"/>
          </w:tcPr>
          <w:p>
            <w:pPr>
              <w:spacing w:line="0" w:lineRule="atLeast"/>
              <w:jc w:val="center"/>
              <w:rPr>
                <w:szCs w:val="21"/>
              </w:rPr>
            </w:pPr>
            <w:r>
              <w:rPr>
                <w:kern w:val="0"/>
                <w:szCs w:val="21"/>
              </w:rPr>
              <w:t>Y</w:t>
            </w:r>
          </w:p>
        </w:tc>
        <w:tc>
          <w:tcPr>
            <w:tcW w:w="765" w:type="dxa"/>
            <w:vAlign w:val="center"/>
          </w:tcPr>
          <w:p>
            <w:pPr>
              <w:spacing w:line="0" w:lineRule="atLeast"/>
              <w:jc w:val="center"/>
              <w:rPr>
                <w:szCs w:val="21"/>
              </w:rPr>
            </w:pPr>
            <w:r>
              <w:rPr>
                <w:kern w:val="0"/>
                <w:szCs w:val="21"/>
              </w:rPr>
              <w:t>m</w:t>
            </w:r>
          </w:p>
        </w:tc>
        <w:tc>
          <w:tcPr>
            <w:tcW w:w="2241" w:type="dxa"/>
            <w:vAlign w:val="center"/>
          </w:tcPr>
          <w:p>
            <w:pPr>
              <w:spacing w:line="0" w:lineRule="atLeast"/>
              <w:jc w:val="center"/>
              <w:rPr>
                <w:kern w:val="0"/>
                <w:szCs w:val="21"/>
              </w:rPr>
            </w:pPr>
            <w:r>
              <w:rPr>
                <w:kern w:val="0"/>
                <w:szCs w:val="21"/>
              </w:rPr>
              <w:t>37481675.021</w:t>
            </w:r>
          </w:p>
        </w:tc>
        <w:tc>
          <w:tcPr>
            <w:tcW w:w="1746" w:type="dxa"/>
            <w:vAlign w:val="center"/>
          </w:tcPr>
          <w:p>
            <w:pPr>
              <w:spacing w:line="0" w:lineRule="atLeast"/>
              <w:jc w:val="center"/>
              <w:rPr>
                <w:kern w:val="0"/>
                <w:szCs w:val="21"/>
              </w:rPr>
            </w:pPr>
            <w:r>
              <w:rPr>
                <w:kern w:val="0"/>
                <w:szCs w:val="21"/>
              </w:rPr>
              <w:t>37482331.921</w:t>
            </w:r>
          </w:p>
        </w:tc>
        <w:tc>
          <w:tcPr>
            <w:tcW w:w="1549" w:type="dxa"/>
            <w:vAlign w:val="center"/>
          </w:tcPr>
          <w:p>
            <w:pPr>
              <w:spacing w:line="0" w:lineRule="atLeast"/>
              <w:jc w:val="center"/>
              <w:rPr>
                <w:kern w:val="0"/>
                <w:szCs w:val="21"/>
              </w:rPr>
            </w:pPr>
            <w:r>
              <w:rPr>
                <w:kern w:val="0"/>
                <w:szCs w:val="21"/>
              </w:rPr>
              <w:t>37481970.000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8" w:hRule="atLeast"/>
        </w:trPr>
        <w:tc>
          <w:tcPr>
            <w:tcW w:w="776" w:type="dxa"/>
            <w:vAlign w:val="center"/>
          </w:tcPr>
          <w:p>
            <w:pPr>
              <w:spacing w:line="0" w:lineRule="atLeast"/>
              <w:jc w:val="center"/>
              <w:rPr>
                <w:szCs w:val="21"/>
              </w:rPr>
            </w:pPr>
            <w:r>
              <w:rPr>
                <w:kern w:val="0"/>
                <w:szCs w:val="21"/>
              </w:rPr>
              <w:t>2</w:t>
            </w:r>
          </w:p>
        </w:tc>
        <w:tc>
          <w:tcPr>
            <w:tcW w:w="1259" w:type="dxa"/>
            <w:gridSpan w:val="2"/>
            <w:vAlign w:val="center"/>
          </w:tcPr>
          <w:p>
            <w:pPr>
              <w:spacing w:line="0" w:lineRule="atLeast"/>
              <w:jc w:val="center"/>
              <w:rPr>
                <w:szCs w:val="21"/>
              </w:rPr>
            </w:pPr>
            <w:r>
              <w:rPr>
                <w:kern w:val="0"/>
                <w:szCs w:val="21"/>
              </w:rPr>
              <w:t>井口标高</w:t>
            </w:r>
          </w:p>
        </w:tc>
        <w:tc>
          <w:tcPr>
            <w:tcW w:w="765" w:type="dxa"/>
            <w:vAlign w:val="center"/>
          </w:tcPr>
          <w:p>
            <w:pPr>
              <w:spacing w:line="0" w:lineRule="atLeast"/>
              <w:jc w:val="center"/>
              <w:rPr>
                <w:szCs w:val="21"/>
              </w:rPr>
            </w:pPr>
            <w:r>
              <w:rPr>
                <w:kern w:val="0"/>
                <w:szCs w:val="21"/>
              </w:rPr>
              <w:t>m</w:t>
            </w:r>
          </w:p>
        </w:tc>
        <w:tc>
          <w:tcPr>
            <w:tcW w:w="2241" w:type="dxa"/>
            <w:vAlign w:val="center"/>
          </w:tcPr>
          <w:p>
            <w:pPr>
              <w:spacing w:line="0" w:lineRule="atLeast"/>
              <w:jc w:val="center"/>
              <w:rPr>
                <w:kern w:val="0"/>
                <w:szCs w:val="21"/>
              </w:rPr>
            </w:pPr>
            <w:r>
              <w:rPr>
                <w:kern w:val="0"/>
                <w:szCs w:val="21"/>
              </w:rPr>
              <w:t>1118.00</w:t>
            </w:r>
          </w:p>
        </w:tc>
        <w:tc>
          <w:tcPr>
            <w:tcW w:w="1746" w:type="dxa"/>
            <w:vAlign w:val="center"/>
          </w:tcPr>
          <w:p>
            <w:pPr>
              <w:spacing w:line="0" w:lineRule="atLeast"/>
              <w:jc w:val="center"/>
              <w:rPr>
                <w:kern w:val="0"/>
                <w:szCs w:val="21"/>
              </w:rPr>
            </w:pPr>
            <w:r>
              <w:rPr>
                <w:kern w:val="0"/>
                <w:szCs w:val="21"/>
              </w:rPr>
              <w:t>1125.00</w:t>
            </w:r>
          </w:p>
        </w:tc>
        <w:tc>
          <w:tcPr>
            <w:tcW w:w="1549" w:type="dxa"/>
            <w:vAlign w:val="center"/>
          </w:tcPr>
          <w:p>
            <w:pPr>
              <w:spacing w:line="0" w:lineRule="atLeast"/>
              <w:jc w:val="center"/>
              <w:rPr>
                <w:kern w:val="0"/>
                <w:szCs w:val="21"/>
              </w:rPr>
            </w:pPr>
            <w:r>
              <w:rPr>
                <w:kern w:val="0"/>
                <w:szCs w:val="21"/>
              </w:rPr>
              <w:t>1120.00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1" w:hRule="exact"/>
        </w:trPr>
        <w:tc>
          <w:tcPr>
            <w:tcW w:w="776" w:type="dxa"/>
            <w:vAlign w:val="center"/>
          </w:tcPr>
          <w:p>
            <w:pPr>
              <w:spacing w:line="0" w:lineRule="atLeast"/>
              <w:jc w:val="center"/>
              <w:rPr>
                <w:szCs w:val="21"/>
              </w:rPr>
            </w:pPr>
            <w:r>
              <w:rPr>
                <w:kern w:val="0"/>
                <w:szCs w:val="21"/>
              </w:rPr>
              <w:t>3</w:t>
            </w:r>
          </w:p>
        </w:tc>
        <w:tc>
          <w:tcPr>
            <w:tcW w:w="1259" w:type="dxa"/>
            <w:gridSpan w:val="2"/>
            <w:vAlign w:val="center"/>
          </w:tcPr>
          <w:p>
            <w:pPr>
              <w:spacing w:line="0" w:lineRule="atLeast"/>
              <w:jc w:val="center"/>
              <w:rPr>
                <w:szCs w:val="21"/>
              </w:rPr>
            </w:pPr>
            <w:r>
              <w:rPr>
                <w:kern w:val="0"/>
                <w:szCs w:val="21"/>
              </w:rPr>
              <w:t>井筒深度</w:t>
            </w:r>
          </w:p>
        </w:tc>
        <w:tc>
          <w:tcPr>
            <w:tcW w:w="765" w:type="dxa"/>
            <w:vAlign w:val="center"/>
          </w:tcPr>
          <w:p>
            <w:pPr>
              <w:spacing w:line="0" w:lineRule="atLeast"/>
              <w:jc w:val="center"/>
              <w:rPr>
                <w:szCs w:val="21"/>
              </w:rPr>
            </w:pPr>
            <w:r>
              <w:rPr>
                <w:kern w:val="0"/>
                <w:szCs w:val="21"/>
              </w:rPr>
              <w:t>m</w:t>
            </w:r>
          </w:p>
        </w:tc>
        <w:tc>
          <w:tcPr>
            <w:tcW w:w="2241" w:type="dxa"/>
            <w:vAlign w:val="center"/>
          </w:tcPr>
          <w:p>
            <w:pPr>
              <w:spacing w:line="0" w:lineRule="atLeast"/>
              <w:jc w:val="center"/>
              <w:rPr>
                <w:szCs w:val="21"/>
              </w:rPr>
            </w:pPr>
            <w:r>
              <w:rPr>
                <w:kern w:val="0"/>
                <w:szCs w:val="21"/>
              </w:rPr>
              <w:t>728.00</w:t>
            </w:r>
          </w:p>
        </w:tc>
        <w:tc>
          <w:tcPr>
            <w:tcW w:w="1746" w:type="dxa"/>
            <w:vAlign w:val="center"/>
          </w:tcPr>
          <w:p>
            <w:pPr>
              <w:spacing w:line="0" w:lineRule="atLeast"/>
              <w:jc w:val="center"/>
              <w:rPr>
                <w:szCs w:val="21"/>
              </w:rPr>
            </w:pPr>
            <w:r>
              <w:rPr>
                <w:szCs w:val="21"/>
              </w:rPr>
              <w:t>220</w:t>
            </w:r>
          </w:p>
        </w:tc>
        <w:tc>
          <w:tcPr>
            <w:tcW w:w="1549" w:type="dxa"/>
            <w:vAlign w:val="center"/>
          </w:tcPr>
          <w:p>
            <w:pPr>
              <w:spacing w:line="0" w:lineRule="atLeast"/>
              <w:jc w:val="center"/>
              <w:rPr>
                <w:szCs w:val="21"/>
              </w:rPr>
            </w:pPr>
            <w:r>
              <w:rPr>
                <w:szCs w:val="21"/>
              </w:rPr>
              <w:t>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13" w:hRule="atLeast"/>
        </w:trPr>
        <w:tc>
          <w:tcPr>
            <w:tcW w:w="776" w:type="dxa"/>
            <w:vAlign w:val="center"/>
          </w:tcPr>
          <w:p>
            <w:pPr>
              <w:spacing w:line="0" w:lineRule="atLeast"/>
              <w:jc w:val="center"/>
              <w:rPr>
                <w:szCs w:val="21"/>
              </w:rPr>
            </w:pPr>
            <w:r>
              <w:rPr>
                <w:kern w:val="0"/>
                <w:szCs w:val="21"/>
              </w:rPr>
              <w:t>4</w:t>
            </w:r>
          </w:p>
        </w:tc>
        <w:tc>
          <w:tcPr>
            <w:tcW w:w="1259" w:type="dxa"/>
            <w:gridSpan w:val="2"/>
            <w:vAlign w:val="center"/>
          </w:tcPr>
          <w:p>
            <w:pPr>
              <w:spacing w:line="0" w:lineRule="atLeast"/>
              <w:jc w:val="center"/>
              <w:rPr>
                <w:szCs w:val="21"/>
              </w:rPr>
            </w:pPr>
            <w:r>
              <w:rPr>
                <w:kern w:val="0"/>
                <w:szCs w:val="21"/>
              </w:rPr>
              <w:t>提升方位</w:t>
            </w:r>
          </w:p>
        </w:tc>
        <w:tc>
          <w:tcPr>
            <w:tcW w:w="765" w:type="dxa"/>
            <w:vAlign w:val="center"/>
          </w:tcPr>
          <w:p>
            <w:pPr>
              <w:spacing w:line="0" w:lineRule="atLeast"/>
              <w:jc w:val="center"/>
              <w:rPr>
                <w:szCs w:val="21"/>
              </w:rPr>
            </w:pPr>
            <w:r>
              <w:rPr>
                <w:kern w:val="0"/>
                <w:szCs w:val="21"/>
              </w:rPr>
              <w:t>度</w:t>
            </w:r>
          </w:p>
        </w:tc>
        <w:tc>
          <w:tcPr>
            <w:tcW w:w="2241" w:type="dxa"/>
            <w:vAlign w:val="center"/>
          </w:tcPr>
          <w:p>
            <w:pPr>
              <w:spacing w:line="0" w:lineRule="atLeast"/>
              <w:jc w:val="center"/>
              <w:rPr>
                <w:szCs w:val="21"/>
              </w:rPr>
            </w:pPr>
            <w:r>
              <w:rPr>
                <w:kern w:val="0"/>
                <w:szCs w:val="21"/>
              </w:rPr>
              <w:t>294</w:t>
            </w:r>
          </w:p>
        </w:tc>
        <w:tc>
          <w:tcPr>
            <w:tcW w:w="1746" w:type="dxa"/>
            <w:vAlign w:val="center"/>
          </w:tcPr>
          <w:p>
            <w:pPr>
              <w:spacing w:line="0" w:lineRule="atLeast"/>
              <w:jc w:val="center"/>
              <w:rPr>
                <w:szCs w:val="21"/>
              </w:rPr>
            </w:pPr>
          </w:p>
        </w:tc>
        <w:tc>
          <w:tcPr>
            <w:tcW w:w="1549" w:type="dxa"/>
            <w:vAlign w:val="center"/>
          </w:tcPr>
          <w:p>
            <w:pPr>
              <w:spacing w:line="0" w:lineRule="atLeas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exact"/>
        </w:trPr>
        <w:tc>
          <w:tcPr>
            <w:tcW w:w="776" w:type="dxa"/>
            <w:vAlign w:val="center"/>
          </w:tcPr>
          <w:p>
            <w:pPr>
              <w:spacing w:line="0" w:lineRule="atLeast"/>
              <w:jc w:val="center"/>
              <w:rPr>
                <w:szCs w:val="21"/>
              </w:rPr>
            </w:pPr>
            <w:r>
              <w:rPr>
                <w:kern w:val="0"/>
                <w:szCs w:val="21"/>
              </w:rPr>
              <w:t>5</w:t>
            </w:r>
          </w:p>
        </w:tc>
        <w:tc>
          <w:tcPr>
            <w:tcW w:w="1259" w:type="dxa"/>
            <w:gridSpan w:val="2"/>
            <w:vAlign w:val="center"/>
          </w:tcPr>
          <w:p>
            <w:pPr>
              <w:spacing w:line="0" w:lineRule="atLeast"/>
              <w:jc w:val="center"/>
              <w:rPr>
                <w:szCs w:val="21"/>
              </w:rPr>
            </w:pPr>
            <w:r>
              <w:rPr>
                <w:kern w:val="0"/>
                <w:szCs w:val="21"/>
              </w:rPr>
              <w:t>井筒直径</w:t>
            </w:r>
          </w:p>
        </w:tc>
        <w:tc>
          <w:tcPr>
            <w:tcW w:w="765" w:type="dxa"/>
            <w:vAlign w:val="center"/>
          </w:tcPr>
          <w:p>
            <w:pPr>
              <w:spacing w:line="0" w:lineRule="atLeast"/>
              <w:jc w:val="center"/>
              <w:rPr>
                <w:szCs w:val="21"/>
              </w:rPr>
            </w:pPr>
            <w:r>
              <w:rPr>
                <w:kern w:val="0"/>
                <w:szCs w:val="21"/>
              </w:rPr>
              <w:t>m</w:t>
            </w:r>
          </w:p>
        </w:tc>
        <w:tc>
          <w:tcPr>
            <w:tcW w:w="2241" w:type="dxa"/>
            <w:vAlign w:val="center"/>
          </w:tcPr>
          <w:p>
            <w:pPr>
              <w:spacing w:line="0" w:lineRule="atLeast"/>
              <w:jc w:val="center"/>
              <w:rPr>
                <w:kern w:val="0"/>
                <w:szCs w:val="21"/>
              </w:rPr>
            </w:pPr>
            <w:r>
              <w:rPr>
                <w:kern w:val="0"/>
                <w:szCs w:val="21"/>
              </w:rPr>
              <w:t>6.0</w:t>
            </w:r>
          </w:p>
          <w:p>
            <w:pPr>
              <w:spacing w:line="0" w:lineRule="atLeast"/>
              <w:jc w:val="center"/>
              <w:rPr>
                <w:szCs w:val="21"/>
              </w:rPr>
            </w:pPr>
          </w:p>
        </w:tc>
        <w:tc>
          <w:tcPr>
            <w:tcW w:w="1746" w:type="dxa"/>
            <w:vAlign w:val="center"/>
          </w:tcPr>
          <w:p>
            <w:pPr>
              <w:spacing w:line="0" w:lineRule="atLeast"/>
              <w:jc w:val="center"/>
              <w:rPr>
                <w:szCs w:val="21"/>
              </w:rPr>
            </w:pPr>
            <w:r>
              <w:rPr>
                <w:kern w:val="0"/>
                <w:szCs w:val="21"/>
              </w:rPr>
              <w:t>2.6</w:t>
            </w:r>
          </w:p>
        </w:tc>
        <w:tc>
          <w:tcPr>
            <w:tcW w:w="1549" w:type="dxa"/>
            <w:vAlign w:val="center"/>
          </w:tcPr>
          <w:p>
            <w:pPr>
              <w:spacing w:line="0" w:lineRule="atLeast"/>
              <w:jc w:val="center"/>
              <w:rPr>
                <w:szCs w:val="21"/>
              </w:rPr>
            </w:pPr>
            <w:r>
              <w:rPr>
                <w:kern w:val="0"/>
                <w:szCs w:val="21"/>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99" w:hRule="atLeast"/>
        </w:trPr>
        <w:tc>
          <w:tcPr>
            <w:tcW w:w="776" w:type="dxa"/>
            <w:vAlign w:val="center"/>
          </w:tcPr>
          <w:p>
            <w:pPr>
              <w:spacing w:line="0" w:lineRule="atLeast"/>
              <w:jc w:val="center"/>
              <w:rPr>
                <w:szCs w:val="21"/>
              </w:rPr>
            </w:pPr>
            <w:r>
              <w:rPr>
                <w:kern w:val="0"/>
                <w:szCs w:val="21"/>
              </w:rPr>
              <w:t>6</w:t>
            </w:r>
          </w:p>
        </w:tc>
        <w:tc>
          <w:tcPr>
            <w:tcW w:w="1259" w:type="dxa"/>
            <w:gridSpan w:val="2"/>
            <w:vAlign w:val="center"/>
          </w:tcPr>
          <w:p>
            <w:pPr>
              <w:spacing w:line="0" w:lineRule="atLeast"/>
              <w:jc w:val="center"/>
              <w:rPr>
                <w:szCs w:val="21"/>
              </w:rPr>
            </w:pPr>
            <w:r>
              <w:rPr>
                <w:kern w:val="0"/>
                <w:szCs w:val="21"/>
              </w:rPr>
              <w:t>井壁厚度</w:t>
            </w:r>
          </w:p>
        </w:tc>
        <w:tc>
          <w:tcPr>
            <w:tcW w:w="765" w:type="dxa"/>
            <w:vAlign w:val="center"/>
          </w:tcPr>
          <w:p>
            <w:pPr>
              <w:spacing w:line="0" w:lineRule="atLeast"/>
              <w:jc w:val="center"/>
              <w:rPr>
                <w:szCs w:val="21"/>
              </w:rPr>
            </w:pPr>
            <w:r>
              <w:rPr>
                <w:kern w:val="0"/>
                <w:szCs w:val="21"/>
              </w:rPr>
              <w:t>mm</w:t>
            </w:r>
          </w:p>
        </w:tc>
        <w:tc>
          <w:tcPr>
            <w:tcW w:w="2241" w:type="dxa"/>
            <w:vAlign w:val="center"/>
          </w:tcPr>
          <w:p>
            <w:pPr>
              <w:spacing w:line="0" w:lineRule="atLeast"/>
              <w:jc w:val="center"/>
              <w:rPr>
                <w:szCs w:val="21"/>
              </w:rPr>
            </w:pPr>
            <w:r>
              <w:rPr>
                <w:kern w:val="0"/>
                <w:szCs w:val="21"/>
              </w:rPr>
              <w:t>350</w:t>
            </w:r>
          </w:p>
        </w:tc>
        <w:tc>
          <w:tcPr>
            <w:tcW w:w="1746" w:type="dxa"/>
            <w:vAlign w:val="center"/>
          </w:tcPr>
          <w:p>
            <w:pPr>
              <w:spacing w:line="0" w:lineRule="atLeast"/>
              <w:jc w:val="center"/>
              <w:rPr>
                <w:szCs w:val="21"/>
              </w:rPr>
            </w:pPr>
            <w:r>
              <w:rPr>
                <w:kern w:val="0"/>
                <w:szCs w:val="21"/>
              </w:rPr>
              <w:t>350</w:t>
            </w:r>
          </w:p>
        </w:tc>
        <w:tc>
          <w:tcPr>
            <w:tcW w:w="1549" w:type="dxa"/>
            <w:vAlign w:val="center"/>
          </w:tcPr>
          <w:p>
            <w:pPr>
              <w:spacing w:line="0" w:lineRule="atLeast"/>
              <w:jc w:val="center"/>
              <w:rPr>
                <w:szCs w:val="21"/>
              </w:rPr>
            </w:pPr>
            <w:r>
              <w:rPr>
                <w:kern w:val="0"/>
                <w:szCs w:val="21"/>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205" w:hRule="atLeast"/>
        </w:trPr>
        <w:tc>
          <w:tcPr>
            <w:tcW w:w="776" w:type="dxa"/>
            <w:vAlign w:val="center"/>
          </w:tcPr>
          <w:p>
            <w:pPr>
              <w:spacing w:line="0" w:lineRule="atLeast"/>
              <w:jc w:val="center"/>
              <w:rPr>
                <w:kern w:val="0"/>
                <w:szCs w:val="21"/>
              </w:rPr>
            </w:pPr>
            <w:r>
              <w:rPr>
                <w:kern w:val="0"/>
                <w:szCs w:val="21"/>
              </w:rPr>
              <w:t>7</w:t>
            </w:r>
          </w:p>
        </w:tc>
        <w:tc>
          <w:tcPr>
            <w:tcW w:w="1259" w:type="dxa"/>
            <w:gridSpan w:val="2"/>
            <w:vAlign w:val="center"/>
          </w:tcPr>
          <w:p>
            <w:pPr>
              <w:spacing w:line="0" w:lineRule="atLeast"/>
              <w:jc w:val="center"/>
              <w:rPr>
                <w:kern w:val="0"/>
                <w:szCs w:val="21"/>
              </w:rPr>
            </w:pPr>
            <w:r>
              <w:rPr>
                <w:kern w:val="0"/>
                <w:szCs w:val="21"/>
              </w:rPr>
              <w:t>井筒装备</w:t>
            </w:r>
          </w:p>
        </w:tc>
        <w:tc>
          <w:tcPr>
            <w:tcW w:w="765" w:type="dxa"/>
            <w:vAlign w:val="center"/>
          </w:tcPr>
          <w:p>
            <w:pPr>
              <w:spacing w:line="0" w:lineRule="atLeast"/>
              <w:jc w:val="center"/>
              <w:rPr>
                <w:szCs w:val="21"/>
              </w:rPr>
            </w:pPr>
          </w:p>
        </w:tc>
        <w:tc>
          <w:tcPr>
            <w:tcW w:w="2241" w:type="dxa"/>
            <w:vAlign w:val="center"/>
          </w:tcPr>
          <w:p>
            <w:pPr>
              <w:spacing w:line="0" w:lineRule="atLeast"/>
              <w:jc w:val="center"/>
              <w:rPr>
                <w:kern w:val="0"/>
                <w:szCs w:val="21"/>
              </w:rPr>
            </w:pPr>
            <w:r>
              <w:rPr>
                <w:kern w:val="0"/>
                <w:szCs w:val="21"/>
              </w:rPr>
              <w:t>多绳磨擦提升机</w:t>
            </w:r>
          </w:p>
          <w:p>
            <w:pPr>
              <w:spacing w:line="0" w:lineRule="atLeast"/>
              <w:jc w:val="center"/>
              <w:rPr>
                <w:kern w:val="0"/>
                <w:szCs w:val="21"/>
              </w:rPr>
            </w:pPr>
            <w:r>
              <w:rPr>
                <w:kern w:val="0"/>
                <w:szCs w:val="21"/>
              </w:rPr>
              <w:t>4#双层单罐（带平衡锤）；井筒内设梯子间，并安装梯子。</w:t>
            </w:r>
          </w:p>
        </w:tc>
        <w:tc>
          <w:tcPr>
            <w:tcW w:w="1746" w:type="dxa"/>
            <w:vAlign w:val="center"/>
          </w:tcPr>
          <w:p>
            <w:pPr>
              <w:spacing w:line="0" w:lineRule="atLeast"/>
              <w:jc w:val="center"/>
              <w:rPr>
                <w:szCs w:val="21"/>
              </w:rPr>
            </w:pPr>
            <w:r>
              <w:rPr>
                <w:kern w:val="0"/>
                <w:szCs w:val="21"/>
              </w:rPr>
              <w:t>井筒内设梯子间，并安装梯子。</w:t>
            </w:r>
          </w:p>
        </w:tc>
        <w:tc>
          <w:tcPr>
            <w:tcW w:w="1549" w:type="dxa"/>
            <w:vAlign w:val="center"/>
          </w:tcPr>
          <w:p>
            <w:pPr>
              <w:spacing w:line="0" w:lineRule="atLeast"/>
              <w:jc w:val="center"/>
              <w:rPr>
                <w:szCs w:val="21"/>
              </w:rPr>
            </w:pPr>
            <w:r>
              <w:rPr>
                <w:kern w:val="0"/>
                <w:szCs w:val="21"/>
              </w:rPr>
              <w:t>井筒内设梯子间，并安装梯子。</w:t>
            </w:r>
          </w:p>
        </w:tc>
      </w:tr>
    </w:tbl>
    <w:p>
      <w:pPr>
        <w:pStyle w:val="5"/>
      </w:pPr>
      <w:bookmarkStart w:id="277" w:name="_Toc320561066"/>
      <w:r>
        <w:t>2.2.2.7矿井通风</w:t>
      </w:r>
      <w:bookmarkEnd w:id="277"/>
    </w:p>
    <w:p>
      <w:pPr>
        <w:pStyle w:val="156"/>
        <w:rPr>
          <w:rFonts w:ascii="Times New Roman" w:hAnsi="Times New Roman" w:eastAsia="宋体" w:cs="Times New Roman"/>
        </w:rPr>
      </w:pPr>
      <w:r>
        <w:rPr>
          <w:rFonts w:ascii="Times New Roman" w:hAnsi="Times New Roman" w:eastAsia="宋体" w:cs="Times New Roman"/>
        </w:rPr>
        <w:t>采用机械抽出式通风方式，中央对角式通风系统。新鲜风流从主竖井进入，通过中段运输巷、进入各中段采场、掘进工作面，洗刷工作面后的污风经中段通风行人天井至900m回风巷道，把污风抽出地表。</w:t>
      </w:r>
    </w:p>
    <w:p>
      <w:pPr>
        <w:pStyle w:val="156"/>
        <w:rPr>
          <w:rFonts w:ascii="Times New Roman" w:hAnsi="Times New Roman" w:eastAsia="宋体" w:cs="Times New Roman"/>
        </w:rPr>
      </w:pPr>
      <w:r>
        <w:rPr>
          <w:rFonts w:ascii="Times New Roman" w:hAnsi="Times New Roman" w:eastAsia="宋体" w:cs="Times New Roman"/>
        </w:rPr>
        <w:t>选用两台型号为FBCZ54-6-No19的主扇，安装在东风井。电机功率132kw，风机风量为25.4-90.5 m</w:t>
      </w:r>
      <w:r>
        <w:rPr>
          <w:rFonts w:ascii="Times New Roman" w:hAnsi="Times New Roman" w:eastAsia="宋体" w:cs="Times New Roman"/>
          <w:vertAlign w:val="superscript"/>
        </w:rPr>
        <w:t>3</w:t>
      </w:r>
      <w:r>
        <w:rPr>
          <w:rFonts w:ascii="Times New Roman" w:hAnsi="Times New Roman" w:eastAsia="宋体" w:cs="Times New Roman"/>
        </w:rPr>
        <w:t>/s，全压为401-1410Pa。</w:t>
      </w:r>
    </w:p>
    <w:p>
      <w:pPr>
        <w:pStyle w:val="156"/>
        <w:rPr>
          <w:rFonts w:ascii="Times New Roman" w:hAnsi="Times New Roman" w:eastAsia="宋体" w:cs="Times New Roman"/>
        </w:rPr>
      </w:pPr>
      <w:r>
        <w:rPr>
          <w:rFonts w:ascii="Times New Roman" w:hAnsi="Times New Roman" w:eastAsia="宋体" w:cs="Times New Roman"/>
        </w:rPr>
        <w:t>在独头工作面和通风困难部位，采用局部扇风机加风筒辅助通风。</w:t>
      </w:r>
    </w:p>
    <w:p>
      <w:pPr>
        <w:pStyle w:val="5"/>
      </w:pPr>
      <w:r>
        <w:t>2.2.2.8开采工艺</w:t>
      </w:r>
    </w:p>
    <w:p>
      <w:pPr>
        <w:spacing w:line="360" w:lineRule="auto"/>
        <w:ind w:firstLine="480" w:firstLineChars="200"/>
        <w:rPr>
          <w:sz w:val="24"/>
        </w:rPr>
      </w:pPr>
      <w:r>
        <w:rPr>
          <w:sz w:val="24"/>
        </w:rPr>
        <w:t>矿体厚度较大，均采用无底柱分段崩落法。</w:t>
      </w:r>
    </w:p>
    <w:p>
      <w:pPr>
        <w:spacing w:line="360" w:lineRule="auto"/>
        <w:ind w:firstLine="480" w:firstLineChars="200"/>
        <w:rPr>
          <w:sz w:val="24"/>
        </w:rPr>
      </w:pPr>
      <w:r>
        <w:rPr>
          <w:sz w:val="24"/>
        </w:rPr>
        <w:t>1、采切布置</w:t>
      </w:r>
    </w:p>
    <w:p>
      <w:pPr>
        <w:spacing w:line="360" w:lineRule="auto"/>
        <w:ind w:firstLine="480" w:firstLineChars="200"/>
        <w:rPr>
          <w:sz w:val="24"/>
        </w:rPr>
      </w:pPr>
      <w:r>
        <w:rPr>
          <w:sz w:val="24"/>
        </w:rPr>
        <w:t>在每个矿块下盘掘进一条矿石溜井、废石溜井和人行通风天井，分段平巷通过联络道分别与溜井、天井和无轨斜坡道相通。在分段平巷内垂直矿体走向掘进回采进路，再在进路端部拉切割平巷和切割天井，作为回采崩矿的自由面，各分段间的回采进路在垂直空间上形成菱形交错布置。</w:t>
      </w:r>
    </w:p>
    <w:p>
      <w:pPr>
        <w:spacing w:line="360" w:lineRule="auto"/>
        <w:ind w:firstLine="480" w:firstLineChars="200"/>
        <w:rPr>
          <w:sz w:val="24"/>
        </w:rPr>
      </w:pPr>
      <w:r>
        <w:rPr>
          <w:sz w:val="24"/>
        </w:rPr>
        <w:t>2、回采工艺</w:t>
      </w:r>
    </w:p>
    <w:p>
      <w:pPr>
        <w:spacing w:line="360" w:lineRule="auto"/>
        <w:ind w:firstLine="480" w:firstLineChars="200"/>
        <w:rPr>
          <w:sz w:val="24"/>
        </w:rPr>
      </w:pPr>
      <w:r>
        <w:rPr>
          <w:sz w:val="24"/>
        </w:rPr>
        <w:t>凿岩用YG-80导轨式凿岩机在回采进路中打垂直向上扇形中深孔，炮孔排距2m，孔深最大10m，装药器装药、导爆管、起爆器远距离起爆，电动铲运机出矿。</w:t>
      </w:r>
    </w:p>
    <w:p>
      <w:pPr>
        <w:spacing w:line="360" w:lineRule="auto"/>
        <w:ind w:firstLine="480" w:firstLineChars="200"/>
        <w:rPr>
          <w:sz w:val="24"/>
        </w:rPr>
      </w:pPr>
      <w:r>
        <w:rPr>
          <w:sz w:val="24"/>
        </w:rPr>
        <w:t>3、矿块生产能力及同时工作系数</w:t>
      </w:r>
    </w:p>
    <w:p>
      <w:pPr>
        <w:spacing w:line="360" w:lineRule="auto"/>
        <w:ind w:firstLine="480" w:firstLineChars="200"/>
        <w:rPr>
          <w:sz w:val="24"/>
        </w:rPr>
      </w:pPr>
      <w:r>
        <w:rPr>
          <w:sz w:val="24"/>
        </w:rPr>
        <w:t>矿块生产能力根据出矿设备能力而定，TWD-2铲运机能力为12万吨/台年，均衡各生产环节后设计确定矿块生产能力为210吨/天、50万吨/年，同时出矿矿块数为8个，为保证生产正常持续进行与三级矿量均衡，需8个工作面掘进。</w:t>
      </w:r>
    </w:p>
    <w:p>
      <w:pPr>
        <w:pStyle w:val="107"/>
      </w:pPr>
      <w:r>
        <w:rPr>
          <w:rFonts w:eastAsia="宋体"/>
        </w:rPr>
        <w:t>2.2.2.9井下排水</w:t>
      </w:r>
    </w:p>
    <w:p>
      <w:pPr>
        <w:spacing w:line="360" w:lineRule="auto"/>
        <w:ind w:firstLine="600" w:firstLineChars="250"/>
        <w:rPr>
          <w:sz w:val="24"/>
        </w:rPr>
      </w:pPr>
      <w:r>
        <w:rPr>
          <w:sz w:val="24"/>
        </w:rPr>
        <w:t>矿坑内涌水采用机械排水方式。设计采用分段接力排水。在850m中段、700m中段、600m中段、500m中段、400m中段分别设水泵房，以上中段水泵房分别设置D280-43×8型水泵3台，共15台水泵；排水管选用Φ377×10型无缝钢管2根。接力把矿坑水沿主竖井直接排至地表。各中段水仓均由水仓、配水巷、水泵房、变电硐室、管子道、排水设备等组成。</w:t>
      </w:r>
    </w:p>
    <w:p>
      <w:pPr>
        <w:pStyle w:val="5"/>
      </w:pPr>
      <w:r>
        <w:t>2.2.2.10坑内运输</w:t>
      </w:r>
    </w:p>
    <w:p>
      <w:pPr>
        <w:pStyle w:val="156"/>
        <w:rPr>
          <w:rFonts w:ascii="Times New Roman" w:hAnsi="Times New Roman" w:eastAsia="宋体" w:cs="Times New Roman"/>
        </w:rPr>
      </w:pPr>
      <w:r>
        <w:rPr>
          <w:rFonts w:ascii="Times New Roman" w:hAnsi="Times New Roman" w:eastAsia="宋体" w:cs="Times New Roman"/>
        </w:rPr>
        <w:t>1、运输方案</w:t>
      </w:r>
    </w:p>
    <w:p>
      <w:pPr>
        <w:pStyle w:val="156"/>
        <w:rPr>
          <w:rFonts w:ascii="Times New Roman" w:hAnsi="Times New Roman" w:eastAsia="宋体" w:cs="Times New Roman"/>
        </w:rPr>
      </w:pPr>
      <w:r>
        <w:rPr>
          <w:rFonts w:ascii="Times New Roman" w:hAnsi="Times New Roman" w:eastAsia="宋体" w:cs="Times New Roman"/>
        </w:rPr>
        <w:t>主提升系统将矿石车提升至地表，并运至选矿厂原矿仓。各中段废石亦由振动放矿机装入废石列车，由架线式电机牵引至井底车场，由提升罐笼将废石车提升至地表，运往废石场。人员由提升罐笼下放后，各中段均由平巷人车运至各自工作点。设备、材料等经提升罐笼下放到各中段后，均由电机车运至各作业点。</w:t>
      </w:r>
    </w:p>
    <w:p>
      <w:pPr>
        <w:pStyle w:val="156"/>
        <w:rPr>
          <w:rFonts w:ascii="Times New Roman" w:hAnsi="Times New Roman" w:eastAsia="宋体" w:cs="Times New Roman"/>
        </w:rPr>
      </w:pPr>
      <w:r>
        <w:rPr>
          <w:rFonts w:ascii="Times New Roman" w:hAnsi="Times New Roman" w:eastAsia="宋体" w:cs="Times New Roman"/>
        </w:rPr>
        <w:t>2、运输设备</w:t>
      </w:r>
    </w:p>
    <w:p>
      <w:pPr>
        <w:spacing w:line="360" w:lineRule="auto"/>
        <w:ind w:firstLine="480" w:firstLineChars="200"/>
        <w:jc w:val="left"/>
        <w:rPr>
          <w:sz w:val="24"/>
        </w:rPr>
      </w:pPr>
      <w:r>
        <w:rPr>
          <w:sz w:val="24"/>
        </w:rPr>
        <w:t>坑内采用ZK10-6/250-3型架线式电机车牵引12辆固定侧式矿车运送矿石，采用ZK10-6/250-3型架线式电机车牵引13辆侧卸式矿车运送采场废石。</w:t>
      </w:r>
    </w:p>
    <w:p>
      <w:pPr>
        <w:pStyle w:val="156"/>
        <w:rPr>
          <w:rFonts w:ascii="Times New Roman" w:hAnsi="Times New Roman" w:eastAsia="宋体" w:cs="Times New Roman"/>
        </w:rPr>
      </w:pPr>
      <w:r>
        <w:rPr>
          <w:rFonts w:ascii="Times New Roman" w:hAnsi="Times New Roman" w:eastAsia="宋体" w:cs="Times New Roman"/>
        </w:rPr>
        <w:t>3、运输线路及辅助设施</w:t>
      </w:r>
    </w:p>
    <w:p>
      <w:pPr>
        <w:pStyle w:val="156"/>
        <w:rPr>
          <w:rFonts w:ascii="Times New Roman" w:hAnsi="Times New Roman" w:eastAsia="宋体" w:cs="Times New Roman"/>
        </w:rPr>
      </w:pPr>
      <w:r>
        <w:rPr>
          <w:rFonts w:ascii="Times New Roman" w:hAnsi="Times New Roman" w:eastAsia="宋体" w:cs="Times New Roman"/>
        </w:rPr>
        <w:t>各生产中段铺轨均采用单轨加铺车道布置，并在重车运行方向设置4%的下坡，线路采用600mm轨距，22kg/m低合金轻轨。</w:t>
      </w:r>
    </w:p>
    <w:p>
      <w:pPr>
        <w:pStyle w:val="156"/>
        <w:rPr>
          <w:rFonts w:ascii="Times New Roman" w:hAnsi="Times New Roman" w:eastAsia="宋体" w:cs="Times New Roman"/>
        </w:rPr>
      </w:pPr>
      <w:r>
        <w:rPr>
          <w:rFonts w:ascii="Times New Roman" w:hAnsi="Times New Roman" w:eastAsia="宋体" w:cs="Times New Roman"/>
        </w:rPr>
        <w:t>各中段矿石及废石装车，均采用Fzc-3.1/1.4-5.5型振动放矿机。</w:t>
      </w:r>
    </w:p>
    <w:p>
      <w:pPr>
        <w:pStyle w:val="5"/>
      </w:pPr>
      <w:bookmarkStart w:id="278" w:name="_Toc320561076"/>
      <w:r>
        <w:t>2.2.6.11矿井提升</w:t>
      </w:r>
      <w:bookmarkEnd w:id="278"/>
    </w:p>
    <w:p>
      <w:pPr>
        <w:pStyle w:val="156"/>
        <w:rPr>
          <w:rFonts w:ascii="Times New Roman" w:hAnsi="Times New Roman" w:eastAsia="宋体" w:cs="Times New Roman"/>
        </w:rPr>
      </w:pPr>
      <w:r>
        <w:rPr>
          <w:rFonts w:ascii="Times New Roman" w:hAnsi="Times New Roman" w:eastAsia="宋体" w:cs="Times New Roman"/>
        </w:rPr>
        <w:t>东斜井选用JKMD3.25×4型多绳磨擦提升机，配用Z560-2A型、820千瓦电动机1台；罐笼采用4#双层单罐（带平衡锤）。提升速度为10.95m/s。负责矿石、废石的提升及人员、材料、设备的升降。</w:t>
      </w:r>
    </w:p>
    <w:p>
      <w:pPr>
        <w:pStyle w:val="156"/>
        <w:rPr>
          <w:rFonts w:ascii="Times New Roman" w:hAnsi="Times New Roman" w:eastAsia="宋体" w:cs="Times New Roman"/>
        </w:rPr>
      </w:pPr>
    </w:p>
    <w:p>
      <w:pPr>
        <w:pStyle w:val="5"/>
      </w:pPr>
      <w:r>
        <w:t>2.2.2.11坑内供水</w:t>
      </w:r>
    </w:p>
    <w:p>
      <w:pPr>
        <w:pStyle w:val="156"/>
        <w:rPr>
          <w:rFonts w:ascii="Times New Roman" w:hAnsi="Times New Roman" w:eastAsia="宋体" w:cs="Times New Roman"/>
        </w:rPr>
      </w:pPr>
      <w:r>
        <w:rPr>
          <w:rFonts w:ascii="Times New Roman" w:hAnsi="Times New Roman" w:eastAsia="宋体" w:cs="Times New Roman"/>
        </w:rPr>
        <w:t>坑内供水的目的是防尘。坑下产生粉尘较多的场所是在凿岩、爆破以及矿岩转运处，必须实施湿式凿岩，做到爆破和转运处定时洒水，以及主要巷道定期清洗。在主竖井井口附近，建高位水池，容积500m</w:t>
      </w:r>
      <w:r>
        <w:rPr>
          <w:rFonts w:ascii="Times New Roman" w:hAnsi="Times New Roman" w:eastAsia="宋体" w:cs="Times New Roman"/>
          <w:vertAlign w:val="superscript"/>
        </w:rPr>
        <w:t>3</w:t>
      </w:r>
      <w:r>
        <w:rPr>
          <w:rFonts w:ascii="Times New Roman" w:hAnsi="Times New Roman" w:eastAsia="宋体" w:cs="Times New Roman"/>
        </w:rPr>
        <w:t>，以供水管网型式集中向坑内各用水点直接供水。</w:t>
      </w:r>
    </w:p>
    <w:p>
      <w:pPr>
        <w:pStyle w:val="5"/>
      </w:pPr>
      <w:bookmarkStart w:id="279" w:name="_Toc320561079"/>
      <w:r>
        <w:t>2.2.2.12矿山排水</w:t>
      </w:r>
      <w:bookmarkEnd w:id="279"/>
    </w:p>
    <w:p>
      <w:pPr>
        <w:pStyle w:val="107"/>
      </w:pPr>
      <w:r>
        <w:t xml:space="preserve">    矿坑内涌水采用机械排水方式。设计采用分段接力排水。在850m中段、700m中段、600m中段、500m中段、400m中段分别设水泵房，以上中段水泵房分别设置D280-43×8型水泵3台，共15台水泵；排水管选用Φ377×10型无缝钢管2根。接力把矿坑水沿原采矿工程主竖井直接排至地表。各中段水仓均由水仓、配水巷、水泵房、变电硐室、管子道、排水设备等组成。</w:t>
      </w:r>
    </w:p>
    <w:p>
      <w:pPr>
        <w:pStyle w:val="5"/>
        <w:rPr>
          <w:rFonts w:eastAsia="宋体"/>
        </w:rPr>
      </w:pPr>
      <w:r>
        <w:t>2.2.2.13扩建采矿工程</w:t>
      </w:r>
      <w:r>
        <w:rPr>
          <w:rFonts w:eastAsia="宋体"/>
        </w:rPr>
        <w:t>组成</w:t>
      </w:r>
    </w:p>
    <w:p>
      <w:pPr>
        <w:jc w:val="left"/>
        <w:rPr>
          <w:rFonts w:eastAsia="黑体"/>
          <w:sz w:val="22"/>
          <w:szCs w:val="22"/>
        </w:rPr>
      </w:pPr>
      <w:r>
        <w:rPr>
          <w:b/>
          <w:szCs w:val="21"/>
        </w:rPr>
        <w:t xml:space="preserve">    </w:t>
      </w:r>
      <w:r>
        <w:rPr>
          <w:rFonts w:eastAsia="黑体"/>
          <w:sz w:val="22"/>
          <w:szCs w:val="22"/>
        </w:rPr>
        <w:t xml:space="preserve"> 表2.2-8              采矿工程改扩前后项目组成一览表</w:t>
      </w:r>
    </w:p>
    <w:tbl>
      <w:tblPr>
        <w:tblStyle w:val="54"/>
        <w:tblW w:w="833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255"/>
        <w:gridCol w:w="385"/>
        <w:gridCol w:w="744"/>
        <w:gridCol w:w="1325"/>
        <w:gridCol w:w="1914"/>
        <w:gridCol w:w="2052"/>
        <w:gridCol w:w="16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tblHeader/>
          <w:jc w:val="center"/>
        </w:trPr>
        <w:tc>
          <w:tcPr>
            <w:tcW w:w="1384" w:type="dxa"/>
            <w:gridSpan w:val="3"/>
            <w:vAlign w:val="center"/>
          </w:tcPr>
          <w:p>
            <w:pPr>
              <w:spacing w:line="240" w:lineRule="exact"/>
              <w:jc w:val="center"/>
              <w:rPr>
                <w:szCs w:val="21"/>
              </w:rPr>
            </w:pPr>
            <w:r>
              <w:rPr>
                <w:szCs w:val="21"/>
              </w:rPr>
              <w:t>工程类别</w:t>
            </w:r>
          </w:p>
        </w:tc>
        <w:tc>
          <w:tcPr>
            <w:tcW w:w="1325" w:type="dxa"/>
            <w:vAlign w:val="center"/>
          </w:tcPr>
          <w:p>
            <w:pPr>
              <w:spacing w:line="240" w:lineRule="exact"/>
              <w:jc w:val="center"/>
              <w:rPr>
                <w:szCs w:val="21"/>
              </w:rPr>
            </w:pPr>
            <w:r>
              <w:rPr>
                <w:szCs w:val="21"/>
              </w:rPr>
              <w:t>原有工程现状</w:t>
            </w:r>
          </w:p>
        </w:tc>
        <w:tc>
          <w:tcPr>
            <w:tcW w:w="1914" w:type="dxa"/>
            <w:vAlign w:val="center"/>
          </w:tcPr>
          <w:p>
            <w:pPr>
              <w:spacing w:line="240" w:lineRule="exact"/>
              <w:jc w:val="center"/>
              <w:rPr>
                <w:szCs w:val="21"/>
              </w:rPr>
            </w:pPr>
            <w:r>
              <w:rPr>
                <w:szCs w:val="21"/>
              </w:rPr>
              <w:t>扩建工程环评批复内容</w:t>
            </w:r>
          </w:p>
        </w:tc>
        <w:tc>
          <w:tcPr>
            <w:tcW w:w="2052" w:type="dxa"/>
            <w:vAlign w:val="center"/>
          </w:tcPr>
          <w:p>
            <w:pPr>
              <w:spacing w:line="240" w:lineRule="exact"/>
              <w:jc w:val="center"/>
              <w:rPr>
                <w:szCs w:val="21"/>
              </w:rPr>
            </w:pPr>
            <w:r>
              <w:rPr>
                <w:szCs w:val="21"/>
              </w:rPr>
              <w:t>实际建设内容</w:t>
            </w:r>
          </w:p>
        </w:tc>
        <w:tc>
          <w:tcPr>
            <w:tcW w:w="1661" w:type="dxa"/>
            <w:vAlign w:val="center"/>
          </w:tcPr>
          <w:p>
            <w:pPr>
              <w:spacing w:line="240" w:lineRule="exact"/>
              <w:jc w:val="center"/>
              <w:rPr>
                <w:szCs w:val="21"/>
              </w:rPr>
            </w:pPr>
            <w:r>
              <w:rPr>
                <w:szCs w:val="21"/>
              </w:rPr>
              <w:t>变动情况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restart"/>
            <w:vAlign w:val="center"/>
          </w:tcPr>
          <w:p>
            <w:pPr>
              <w:spacing w:line="240" w:lineRule="exact"/>
              <w:rPr>
                <w:szCs w:val="21"/>
              </w:rPr>
            </w:pPr>
            <w:r>
              <w:rPr>
                <w:szCs w:val="21"/>
              </w:rPr>
              <w:t>主</w:t>
            </w:r>
          </w:p>
          <w:p>
            <w:pPr>
              <w:spacing w:line="240" w:lineRule="exact"/>
              <w:rPr>
                <w:szCs w:val="21"/>
              </w:rPr>
            </w:pPr>
            <w:r>
              <w:rPr>
                <w:szCs w:val="21"/>
              </w:rPr>
              <w:t>体</w:t>
            </w:r>
          </w:p>
          <w:p>
            <w:pPr>
              <w:spacing w:line="240" w:lineRule="exact"/>
              <w:rPr>
                <w:szCs w:val="21"/>
              </w:rPr>
            </w:pPr>
            <w:r>
              <w:rPr>
                <w:szCs w:val="21"/>
              </w:rPr>
              <w:t>工</w:t>
            </w:r>
          </w:p>
          <w:p>
            <w:pPr>
              <w:spacing w:line="240" w:lineRule="exact"/>
              <w:rPr>
                <w:szCs w:val="21"/>
              </w:rPr>
            </w:pPr>
            <w:r>
              <w:rPr>
                <w:szCs w:val="21"/>
              </w:rPr>
              <w:t>程</w:t>
            </w:r>
          </w:p>
        </w:tc>
        <w:tc>
          <w:tcPr>
            <w:tcW w:w="385" w:type="dxa"/>
            <w:vAlign w:val="center"/>
          </w:tcPr>
          <w:p>
            <w:pPr>
              <w:spacing w:line="240" w:lineRule="exact"/>
              <w:rPr>
                <w:szCs w:val="21"/>
              </w:rPr>
            </w:pPr>
            <w:r>
              <w:rPr>
                <w:szCs w:val="21"/>
              </w:rPr>
              <w:t>井筒</w:t>
            </w:r>
          </w:p>
          <w:p>
            <w:pPr>
              <w:spacing w:line="240" w:lineRule="exact"/>
              <w:rPr>
                <w:szCs w:val="21"/>
              </w:rPr>
            </w:pPr>
            <w:r>
              <w:rPr>
                <w:szCs w:val="21"/>
              </w:rPr>
              <w:t>工程</w:t>
            </w:r>
          </w:p>
        </w:tc>
        <w:tc>
          <w:tcPr>
            <w:tcW w:w="744" w:type="dxa"/>
            <w:vAlign w:val="center"/>
          </w:tcPr>
          <w:p>
            <w:pPr>
              <w:spacing w:line="240" w:lineRule="exact"/>
              <w:rPr>
                <w:szCs w:val="21"/>
              </w:rPr>
            </w:pPr>
            <w:r>
              <w:rPr>
                <w:szCs w:val="21"/>
              </w:rPr>
              <w:t>竖井</w:t>
            </w:r>
          </w:p>
        </w:tc>
        <w:tc>
          <w:tcPr>
            <w:tcW w:w="1325" w:type="dxa"/>
            <w:vAlign w:val="center"/>
          </w:tcPr>
          <w:p>
            <w:pPr>
              <w:spacing w:line="240" w:lineRule="exact"/>
              <w:rPr>
                <w:szCs w:val="21"/>
              </w:rPr>
            </w:pPr>
            <w:r>
              <w:rPr>
                <w:szCs w:val="21"/>
              </w:rPr>
              <w:t>一个主立井</w:t>
            </w:r>
          </w:p>
          <w:p>
            <w:pPr>
              <w:spacing w:line="240" w:lineRule="exact"/>
              <w:rPr>
                <w:szCs w:val="21"/>
              </w:rPr>
            </w:pPr>
            <w:r>
              <w:rPr>
                <w:szCs w:val="21"/>
              </w:rPr>
              <w:t>一个东回风斜井</w:t>
            </w:r>
          </w:p>
          <w:p>
            <w:pPr>
              <w:spacing w:line="240" w:lineRule="exact"/>
              <w:rPr>
                <w:szCs w:val="21"/>
              </w:rPr>
            </w:pPr>
            <w:r>
              <w:rPr>
                <w:szCs w:val="21"/>
              </w:rPr>
              <w:t>一个北风井</w:t>
            </w:r>
          </w:p>
        </w:tc>
        <w:tc>
          <w:tcPr>
            <w:tcW w:w="1914" w:type="dxa"/>
            <w:vAlign w:val="center"/>
          </w:tcPr>
          <w:p>
            <w:pPr>
              <w:spacing w:line="240" w:lineRule="exact"/>
              <w:rPr>
                <w:szCs w:val="21"/>
              </w:rPr>
            </w:pPr>
            <w:r>
              <w:rPr>
                <w:szCs w:val="21"/>
              </w:rPr>
              <w:t>一个主立井（原有）</w:t>
            </w:r>
          </w:p>
          <w:p>
            <w:pPr>
              <w:spacing w:line="240" w:lineRule="exact"/>
              <w:rPr>
                <w:szCs w:val="21"/>
              </w:rPr>
            </w:pPr>
            <w:r>
              <w:rPr>
                <w:szCs w:val="21"/>
              </w:rPr>
              <w:t>一个东斜井（原有）</w:t>
            </w:r>
          </w:p>
          <w:p>
            <w:pPr>
              <w:spacing w:line="240" w:lineRule="exact"/>
              <w:rPr>
                <w:szCs w:val="21"/>
              </w:rPr>
            </w:pPr>
            <w:r>
              <w:rPr>
                <w:szCs w:val="21"/>
              </w:rPr>
              <w:t>一个北风井（原有）</w:t>
            </w:r>
          </w:p>
          <w:p>
            <w:pPr>
              <w:spacing w:line="240" w:lineRule="exact"/>
              <w:rPr>
                <w:szCs w:val="21"/>
              </w:rPr>
            </w:pPr>
            <w:r>
              <w:rPr>
                <w:szCs w:val="21"/>
              </w:rPr>
              <w:t>一个南风井（新建）</w:t>
            </w:r>
          </w:p>
        </w:tc>
        <w:tc>
          <w:tcPr>
            <w:tcW w:w="2052" w:type="dxa"/>
            <w:vAlign w:val="center"/>
          </w:tcPr>
          <w:p>
            <w:pPr>
              <w:spacing w:line="240" w:lineRule="exact"/>
              <w:rPr>
                <w:szCs w:val="21"/>
              </w:rPr>
            </w:pPr>
            <w:r>
              <w:rPr>
                <w:szCs w:val="21"/>
              </w:rPr>
              <w:t>一个主立井（原有）</w:t>
            </w:r>
          </w:p>
          <w:p>
            <w:pPr>
              <w:spacing w:line="240" w:lineRule="exact"/>
              <w:rPr>
                <w:szCs w:val="21"/>
              </w:rPr>
            </w:pPr>
            <w:r>
              <w:rPr>
                <w:szCs w:val="21"/>
              </w:rPr>
              <w:t>一个东斜竖井（原东回风斜井改造）</w:t>
            </w:r>
          </w:p>
          <w:p>
            <w:pPr>
              <w:spacing w:line="240" w:lineRule="exact"/>
              <w:rPr>
                <w:szCs w:val="21"/>
              </w:rPr>
            </w:pPr>
            <w:r>
              <w:rPr>
                <w:szCs w:val="21"/>
              </w:rPr>
              <w:t>一个北风井（原有）</w:t>
            </w:r>
          </w:p>
        </w:tc>
        <w:tc>
          <w:tcPr>
            <w:tcW w:w="1661" w:type="dxa"/>
          </w:tcPr>
          <w:p>
            <w:pPr>
              <w:spacing w:line="240" w:lineRule="exact"/>
              <w:rPr>
                <w:szCs w:val="21"/>
              </w:rPr>
            </w:pPr>
            <w:r>
              <w:rPr>
                <w:szCs w:val="21"/>
              </w:rPr>
              <w:t>地质原因南风井未建成，利用原东回风斜井改造为斜竖井，负责出矿和回风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385" w:type="dxa"/>
            <w:vMerge w:val="restart"/>
            <w:vAlign w:val="center"/>
          </w:tcPr>
          <w:p>
            <w:pPr>
              <w:spacing w:line="240" w:lineRule="exact"/>
              <w:rPr>
                <w:szCs w:val="21"/>
              </w:rPr>
            </w:pPr>
            <w:r>
              <w:rPr>
                <w:szCs w:val="21"/>
              </w:rPr>
              <w:t>井下</w:t>
            </w:r>
          </w:p>
          <w:p>
            <w:pPr>
              <w:spacing w:line="240" w:lineRule="exact"/>
              <w:rPr>
                <w:szCs w:val="21"/>
              </w:rPr>
            </w:pPr>
            <w:r>
              <w:rPr>
                <w:szCs w:val="21"/>
              </w:rPr>
              <w:t>工程</w:t>
            </w:r>
          </w:p>
        </w:tc>
        <w:tc>
          <w:tcPr>
            <w:tcW w:w="744" w:type="dxa"/>
            <w:vAlign w:val="center"/>
          </w:tcPr>
          <w:p>
            <w:pPr>
              <w:spacing w:line="240" w:lineRule="exact"/>
              <w:rPr>
                <w:szCs w:val="21"/>
              </w:rPr>
            </w:pPr>
            <w:r>
              <w:rPr>
                <w:szCs w:val="21"/>
              </w:rPr>
              <w:t>井底</w:t>
            </w:r>
          </w:p>
          <w:p>
            <w:pPr>
              <w:spacing w:line="240" w:lineRule="exact"/>
              <w:rPr>
                <w:szCs w:val="21"/>
              </w:rPr>
            </w:pPr>
            <w:r>
              <w:rPr>
                <w:szCs w:val="21"/>
              </w:rPr>
              <w:t>运输</w:t>
            </w:r>
          </w:p>
        </w:tc>
        <w:tc>
          <w:tcPr>
            <w:tcW w:w="1325" w:type="dxa"/>
            <w:vAlign w:val="center"/>
          </w:tcPr>
          <w:p>
            <w:pPr>
              <w:spacing w:line="240" w:lineRule="exact"/>
              <w:rPr>
                <w:spacing w:val="-20"/>
                <w:szCs w:val="21"/>
              </w:rPr>
            </w:pPr>
            <w:r>
              <w:rPr>
                <w:spacing w:val="-20"/>
                <w:szCs w:val="21"/>
              </w:rPr>
              <w:t>轨道运输（牵引机车+提升罐笼）</w:t>
            </w:r>
          </w:p>
        </w:tc>
        <w:tc>
          <w:tcPr>
            <w:tcW w:w="1914" w:type="dxa"/>
            <w:vAlign w:val="center"/>
          </w:tcPr>
          <w:p>
            <w:pPr>
              <w:spacing w:line="240" w:lineRule="exact"/>
              <w:rPr>
                <w:szCs w:val="21"/>
              </w:rPr>
            </w:pPr>
            <w:r>
              <w:rPr>
                <w:szCs w:val="21"/>
              </w:rPr>
              <w:t>轨道运输（牵引机车+提升罐笼）</w:t>
            </w:r>
          </w:p>
        </w:tc>
        <w:tc>
          <w:tcPr>
            <w:tcW w:w="2052" w:type="dxa"/>
            <w:vAlign w:val="center"/>
          </w:tcPr>
          <w:p>
            <w:pPr>
              <w:spacing w:line="240" w:lineRule="exact"/>
              <w:rPr>
                <w:szCs w:val="21"/>
              </w:rPr>
            </w:pPr>
            <w:r>
              <w:rPr>
                <w:szCs w:val="21"/>
              </w:rPr>
              <w:t>轨道运输（牵引机车+提升罐笼）</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385" w:type="dxa"/>
            <w:vMerge w:val="continue"/>
            <w:vAlign w:val="center"/>
          </w:tcPr>
          <w:p>
            <w:pPr>
              <w:spacing w:line="240" w:lineRule="exact"/>
              <w:rPr>
                <w:szCs w:val="21"/>
              </w:rPr>
            </w:pPr>
          </w:p>
        </w:tc>
        <w:tc>
          <w:tcPr>
            <w:tcW w:w="744" w:type="dxa"/>
            <w:vAlign w:val="center"/>
          </w:tcPr>
          <w:p>
            <w:pPr>
              <w:spacing w:line="240" w:lineRule="exact"/>
              <w:rPr>
                <w:szCs w:val="21"/>
              </w:rPr>
            </w:pPr>
            <w:r>
              <w:rPr>
                <w:szCs w:val="21"/>
              </w:rPr>
              <w:t>巷道</w:t>
            </w:r>
          </w:p>
        </w:tc>
        <w:tc>
          <w:tcPr>
            <w:tcW w:w="1325" w:type="dxa"/>
            <w:vAlign w:val="center"/>
          </w:tcPr>
          <w:p>
            <w:pPr>
              <w:spacing w:line="240" w:lineRule="exact"/>
              <w:rPr>
                <w:szCs w:val="21"/>
              </w:rPr>
            </w:pPr>
            <w:r>
              <w:rPr>
                <w:szCs w:val="21"/>
              </w:rPr>
              <w:t>现状有1000m、950m、900m、850m、800m标高等中段巷道，</w:t>
            </w:r>
          </w:p>
        </w:tc>
        <w:tc>
          <w:tcPr>
            <w:tcW w:w="1914" w:type="dxa"/>
            <w:vAlign w:val="center"/>
          </w:tcPr>
          <w:p>
            <w:pPr>
              <w:spacing w:line="240" w:lineRule="exact"/>
              <w:rPr>
                <w:szCs w:val="21"/>
              </w:rPr>
            </w:pPr>
            <w:r>
              <w:rPr>
                <w:szCs w:val="21"/>
              </w:rPr>
              <w:t>900m、850m、800m、750m、700m、650m、600m、550m、500m、450m、400m中段巷道；利用现有巷道；并新开拓巷道7100m。</w:t>
            </w:r>
          </w:p>
        </w:tc>
        <w:tc>
          <w:tcPr>
            <w:tcW w:w="2052" w:type="dxa"/>
            <w:vAlign w:val="center"/>
          </w:tcPr>
          <w:p>
            <w:pPr>
              <w:spacing w:line="240" w:lineRule="exact"/>
              <w:rPr>
                <w:szCs w:val="21"/>
              </w:rPr>
            </w:pPr>
            <w:r>
              <w:rPr>
                <w:szCs w:val="21"/>
              </w:rPr>
              <w:t>900m、850m、800m、750m、700m、650m、600m、550m、500m、450m、400m中段巷道；利用现有巷道；并新开拓巷道7100m。</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385" w:type="dxa"/>
            <w:vMerge w:val="restart"/>
            <w:vAlign w:val="center"/>
          </w:tcPr>
          <w:p>
            <w:pPr>
              <w:spacing w:line="240" w:lineRule="exact"/>
              <w:rPr>
                <w:szCs w:val="21"/>
              </w:rPr>
            </w:pPr>
            <w:r>
              <w:rPr>
                <w:szCs w:val="21"/>
              </w:rPr>
              <w:t>地面生产系统</w:t>
            </w:r>
          </w:p>
        </w:tc>
        <w:tc>
          <w:tcPr>
            <w:tcW w:w="744" w:type="dxa"/>
            <w:vAlign w:val="center"/>
          </w:tcPr>
          <w:p>
            <w:pPr>
              <w:spacing w:line="240" w:lineRule="exact"/>
              <w:rPr>
                <w:szCs w:val="21"/>
              </w:rPr>
            </w:pPr>
            <w:r>
              <w:rPr>
                <w:szCs w:val="21"/>
              </w:rPr>
              <w:t>工业</w:t>
            </w:r>
          </w:p>
          <w:p>
            <w:pPr>
              <w:spacing w:line="240" w:lineRule="exact"/>
              <w:rPr>
                <w:szCs w:val="21"/>
              </w:rPr>
            </w:pPr>
            <w:r>
              <w:rPr>
                <w:szCs w:val="21"/>
              </w:rPr>
              <w:t>场地</w:t>
            </w:r>
          </w:p>
        </w:tc>
        <w:tc>
          <w:tcPr>
            <w:tcW w:w="1325" w:type="dxa"/>
            <w:vAlign w:val="center"/>
          </w:tcPr>
          <w:p>
            <w:pPr>
              <w:spacing w:line="240" w:lineRule="exact"/>
              <w:rPr>
                <w:szCs w:val="21"/>
              </w:rPr>
            </w:pPr>
            <w:r>
              <w:rPr>
                <w:szCs w:val="21"/>
              </w:rPr>
              <w:t>一个主竖井工业场地</w:t>
            </w:r>
          </w:p>
          <w:p>
            <w:pPr>
              <w:spacing w:line="240" w:lineRule="exact"/>
              <w:rPr>
                <w:szCs w:val="21"/>
              </w:rPr>
            </w:pPr>
            <w:r>
              <w:rPr>
                <w:szCs w:val="21"/>
              </w:rPr>
              <w:t>一个东回风斜井工业场地</w:t>
            </w:r>
          </w:p>
        </w:tc>
        <w:tc>
          <w:tcPr>
            <w:tcW w:w="1914" w:type="dxa"/>
            <w:vAlign w:val="center"/>
          </w:tcPr>
          <w:p>
            <w:pPr>
              <w:spacing w:line="240" w:lineRule="exact"/>
              <w:rPr>
                <w:szCs w:val="21"/>
              </w:rPr>
            </w:pPr>
            <w:r>
              <w:rPr>
                <w:szCs w:val="21"/>
              </w:rPr>
              <w:t>新建一个风井工业场地，担负出矿和回风功能</w:t>
            </w:r>
          </w:p>
        </w:tc>
        <w:tc>
          <w:tcPr>
            <w:tcW w:w="2052" w:type="dxa"/>
            <w:vAlign w:val="center"/>
          </w:tcPr>
          <w:p>
            <w:pPr>
              <w:spacing w:line="240" w:lineRule="exact"/>
              <w:rPr>
                <w:szCs w:val="21"/>
              </w:rPr>
            </w:pPr>
            <w:r>
              <w:rPr>
                <w:szCs w:val="21"/>
              </w:rPr>
              <w:t>东回风斜井改造为斜竖井工业场地，担负出矿和回风功能</w:t>
            </w:r>
          </w:p>
        </w:tc>
        <w:tc>
          <w:tcPr>
            <w:tcW w:w="1661" w:type="dxa"/>
            <w:vAlign w:val="center"/>
          </w:tcPr>
          <w:p>
            <w:pPr>
              <w:spacing w:line="240" w:lineRule="exact"/>
              <w:jc w:val="center"/>
              <w:rPr>
                <w:szCs w:val="21"/>
              </w:rPr>
            </w:pPr>
            <w:r>
              <w:rPr>
                <w:szCs w:val="21"/>
              </w:rPr>
              <w:t>不一致，未新增工业场地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385" w:type="dxa"/>
            <w:vMerge w:val="continue"/>
            <w:vAlign w:val="center"/>
          </w:tcPr>
          <w:p>
            <w:pPr>
              <w:spacing w:line="240" w:lineRule="exact"/>
              <w:rPr>
                <w:szCs w:val="21"/>
              </w:rPr>
            </w:pPr>
          </w:p>
        </w:tc>
        <w:tc>
          <w:tcPr>
            <w:tcW w:w="744" w:type="dxa"/>
            <w:vAlign w:val="center"/>
          </w:tcPr>
          <w:p>
            <w:pPr>
              <w:spacing w:line="240" w:lineRule="exact"/>
              <w:rPr>
                <w:szCs w:val="21"/>
              </w:rPr>
            </w:pPr>
            <w:r>
              <w:rPr>
                <w:szCs w:val="21"/>
              </w:rPr>
              <w:t>井口房</w:t>
            </w:r>
          </w:p>
        </w:tc>
        <w:tc>
          <w:tcPr>
            <w:tcW w:w="1325" w:type="dxa"/>
            <w:vAlign w:val="center"/>
          </w:tcPr>
          <w:p>
            <w:pPr>
              <w:spacing w:line="240" w:lineRule="exact"/>
              <w:rPr>
                <w:szCs w:val="21"/>
              </w:rPr>
            </w:pPr>
            <w:r>
              <w:rPr>
                <w:szCs w:val="21"/>
              </w:rPr>
              <w:t>主井井口房</w:t>
            </w:r>
          </w:p>
          <w:p>
            <w:pPr>
              <w:spacing w:line="240" w:lineRule="exact"/>
              <w:rPr>
                <w:szCs w:val="21"/>
              </w:rPr>
            </w:pPr>
            <w:r>
              <w:rPr>
                <w:szCs w:val="21"/>
              </w:rPr>
              <w:t>东回风斜井井口房</w:t>
            </w:r>
          </w:p>
        </w:tc>
        <w:tc>
          <w:tcPr>
            <w:tcW w:w="1914" w:type="dxa"/>
            <w:vAlign w:val="center"/>
          </w:tcPr>
          <w:p>
            <w:pPr>
              <w:spacing w:line="240" w:lineRule="exact"/>
              <w:jc w:val="center"/>
              <w:rPr>
                <w:szCs w:val="21"/>
              </w:rPr>
            </w:pPr>
            <w:r>
              <w:rPr>
                <w:szCs w:val="21"/>
              </w:rPr>
              <w:t>主井井口房</w:t>
            </w:r>
          </w:p>
          <w:p>
            <w:pPr>
              <w:spacing w:line="240" w:lineRule="exact"/>
              <w:jc w:val="center"/>
              <w:rPr>
                <w:szCs w:val="21"/>
              </w:rPr>
            </w:pPr>
            <w:r>
              <w:rPr>
                <w:szCs w:val="21"/>
              </w:rPr>
              <w:t>东风井井口房</w:t>
            </w:r>
          </w:p>
          <w:p>
            <w:pPr>
              <w:spacing w:line="240" w:lineRule="exact"/>
              <w:jc w:val="center"/>
              <w:rPr>
                <w:szCs w:val="21"/>
              </w:rPr>
            </w:pPr>
            <w:r>
              <w:rPr>
                <w:szCs w:val="21"/>
              </w:rPr>
              <w:t>南风井井口房</w:t>
            </w:r>
          </w:p>
        </w:tc>
        <w:tc>
          <w:tcPr>
            <w:tcW w:w="2052" w:type="dxa"/>
            <w:vAlign w:val="center"/>
          </w:tcPr>
          <w:p>
            <w:pPr>
              <w:spacing w:line="240" w:lineRule="exact"/>
              <w:jc w:val="center"/>
              <w:rPr>
                <w:szCs w:val="21"/>
              </w:rPr>
            </w:pPr>
            <w:r>
              <w:rPr>
                <w:szCs w:val="21"/>
              </w:rPr>
              <w:t>主井井口房</w:t>
            </w:r>
          </w:p>
          <w:p>
            <w:pPr>
              <w:spacing w:line="240" w:lineRule="exact"/>
              <w:jc w:val="center"/>
              <w:rPr>
                <w:szCs w:val="21"/>
              </w:rPr>
            </w:pPr>
            <w:r>
              <w:rPr>
                <w:szCs w:val="21"/>
              </w:rPr>
              <w:t>东斜竖井井井口房（原东回风斜井井口房）</w:t>
            </w:r>
          </w:p>
        </w:tc>
        <w:tc>
          <w:tcPr>
            <w:tcW w:w="1661" w:type="dxa"/>
            <w:vAlign w:val="center"/>
          </w:tcPr>
          <w:p>
            <w:pPr>
              <w:spacing w:line="240" w:lineRule="exact"/>
              <w:jc w:val="center"/>
              <w:rPr>
                <w:szCs w:val="21"/>
              </w:rPr>
            </w:pPr>
            <w:r>
              <w:rPr>
                <w:szCs w:val="21"/>
              </w:rPr>
              <w:t>不一致，无新建井口房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385" w:type="dxa"/>
            <w:vMerge w:val="continue"/>
            <w:vAlign w:val="center"/>
          </w:tcPr>
          <w:p>
            <w:pPr>
              <w:spacing w:line="240" w:lineRule="exact"/>
              <w:rPr>
                <w:szCs w:val="21"/>
              </w:rPr>
            </w:pPr>
          </w:p>
        </w:tc>
        <w:tc>
          <w:tcPr>
            <w:tcW w:w="744" w:type="dxa"/>
            <w:vAlign w:val="center"/>
          </w:tcPr>
          <w:p>
            <w:pPr>
              <w:spacing w:line="240" w:lineRule="exact"/>
              <w:rPr>
                <w:szCs w:val="21"/>
              </w:rPr>
            </w:pPr>
            <w:r>
              <w:rPr>
                <w:szCs w:val="21"/>
              </w:rPr>
              <w:t>变电站</w:t>
            </w:r>
          </w:p>
        </w:tc>
        <w:tc>
          <w:tcPr>
            <w:tcW w:w="1325" w:type="dxa"/>
            <w:vAlign w:val="center"/>
          </w:tcPr>
          <w:p>
            <w:pPr>
              <w:spacing w:line="240" w:lineRule="exact"/>
              <w:jc w:val="center"/>
              <w:rPr>
                <w:szCs w:val="21"/>
              </w:rPr>
            </w:pPr>
            <w:r>
              <w:rPr>
                <w:szCs w:val="21"/>
              </w:rPr>
              <w:t>主井变电站</w:t>
            </w:r>
          </w:p>
        </w:tc>
        <w:tc>
          <w:tcPr>
            <w:tcW w:w="1914" w:type="dxa"/>
            <w:vAlign w:val="center"/>
          </w:tcPr>
          <w:p>
            <w:pPr>
              <w:spacing w:line="240" w:lineRule="exact"/>
              <w:jc w:val="center"/>
              <w:rPr>
                <w:szCs w:val="21"/>
              </w:rPr>
            </w:pPr>
            <w:r>
              <w:rPr>
                <w:szCs w:val="21"/>
              </w:rPr>
              <w:t>依托原有</w:t>
            </w:r>
          </w:p>
        </w:tc>
        <w:tc>
          <w:tcPr>
            <w:tcW w:w="2052" w:type="dxa"/>
            <w:vAlign w:val="center"/>
          </w:tcPr>
          <w:p>
            <w:pPr>
              <w:spacing w:line="240" w:lineRule="exact"/>
              <w:jc w:val="center"/>
              <w:rPr>
                <w:szCs w:val="21"/>
              </w:rPr>
            </w:pPr>
            <w:r>
              <w:rPr>
                <w:szCs w:val="21"/>
              </w:rPr>
              <w:t>依托原有</w:t>
            </w:r>
          </w:p>
        </w:tc>
        <w:tc>
          <w:tcPr>
            <w:tcW w:w="1661" w:type="dxa"/>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385" w:type="dxa"/>
            <w:vMerge w:val="continue"/>
            <w:vAlign w:val="center"/>
          </w:tcPr>
          <w:p>
            <w:pPr>
              <w:spacing w:line="240" w:lineRule="exact"/>
              <w:rPr>
                <w:szCs w:val="21"/>
              </w:rPr>
            </w:pPr>
          </w:p>
        </w:tc>
        <w:tc>
          <w:tcPr>
            <w:tcW w:w="744" w:type="dxa"/>
            <w:vAlign w:val="center"/>
          </w:tcPr>
          <w:p>
            <w:pPr>
              <w:spacing w:line="240" w:lineRule="exact"/>
              <w:rPr>
                <w:szCs w:val="21"/>
              </w:rPr>
            </w:pPr>
            <w:r>
              <w:rPr>
                <w:szCs w:val="21"/>
              </w:rPr>
              <w:t>空压机房</w:t>
            </w:r>
          </w:p>
        </w:tc>
        <w:tc>
          <w:tcPr>
            <w:tcW w:w="1325" w:type="dxa"/>
            <w:vAlign w:val="center"/>
          </w:tcPr>
          <w:p>
            <w:pPr>
              <w:spacing w:line="240" w:lineRule="exact"/>
              <w:rPr>
                <w:szCs w:val="21"/>
              </w:rPr>
            </w:pPr>
            <w:r>
              <w:rPr>
                <w:szCs w:val="21"/>
              </w:rPr>
              <w:t>主井、东风井空压机房</w:t>
            </w:r>
          </w:p>
        </w:tc>
        <w:tc>
          <w:tcPr>
            <w:tcW w:w="1914" w:type="dxa"/>
            <w:vAlign w:val="center"/>
          </w:tcPr>
          <w:p>
            <w:pPr>
              <w:spacing w:line="240" w:lineRule="exact"/>
              <w:rPr>
                <w:szCs w:val="21"/>
              </w:rPr>
            </w:pPr>
            <w:r>
              <w:rPr>
                <w:szCs w:val="21"/>
              </w:rPr>
              <w:t>主井、东风井、南风井空压机房</w:t>
            </w:r>
          </w:p>
        </w:tc>
        <w:tc>
          <w:tcPr>
            <w:tcW w:w="2052" w:type="dxa"/>
            <w:vAlign w:val="center"/>
          </w:tcPr>
          <w:p>
            <w:pPr>
              <w:spacing w:line="240" w:lineRule="exact"/>
              <w:rPr>
                <w:szCs w:val="21"/>
              </w:rPr>
            </w:pPr>
            <w:r>
              <w:rPr>
                <w:szCs w:val="21"/>
              </w:rPr>
              <w:t xml:space="preserve">依托现有空压机房； </w:t>
            </w:r>
          </w:p>
        </w:tc>
        <w:tc>
          <w:tcPr>
            <w:tcW w:w="1661" w:type="dxa"/>
          </w:tcPr>
          <w:p>
            <w:pPr>
              <w:spacing w:line="240" w:lineRule="exact"/>
              <w:rPr>
                <w:szCs w:val="21"/>
              </w:rPr>
            </w:pPr>
            <w:r>
              <w:rPr>
                <w:szCs w:val="21"/>
              </w:rPr>
              <w:t>不一致，未新建南风井空压机房。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385" w:type="dxa"/>
            <w:vMerge w:val="continue"/>
            <w:vAlign w:val="center"/>
          </w:tcPr>
          <w:p>
            <w:pPr>
              <w:spacing w:line="240" w:lineRule="exact"/>
              <w:rPr>
                <w:szCs w:val="21"/>
              </w:rPr>
            </w:pPr>
          </w:p>
        </w:tc>
        <w:tc>
          <w:tcPr>
            <w:tcW w:w="744" w:type="dxa"/>
            <w:vAlign w:val="center"/>
          </w:tcPr>
          <w:p>
            <w:pPr>
              <w:spacing w:line="240" w:lineRule="exact"/>
              <w:rPr>
                <w:szCs w:val="21"/>
              </w:rPr>
            </w:pPr>
            <w:r>
              <w:rPr>
                <w:szCs w:val="21"/>
              </w:rPr>
              <w:t>提升机房</w:t>
            </w:r>
          </w:p>
        </w:tc>
        <w:tc>
          <w:tcPr>
            <w:tcW w:w="1325" w:type="dxa"/>
            <w:vAlign w:val="center"/>
          </w:tcPr>
          <w:p>
            <w:pPr>
              <w:spacing w:line="240" w:lineRule="exact"/>
              <w:rPr>
                <w:szCs w:val="21"/>
              </w:rPr>
            </w:pPr>
            <w:r>
              <w:rPr>
                <w:szCs w:val="21"/>
              </w:rPr>
              <w:t>主井提升机房</w:t>
            </w:r>
          </w:p>
        </w:tc>
        <w:tc>
          <w:tcPr>
            <w:tcW w:w="1914" w:type="dxa"/>
            <w:vAlign w:val="center"/>
          </w:tcPr>
          <w:p>
            <w:pPr>
              <w:spacing w:line="240" w:lineRule="exact"/>
              <w:jc w:val="center"/>
              <w:rPr>
                <w:szCs w:val="21"/>
              </w:rPr>
            </w:pPr>
            <w:r>
              <w:rPr>
                <w:szCs w:val="21"/>
              </w:rPr>
              <w:t>原有提升机房基础上改建</w:t>
            </w:r>
          </w:p>
        </w:tc>
        <w:tc>
          <w:tcPr>
            <w:tcW w:w="2052" w:type="dxa"/>
            <w:vAlign w:val="center"/>
          </w:tcPr>
          <w:p>
            <w:pPr>
              <w:spacing w:line="240" w:lineRule="exact"/>
              <w:jc w:val="center"/>
              <w:rPr>
                <w:szCs w:val="21"/>
              </w:rPr>
            </w:pPr>
            <w:r>
              <w:rPr>
                <w:szCs w:val="21"/>
              </w:rPr>
              <w:t>原有提升机房基础上改建</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385" w:type="dxa"/>
            <w:vMerge w:val="continue"/>
            <w:vAlign w:val="center"/>
          </w:tcPr>
          <w:p>
            <w:pPr>
              <w:spacing w:line="240" w:lineRule="exact"/>
              <w:rPr>
                <w:szCs w:val="21"/>
              </w:rPr>
            </w:pPr>
          </w:p>
        </w:tc>
        <w:tc>
          <w:tcPr>
            <w:tcW w:w="744" w:type="dxa"/>
            <w:vAlign w:val="center"/>
          </w:tcPr>
          <w:p>
            <w:pPr>
              <w:spacing w:line="240" w:lineRule="exact"/>
              <w:rPr>
                <w:szCs w:val="21"/>
              </w:rPr>
            </w:pPr>
            <w:r>
              <w:rPr>
                <w:szCs w:val="21"/>
              </w:rPr>
              <w:t>废石堆场</w:t>
            </w:r>
          </w:p>
        </w:tc>
        <w:tc>
          <w:tcPr>
            <w:tcW w:w="1325" w:type="dxa"/>
            <w:vAlign w:val="center"/>
          </w:tcPr>
          <w:p>
            <w:pPr>
              <w:spacing w:line="240" w:lineRule="exact"/>
              <w:rPr>
                <w:szCs w:val="21"/>
              </w:rPr>
            </w:pPr>
            <w:r>
              <w:rPr>
                <w:szCs w:val="21"/>
              </w:rPr>
              <w:t>废石堆场</w:t>
            </w:r>
          </w:p>
        </w:tc>
        <w:tc>
          <w:tcPr>
            <w:tcW w:w="1914" w:type="dxa"/>
            <w:vAlign w:val="center"/>
          </w:tcPr>
          <w:p>
            <w:pPr>
              <w:spacing w:line="240" w:lineRule="exact"/>
              <w:jc w:val="center"/>
              <w:rPr>
                <w:szCs w:val="21"/>
              </w:rPr>
            </w:pPr>
            <w:r>
              <w:rPr>
                <w:szCs w:val="21"/>
              </w:rPr>
              <w:t>废石产量3万吨，依托原有废石堆场</w:t>
            </w:r>
          </w:p>
        </w:tc>
        <w:tc>
          <w:tcPr>
            <w:tcW w:w="2052" w:type="dxa"/>
            <w:vAlign w:val="center"/>
          </w:tcPr>
          <w:p>
            <w:pPr>
              <w:spacing w:line="240" w:lineRule="exact"/>
              <w:jc w:val="center"/>
              <w:rPr>
                <w:szCs w:val="21"/>
              </w:rPr>
            </w:pPr>
            <w:r>
              <w:rPr>
                <w:szCs w:val="21"/>
              </w:rPr>
              <w:t>依托原废石场，并新建一座废石场</w:t>
            </w:r>
          </w:p>
        </w:tc>
        <w:tc>
          <w:tcPr>
            <w:tcW w:w="1661" w:type="dxa"/>
            <w:vAlign w:val="center"/>
          </w:tcPr>
          <w:p>
            <w:pPr>
              <w:spacing w:line="240" w:lineRule="exact"/>
              <w:jc w:val="center"/>
              <w:rPr>
                <w:szCs w:val="21"/>
              </w:rPr>
            </w:pPr>
            <w:r>
              <w:rPr>
                <w:szCs w:val="21"/>
              </w:rPr>
              <w:t>不一致，新建废石场一座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restart"/>
            <w:vAlign w:val="center"/>
          </w:tcPr>
          <w:p>
            <w:pPr>
              <w:spacing w:line="240" w:lineRule="exact"/>
              <w:rPr>
                <w:szCs w:val="21"/>
              </w:rPr>
            </w:pPr>
            <w:r>
              <w:rPr>
                <w:szCs w:val="21"/>
              </w:rPr>
              <w:t>辅助</w:t>
            </w:r>
          </w:p>
          <w:p>
            <w:pPr>
              <w:spacing w:line="240" w:lineRule="exact"/>
              <w:rPr>
                <w:szCs w:val="21"/>
              </w:rPr>
            </w:pPr>
            <w:r>
              <w:rPr>
                <w:szCs w:val="21"/>
              </w:rPr>
              <w:t>工程</w:t>
            </w:r>
          </w:p>
        </w:tc>
        <w:tc>
          <w:tcPr>
            <w:tcW w:w="1129" w:type="dxa"/>
            <w:gridSpan w:val="2"/>
            <w:vAlign w:val="center"/>
          </w:tcPr>
          <w:p>
            <w:pPr>
              <w:spacing w:line="240" w:lineRule="exact"/>
              <w:rPr>
                <w:szCs w:val="21"/>
              </w:rPr>
            </w:pPr>
            <w:r>
              <w:rPr>
                <w:szCs w:val="21"/>
              </w:rPr>
              <w:t>办公楼</w:t>
            </w:r>
          </w:p>
        </w:tc>
        <w:tc>
          <w:tcPr>
            <w:tcW w:w="1325" w:type="dxa"/>
            <w:vAlign w:val="center"/>
          </w:tcPr>
          <w:p>
            <w:pPr>
              <w:spacing w:line="240" w:lineRule="exact"/>
              <w:rPr>
                <w:szCs w:val="21"/>
              </w:rPr>
            </w:pPr>
            <w:r>
              <w:rPr>
                <w:szCs w:val="21"/>
              </w:rPr>
              <w:t>一座</w:t>
            </w:r>
          </w:p>
        </w:tc>
        <w:tc>
          <w:tcPr>
            <w:tcW w:w="1914" w:type="dxa"/>
            <w:vAlign w:val="center"/>
          </w:tcPr>
          <w:p>
            <w:pPr>
              <w:spacing w:line="240" w:lineRule="exact"/>
              <w:jc w:val="center"/>
              <w:rPr>
                <w:szCs w:val="21"/>
              </w:rPr>
            </w:pPr>
            <w:r>
              <w:rPr>
                <w:szCs w:val="21"/>
              </w:rPr>
              <w:t>依托原有</w:t>
            </w:r>
          </w:p>
        </w:tc>
        <w:tc>
          <w:tcPr>
            <w:tcW w:w="2052" w:type="dxa"/>
            <w:vAlign w:val="center"/>
          </w:tcPr>
          <w:p>
            <w:pPr>
              <w:spacing w:line="240" w:lineRule="exact"/>
              <w:jc w:val="center"/>
              <w:rPr>
                <w:szCs w:val="21"/>
              </w:rPr>
            </w:pPr>
            <w:r>
              <w:rPr>
                <w:szCs w:val="21"/>
              </w:rPr>
              <w:t>依托原有</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trHeight w:val="64" w:hRule="atLeast"/>
          <w:jc w:val="center"/>
        </w:trPr>
        <w:tc>
          <w:tcPr>
            <w:tcW w:w="255" w:type="dxa"/>
            <w:vMerge w:val="continue"/>
            <w:vAlign w:val="center"/>
          </w:tcPr>
          <w:p>
            <w:pPr>
              <w:spacing w:line="240" w:lineRule="exact"/>
              <w:rPr>
                <w:szCs w:val="21"/>
              </w:rPr>
            </w:pPr>
          </w:p>
        </w:tc>
        <w:tc>
          <w:tcPr>
            <w:tcW w:w="1129" w:type="dxa"/>
            <w:gridSpan w:val="2"/>
            <w:vAlign w:val="center"/>
          </w:tcPr>
          <w:p>
            <w:pPr>
              <w:spacing w:line="240" w:lineRule="exact"/>
              <w:rPr>
                <w:szCs w:val="21"/>
              </w:rPr>
            </w:pPr>
            <w:r>
              <w:rPr>
                <w:szCs w:val="21"/>
              </w:rPr>
              <w:t>维修车间</w:t>
            </w:r>
          </w:p>
        </w:tc>
        <w:tc>
          <w:tcPr>
            <w:tcW w:w="1325" w:type="dxa"/>
            <w:vAlign w:val="center"/>
          </w:tcPr>
          <w:p>
            <w:pPr>
              <w:spacing w:line="240" w:lineRule="exact"/>
              <w:rPr>
                <w:szCs w:val="21"/>
              </w:rPr>
            </w:pPr>
            <w:r>
              <w:rPr>
                <w:szCs w:val="21"/>
              </w:rPr>
              <w:t>一座</w:t>
            </w:r>
          </w:p>
        </w:tc>
        <w:tc>
          <w:tcPr>
            <w:tcW w:w="1914" w:type="dxa"/>
            <w:vAlign w:val="center"/>
          </w:tcPr>
          <w:p>
            <w:pPr>
              <w:spacing w:line="240" w:lineRule="exact"/>
              <w:jc w:val="center"/>
              <w:rPr>
                <w:szCs w:val="21"/>
              </w:rPr>
            </w:pPr>
            <w:r>
              <w:rPr>
                <w:szCs w:val="21"/>
              </w:rPr>
              <w:t>依托原有</w:t>
            </w:r>
          </w:p>
        </w:tc>
        <w:tc>
          <w:tcPr>
            <w:tcW w:w="2052" w:type="dxa"/>
            <w:vAlign w:val="center"/>
          </w:tcPr>
          <w:p>
            <w:pPr>
              <w:spacing w:line="240" w:lineRule="exact"/>
              <w:jc w:val="center"/>
              <w:rPr>
                <w:szCs w:val="21"/>
              </w:rPr>
            </w:pPr>
            <w:r>
              <w:rPr>
                <w:szCs w:val="21"/>
              </w:rPr>
              <w:t>依托原有</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1129" w:type="dxa"/>
            <w:gridSpan w:val="2"/>
            <w:vAlign w:val="center"/>
          </w:tcPr>
          <w:p>
            <w:pPr>
              <w:spacing w:line="240" w:lineRule="exact"/>
              <w:rPr>
                <w:szCs w:val="21"/>
              </w:rPr>
            </w:pPr>
            <w:r>
              <w:rPr>
                <w:szCs w:val="21"/>
              </w:rPr>
              <w:t>材料库</w:t>
            </w:r>
          </w:p>
        </w:tc>
        <w:tc>
          <w:tcPr>
            <w:tcW w:w="1325" w:type="dxa"/>
            <w:vAlign w:val="center"/>
          </w:tcPr>
          <w:p>
            <w:pPr>
              <w:spacing w:line="240" w:lineRule="exact"/>
              <w:rPr>
                <w:szCs w:val="21"/>
              </w:rPr>
            </w:pPr>
            <w:r>
              <w:rPr>
                <w:szCs w:val="21"/>
              </w:rPr>
              <w:t>一座</w:t>
            </w:r>
          </w:p>
        </w:tc>
        <w:tc>
          <w:tcPr>
            <w:tcW w:w="1914" w:type="dxa"/>
            <w:vAlign w:val="center"/>
          </w:tcPr>
          <w:p>
            <w:pPr>
              <w:spacing w:line="240" w:lineRule="exact"/>
              <w:jc w:val="center"/>
              <w:rPr>
                <w:szCs w:val="21"/>
              </w:rPr>
            </w:pPr>
            <w:r>
              <w:rPr>
                <w:szCs w:val="21"/>
              </w:rPr>
              <w:t>依托原有</w:t>
            </w:r>
          </w:p>
        </w:tc>
        <w:tc>
          <w:tcPr>
            <w:tcW w:w="2052" w:type="dxa"/>
            <w:vAlign w:val="center"/>
          </w:tcPr>
          <w:p>
            <w:pPr>
              <w:spacing w:line="240" w:lineRule="exact"/>
              <w:jc w:val="center"/>
              <w:rPr>
                <w:szCs w:val="21"/>
              </w:rPr>
            </w:pPr>
            <w:r>
              <w:rPr>
                <w:szCs w:val="21"/>
              </w:rPr>
              <w:t>依托原有</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1129" w:type="dxa"/>
            <w:gridSpan w:val="2"/>
            <w:vAlign w:val="center"/>
          </w:tcPr>
          <w:p>
            <w:pPr>
              <w:spacing w:line="240" w:lineRule="exact"/>
              <w:rPr>
                <w:szCs w:val="21"/>
              </w:rPr>
            </w:pPr>
            <w:r>
              <w:rPr>
                <w:szCs w:val="21"/>
              </w:rPr>
              <w:t>硝铵炸药库</w:t>
            </w:r>
          </w:p>
        </w:tc>
        <w:tc>
          <w:tcPr>
            <w:tcW w:w="1325" w:type="dxa"/>
            <w:vAlign w:val="center"/>
          </w:tcPr>
          <w:p>
            <w:pPr>
              <w:spacing w:line="240" w:lineRule="exact"/>
              <w:rPr>
                <w:szCs w:val="21"/>
              </w:rPr>
            </w:pPr>
            <w:r>
              <w:rPr>
                <w:szCs w:val="21"/>
              </w:rPr>
              <w:t>一座</w:t>
            </w:r>
          </w:p>
        </w:tc>
        <w:tc>
          <w:tcPr>
            <w:tcW w:w="1914" w:type="dxa"/>
            <w:vAlign w:val="center"/>
          </w:tcPr>
          <w:p>
            <w:pPr>
              <w:spacing w:line="240" w:lineRule="exact"/>
              <w:jc w:val="center"/>
              <w:rPr>
                <w:szCs w:val="21"/>
              </w:rPr>
            </w:pPr>
            <w:r>
              <w:rPr>
                <w:szCs w:val="21"/>
              </w:rPr>
              <w:t>依托原有</w:t>
            </w:r>
          </w:p>
        </w:tc>
        <w:tc>
          <w:tcPr>
            <w:tcW w:w="2052" w:type="dxa"/>
            <w:vAlign w:val="center"/>
          </w:tcPr>
          <w:p>
            <w:pPr>
              <w:spacing w:line="240" w:lineRule="exact"/>
              <w:jc w:val="center"/>
              <w:rPr>
                <w:szCs w:val="21"/>
              </w:rPr>
            </w:pPr>
            <w:r>
              <w:rPr>
                <w:szCs w:val="21"/>
              </w:rPr>
              <w:t>依托原有</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restart"/>
            <w:vAlign w:val="center"/>
          </w:tcPr>
          <w:p>
            <w:pPr>
              <w:spacing w:line="240" w:lineRule="exact"/>
              <w:rPr>
                <w:szCs w:val="21"/>
              </w:rPr>
            </w:pPr>
            <w:r>
              <w:rPr>
                <w:szCs w:val="21"/>
              </w:rPr>
              <w:t>公用</w:t>
            </w:r>
          </w:p>
          <w:p>
            <w:pPr>
              <w:spacing w:line="240" w:lineRule="exact"/>
              <w:rPr>
                <w:szCs w:val="21"/>
              </w:rPr>
            </w:pPr>
            <w:r>
              <w:rPr>
                <w:szCs w:val="21"/>
              </w:rPr>
              <w:t>工程</w:t>
            </w:r>
          </w:p>
        </w:tc>
        <w:tc>
          <w:tcPr>
            <w:tcW w:w="1129" w:type="dxa"/>
            <w:gridSpan w:val="2"/>
            <w:vAlign w:val="center"/>
          </w:tcPr>
          <w:p>
            <w:pPr>
              <w:spacing w:line="240" w:lineRule="exact"/>
              <w:rPr>
                <w:szCs w:val="21"/>
              </w:rPr>
            </w:pPr>
            <w:r>
              <w:rPr>
                <w:szCs w:val="21"/>
              </w:rPr>
              <w:t>供水</w:t>
            </w:r>
          </w:p>
        </w:tc>
        <w:tc>
          <w:tcPr>
            <w:tcW w:w="1325" w:type="dxa"/>
            <w:vAlign w:val="center"/>
          </w:tcPr>
          <w:p>
            <w:pPr>
              <w:spacing w:line="240" w:lineRule="exact"/>
              <w:rPr>
                <w:szCs w:val="21"/>
              </w:rPr>
            </w:pPr>
            <w:r>
              <w:rPr>
                <w:szCs w:val="21"/>
              </w:rPr>
              <w:t>无</w:t>
            </w:r>
          </w:p>
        </w:tc>
        <w:tc>
          <w:tcPr>
            <w:tcW w:w="1914" w:type="dxa"/>
            <w:vAlign w:val="center"/>
          </w:tcPr>
          <w:p>
            <w:pPr>
              <w:spacing w:line="240" w:lineRule="exact"/>
              <w:jc w:val="center"/>
              <w:rPr>
                <w:szCs w:val="21"/>
              </w:rPr>
            </w:pPr>
            <w:r>
              <w:rPr>
                <w:szCs w:val="21"/>
              </w:rPr>
              <w:t>井下排水作供水水源；在主竖井井口附近，建高位水池，容积500m</w:t>
            </w:r>
            <w:r>
              <w:rPr>
                <w:szCs w:val="21"/>
                <w:vertAlign w:val="superscript"/>
              </w:rPr>
              <w:t>3</w:t>
            </w:r>
            <w:r>
              <w:rPr>
                <w:szCs w:val="21"/>
              </w:rPr>
              <w:t>，以供水管网型式集中向坑内各用水点直接供水。</w:t>
            </w:r>
          </w:p>
        </w:tc>
        <w:tc>
          <w:tcPr>
            <w:tcW w:w="2052" w:type="dxa"/>
            <w:vAlign w:val="center"/>
          </w:tcPr>
          <w:p>
            <w:pPr>
              <w:spacing w:line="240" w:lineRule="exact"/>
              <w:jc w:val="center"/>
              <w:rPr>
                <w:szCs w:val="21"/>
              </w:rPr>
            </w:pPr>
            <w:r>
              <w:rPr>
                <w:szCs w:val="21"/>
              </w:rPr>
              <w:t>井下排水作供水水源；在主竖井井口附近，建高位水池，容积500m</w:t>
            </w:r>
            <w:r>
              <w:rPr>
                <w:szCs w:val="21"/>
                <w:vertAlign w:val="superscript"/>
              </w:rPr>
              <w:t>3</w:t>
            </w:r>
            <w:r>
              <w:rPr>
                <w:szCs w:val="21"/>
              </w:rPr>
              <w:t>，以供水管网型式集中向坑内各用水点直接供水</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1129" w:type="dxa"/>
            <w:gridSpan w:val="2"/>
            <w:vAlign w:val="center"/>
          </w:tcPr>
          <w:p>
            <w:pPr>
              <w:spacing w:line="240" w:lineRule="exact"/>
              <w:rPr>
                <w:szCs w:val="21"/>
              </w:rPr>
            </w:pPr>
            <w:r>
              <w:rPr>
                <w:szCs w:val="21"/>
              </w:rPr>
              <w:t>供电</w:t>
            </w:r>
          </w:p>
        </w:tc>
        <w:tc>
          <w:tcPr>
            <w:tcW w:w="1325" w:type="dxa"/>
            <w:vAlign w:val="center"/>
          </w:tcPr>
          <w:p>
            <w:pPr>
              <w:spacing w:line="240" w:lineRule="exact"/>
              <w:rPr>
                <w:szCs w:val="21"/>
              </w:rPr>
            </w:pPr>
            <w:r>
              <w:rPr>
                <w:szCs w:val="21"/>
              </w:rPr>
              <w:t>10KV供电</w:t>
            </w:r>
          </w:p>
        </w:tc>
        <w:tc>
          <w:tcPr>
            <w:tcW w:w="1914" w:type="dxa"/>
            <w:vAlign w:val="center"/>
          </w:tcPr>
          <w:p>
            <w:pPr>
              <w:spacing w:line="240" w:lineRule="exact"/>
              <w:jc w:val="center"/>
              <w:rPr>
                <w:szCs w:val="21"/>
              </w:rPr>
            </w:pPr>
            <w:r>
              <w:rPr>
                <w:szCs w:val="21"/>
              </w:rPr>
              <w:t>依托原有</w:t>
            </w:r>
          </w:p>
        </w:tc>
        <w:tc>
          <w:tcPr>
            <w:tcW w:w="2052" w:type="dxa"/>
            <w:vAlign w:val="center"/>
          </w:tcPr>
          <w:p>
            <w:pPr>
              <w:spacing w:line="240" w:lineRule="exact"/>
              <w:jc w:val="center"/>
              <w:rPr>
                <w:szCs w:val="21"/>
              </w:rPr>
            </w:pPr>
            <w:r>
              <w:rPr>
                <w:szCs w:val="21"/>
              </w:rPr>
              <w:t>依托原有</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1129" w:type="dxa"/>
            <w:gridSpan w:val="2"/>
            <w:vAlign w:val="center"/>
          </w:tcPr>
          <w:p>
            <w:pPr>
              <w:spacing w:line="240" w:lineRule="exact"/>
              <w:rPr>
                <w:szCs w:val="21"/>
              </w:rPr>
            </w:pPr>
            <w:r>
              <w:rPr>
                <w:szCs w:val="21"/>
              </w:rPr>
              <w:t>生活污水处理</w:t>
            </w:r>
          </w:p>
        </w:tc>
        <w:tc>
          <w:tcPr>
            <w:tcW w:w="1325" w:type="dxa"/>
            <w:vAlign w:val="center"/>
          </w:tcPr>
          <w:p>
            <w:pPr>
              <w:spacing w:line="240" w:lineRule="exact"/>
              <w:rPr>
                <w:szCs w:val="21"/>
              </w:rPr>
            </w:pPr>
            <w:r>
              <w:rPr>
                <w:szCs w:val="21"/>
              </w:rPr>
              <w:t>化粪池</w:t>
            </w:r>
          </w:p>
        </w:tc>
        <w:tc>
          <w:tcPr>
            <w:tcW w:w="1914" w:type="dxa"/>
            <w:vAlign w:val="center"/>
          </w:tcPr>
          <w:p>
            <w:pPr>
              <w:spacing w:line="240" w:lineRule="exact"/>
              <w:jc w:val="center"/>
              <w:rPr>
                <w:szCs w:val="21"/>
              </w:rPr>
            </w:pPr>
            <w:r>
              <w:rPr>
                <w:szCs w:val="21"/>
              </w:rPr>
              <w:t>依托原有</w:t>
            </w:r>
          </w:p>
        </w:tc>
        <w:tc>
          <w:tcPr>
            <w:tcW w:w="2052" w:type="dxa"/>
            <w:vAlign w:val="center"/>
          </w:tcPr>
          <w:p>
            <w:pPr>
              <w:spacing w:line="240" w:lineRule="exact"/>
              <w:jc w:val="center"/>
              <w:rPr>
                <w:szCs w:val="21"/>
              </w:rPr>
            </w:pPr>
            <w:r>
              <w:rPr>
                <w:szCs w:val="21"/>
              </w:rPr>
              <w:t>依托原有</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1129" w:type="dxa"/>
            <w:gridSpan w:val="2"/>
            <w:vAlign w:val="center"/>
          </w:tcPr>
          <w:p>
            <w:pPr>
              <w:spacing w:line="240" w:lineRule="exact"/>
              <w:rPr>
                <w:szCs w:val="21"/>
              </w:rPr>
            </w:pPr>
            <w:r>
              <w:rPr>
                <w:szCs w:val="21"/>
              </w:rPr>
              <w:t>生活服务设施</w:t>
            </w:r>
          </w:p>
        </w:tc>
        <w:tc>
          <w:tcPr>
            <w:tcW w:w="1325" w:type="dxa"/>
            <w:vAlign w:val="center"/>
          </w:tcPr>
          <w:p>
            <w:pPr>
              <w:spacing w:line="240" w:lineRule="exact"/>
              <w:rPr>
                <w:szCs w:val="21"/>
              </w:rPr>
            </w:pPr>
            <w:r>
              <w:rPr>
                <w:szCs w:val="21"/>
              </w:rPr>
              <w:t>办公楼、食堂、宿舍等</w:t>
            </w:r>
          </w:p>
        </w:tc>
        <w:tc>
          <w:tcPr>
            <w:tcW w:w="1914" w:type="dxa"/>
            <w:vAlign w:val="center"/>
          </w:tcPr>
          <w:p>
            <w:pPr>
              <w:spacing w:line="240" w:lineRule="exact"/>
              <w:jc w:val="center"/>
              <w:rPr>
                <w:szCs w:val="21"/>
              </w:rPr>
            </w:pPr>
            <w:r>
              <w:rPr>
                <w:szCs w:val="21"/>
              </w:rPr>
              <w:t>依托原有</w:t>
            </w:r>
          </w:p>
        </w:tc>
        <w:tc>
          <w:tcPr>
            <w:tcW w:w="2052" w:type="dxa"/>
            <w:vAlign w:val="center"/>
          </w:tcPr>
          <w:p>
            <w:pPr>
              <w:spacing w:line="240" w:lineRule="exact"/>
              <w:jc w:val="center"/>
              <w:rPr>
                <w:szCs w:val="21"/>
              </w:rPr>
            </w:pPr>
            <w:r>
              <w:rPr>
                <w:szCs w:val="21"/>
              </w:rPr>
              <w:t>依托原有</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restart"/>
            <w:vAlign w:val="center"/>
          </w:tcPr>
          <w:p>
            <w:pPr>
              <w:spacing w:line="240" w:lineRule="exact"/>
              <w:rPr>
                <w:szCs w:val="21"/>
              </w:rPr>
            </w:pPr>
            <w:r>
              <w:rPr>
                <w:szCs w:val="21"/>
              </w:rPr>
              <w:t>储运</w:t>
            </w:r>
          </w:p>
          <w:p>
            <w:pPr>
              <w:spacing w:line="240" w:lineRule="exact"/>
              <w:rPr>
                <w:szCs w:val="21"/>
              </w:rPr>
            </w:pPr>
            <w:r>
              <w:rPr>
                <w:szCs w:val="21"/>
              </w:rPr>
              <w:t>工程</w:t>
            </w:r>
          </w:p>
        </w:tc>
        <w:tc>
          <w:tcPr>
            <w:tcW w:w="1129" w:type="dxa"/>
            <w:gridSpan w:val="2"/>
            <w:vAlign w:val="center"/>
          </w:tcPr>
          <w:p>
            <w:pPr>
              <w:spacing w:line="240" w:lineRule="exact"/>
              <w:rPr>
                <w:szCs w:val="21"/>
              </w:rPr>
            </w:pPr>
            <w:r>
              <w:rPr>
                <w:szCs w:val="21"/>
              </w:rPr>
              <w:t>地面运输</w:t>
            </w:r>
          </w:p>
        </w:tc>
        <w:tc>
          <w:tcPr>
            <w:tcW w:w="1325" w:type="dxa"/>
            <w:vAlign w:val="center"/>
          </w:tcPr>
          <w:p>
            <w:pPr>
              <w:spacing w:line="240" w:lineRule="exact"/>
              <w:rPr>
                <w:szCs w:val="21"/>
              </w:rPr>
            </w:pPr>
            <w:r>
              <w:rPr>
                <w:szCs w:val="21"/>
              </w:rPr>
              <w:t>已形成各功能区之间运输道路</w:t>
            </w:r>
          </w:p>
        </w:tc>
        <w:tc>
          <w:tcPr>
            <w:tcW w:w="1914" w:type="dxa"/>
            <w:vAlign w:val="center"/>
          </w:tcPr>
          <w:p>
            <w:pPr>
              <w:spacing w:line="240" w:lineRule="exact"/>
              <w:jc w:val="center"/>
              <w:rPr>
                <w:szCs w:val="21"/>
              </w:rPr>
            </w:pPr>
            <w:r>
              <w:rPr>
                <w:szCs w:val="21"/>
              </w:rPr>
              <w:t>主依托原有道路</w:t>
            </w:r>
          </w:p>
        </w:tc>
        <w:tc>
          <w:tcPr>
            <w:tcW w:w="2052" w:type="dxa"/>
            <w:vAlign w:val="center"/>
          </w:tcPr>
          <w:p>
            <w:pPr>
              <w:spacing w:line="240" w:lineRule="exact"/>
              <w:jc w:val="center"/>
              <w:rPr>
                <w:szCs w:val="21"/>
              </w:rPr>
            </w:pPr>
            <w:r>
              <w:rPr>
                <w:szCs w:val="21"/>
              </w:rPr>
              <w:t>依托原有道路</w:t>
            </w:r>
          </w:p>
        </w:tc>
        <w:tc>
          <w:tcPr>
            <w:tcW w:w="1661" w:type="dxa"/>
            <w:vAlign w:val="center"/>
          </w:tcPr>
          <w:p>
            <w:pPr>
              <w:spacing w:line="240" w:lineRule="exact"/>
              <w:jc w:val="center"/>
              <w:rPr>
                <w:szCs w:val="21"/>
              </w:rPr>
            </w:pPr>
            <w:r>
              <w:rPr>
                <w:szCs w:val="21"/>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255" w:type="dxa"/>
            <w:vMerge w:val="continue"/>
            <w:vAlign w:val="center"/>
          </w:tcPr>
          <w:p>
            <w:pPr>
              <w:spacing w:line="240" w:lineRule="exact"/>
              <w:rPr>
                <w:szCs w:val="21"/>
              </w:rPr>
            </w:pPr>
          </w:p>
        </w:tc>
        <w:tc>
          <w:tcPr>
            <w:tcW w:w="1129" w:type="dxa"/>
            <w:gridSpan w:val="2"/>
            <w:vAlign w:val="center"/>
          </w:tcPr>
          <w:p>
            <w:pPr>
              <w:spacing w:line="240" w:lineRule="exact"/>
              <w:rPr>
                <w:szCs w:val="21"/>
              </w:rPr>
            </w:pPr>
            <w:r>
              <w:rPr>
                <w:szCs w:val="21"/>
              </w:rPr>
              <w:t>公路</w:t>
            </w:r>
          </w:p>
        </w:tc>
        <w:tc>
          <w:tcPr>
            <w:tcW w:w="1325" w:type="dxa"/>
            <w:vAlign w:val="center"/>
          </w:tcPr>
          <w:p>
            <w:pPr>
              <w:spacing w:line="240" w:lineRule="exact"/>
              <w:rPr>
                <w:szCs w:val="21"/>
              </w:rPr>
            </w:pPr>
            <w:r>
              <w:rPr>
                <w:szCs w:val="21"/>
              </w:rPr>
              <w:t>已形成工业场地对外公路</w:t>
            </w:r>
          </w:p>
        </w:tc>
        <w:tc>
          <w:tcPr>
            <w:tcW w:w="1914" w:type="dxa"/>
            <w:vAlign w:val="center"/>
          </w:tcPr>
          <w:p>
            <w:pPr>
              <w:spacing w:line="240" w:lineRule="exact"/>
              <w:jc w:val="center"/>
              <w:rPr>
                <w:szCs w:val="21"/>
              </w:rPr>
            </w:pPr>
            <w:r>
              <w:rPr>
                <w:szCs w:val="21"/>
              </w:rPr>
              <w:t>依托原有</w:t>
            </w:r>
          </w:p>
        </w:tc>
        <w:tc>
          <w:tcPr>
            <w:tcW w:w="2052" w:type="dxa"/>
            <w:vAlign w:val="center"/>
          </w:tcPr>
          <w:p>
            <w:pPr>
              <w:spacing w:line="240" w:lineRule="exact"/>
              <w:jc w:val="center"/>
              <w:rPr>
                <w:szCs w:val="21"/>
              </w:rPr>
            </w:pPr>
            <w:r>
              <w:rPr>
                <w:szCs w:val="21"/>
              </w:rPr>
              <w:t>依托原有</w:t>
            </w:r>
          </w:p>
        </w:tc>
        <w:tc>
          <w:tcPr>
            <w:tcW w:w="1661" w:type="dxa"/>
            <w:vAlign w:val="center"/>
          </w:tcPr>
          <w:p>
            <w:pPr>
              <w:spacing w:line="240" w:lineRule="exact"/>
              <w:jc w:val="center"/>
              <w:rPr>
                <w:szCs w:val="21"/>
              </w:rPr>
            </w:pPr>
            <w:r>
              <w:rPr>
                <w:szCs w:val="21"/>
              </w:rPr>
              <w:t>一致</w:t>
            </w:r>
          </w:p>
        </w:tc>
      </w:tr>
    </w:tbl>
    <w:p>
      <w:pPr>
        <w:pStyle w:val="5"/>
      </w:pPr>
      <w:r>
        <w:t>2.2.2.14采矿设备</w:t>
      </w:r>
    </w:p>
    <w:p>
      <w:pPr>
        <w:pStyle w:val="107"/>
        <w:rPr>
          <w:rFonts w:eastAsia="宋体"/>
        </w:rPr>
      </w:pPr>
      <w:r>
        <w:rPr>
          <w:rFonts w:eastAsia="宋体"/>
        </w:rPr>
        <w:t xml:space="preserve">    扩建采矿设备见表2.2-9，采矿设备中目前没有国家明令淘汰的设备。</w:t>
      </w:r>
    </w:p>
    <w:p>
      <w:pPr>
        <w:jc w:val="left"/>
        <w:rPr>
          <w:rFonts w:eastAsia="黑体"/>
          <w:bCs/>
          <w:sz w:val="22"/>
          <w:szCs w:val="22"/>
          <w:lang w:val="zh-CN"/>
        </w:rPr>
      </w:pPr>
      <w:r>
        <w:rPr>
          <w:b/>
          <w:bCs/>
          <w:lang w:val="zh-CN"/>
        </w:rPr>
        <w:t xml:space="preserve">    </w:t>
      </w:r>
      <w:r>
        <w:rPr>
          <w:rFonts w:eastAsia="黑体"/>
          <w:bCs/>
          <w:sz w:val="22"/>
          <w:szCs w:val="22"/>
          <w:lang w:val="zh-CN"/>
        </w:rPr>
        <w:t>表2.2-9                        扩建工程表</w:t>
      </w:r>
    </w:p>
    <w:tbl>
      <w:tblPr>
        <w:tblStyle w:val="5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170"/>
        <w:gridCol w:w="2785"/>
        <w:gridCol w:w="980"/>
        <w:gridCol w:w="1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20" w:type="dxa"/>
            <w:vAlign w:val="center"/>
          </w:tcPr>
          <w:p>
            <w:pPr>
              <w:pStyle w:val="94"/>
            </w:pPr>
            <w:r>
              <w:t>序号</w:t>
            </w:r>
          </w:p>
        </w:tc>
        <w:tc>
          <w:tcPr>
            <w:tcW w:w="2170" w:type="dxa"/>
            <w:vAlign w:val="center"/>
          </w:tcPr>
          <w:p>
            <w:pPr>
              <w:pStyle w:val="94"/>
            </w:pPr>
            <w:r>
              <w:t>设备名称</w:t>
            </w:r>
          </w:p>
        </w:tc>
        <w:tc>
          <w:tcPr>
            <w:tcW w:w="2785" w:type="dxa"/>
            <w:vAlign w:val="center"/>
          </w:tcPr>
          <w:p>
            <w:pPr>
              <w:pStyle w:val="94"/>
            </w:pPr>
            <w:r>
              <w:t>技术规格</w:t>
            </w:r>
          </w:p>
        </w:tc>
        <w:tc>
          <w:tcPr>
            <w:tcW w:w="980" w:type="dxa"/>
            <w:vAlign w:val="center"/>
          </w:tcPr>
          <w:p>
            <w:pPr>
              <w:pStyle w:val="94"/>
            </w:pPr>
            <w:r>
              <w:t>数量</w:t>
            </w:r>
          </w:p>
        </w:tc>
        <w:tc>
          <w:tcPr>
            <w:tcW w:w="1667" w:type="dxa"/>
            <w:vAlign w:val="center"/>
          </w:tcPr>
          <w:p>
            <w:pPr>
              <w:pStyle w:val="94"/>
            </w:pPr>
            <w: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20" w:type="dxa"/>
            <w:vAlign w:val="center"/>
          </w:tcPr>
          <w:p>
            <w:pPr>
              <w:pStyle w:val="94"/>
            </w:pPr>
            <w:r>
              <w:t>1</w:t>
            </w:r>
          </w:p>
        </w:tc>
        <w:tc>
          <w:tcPr>
            <w:tcW w:w="2170" w:type="dxa"/>
            <w:vAlign w:val="center"/>
          </w:tcPr>
          <w:p>
            <w:pPr>
              <w:spacing w:line="0" w:lineRule="atLeast"/>
              <w:jc w:val="center"/>
              <w:rPr>
                <w:szCs w:val="21"/>
              </w:rPr>
            </w:pPr>
            <w:r>
              <w:rPr>
                <w:szCs w:val="21"/>
              </w:rPr>
              <w:t>电机车</w:t>
            </w:r>
          </w:p>
        </w:tc>
        <w:tc>
          <w:tcPr>
            <w:tcW w:w="2785" w:type="dxa"/>
            <w:vAlign w:val="center"/>
          </w:tcPr>
          <w:p>
            <w:pPr>
              <w:pStyle w:val="43"/>
              <w:jc w:val="center"/>
              <w:rPr>
                <w:rFonts w:ascii="Times New Roman" w:hAnsi="Times New Roman" w:cs="Times New Roman"/>
                <w:b/>
              </w:rPr>
            </w:pPr>
            <w:r>
              <w:rPr>
                <w:rFonts w:ascii="Times New Roman" w:hAnsi="Times New Roman" w:cs="Times New Roman"/>
                <w:b/>
              </w:rPr>
              <w:t>ZK10-6/250</w:t>
            </w:r>
          </w:p>
        </w:tc>
        <w:tc>
          <w:tcPr>
            <w:tcW w:w="980" w:type="dxa"/>
            <w:vAlign w:val="center"/>
          </w:tcPr>
          <w:p>
            <w:pPr>
              <w:pStyle w:val="43"/>
              <w:jc w:val="center"/>
              <w:rPr>
                <w:rFonts w:ascii="Times New Roman" w:hAnsi="Times New Roman" w:cs="Times New Roman"/>
                <w:b/>
              </w:rPr>
            </w:pPr>
            <w:r>
              <w:rPr>
                <w:rFonts w:ascii="Times New Roman" w:hAnsi="Times New Roman" w:cs="Times New Roman"/>
                <w:b/>
              </w:rPr>
              <w:t>6</w:t>
            </w:r>
          </w:p>
        </w:tc>
        <w:tc>
          <w:tcPr>
            <w:tcW w:w="1667" w:type="dxa"/>
            <w:vMerge w:val="restart"/>
            <w:vAlign w:val="center"/>
          </w:tcPr>
          <w:p>
            <w:pPr>
              <w:pStyle w:val="43"/>
              <w:spacing w:line="0" w:lineRule="atLeast"/>
              <w:jc w:val="center"/>
              <w:rPr>
                <w:rFonts w:ascii="Times New Roman" w:hAnsi="Times New Roman" w:cs="Times New Roman"/>
                <w:b/>
              </w:rPr>
            </w:pPr>
            <w:r>
              <w:rPr>
                <w:rFonts w:ascii="Times New Roman" w:hAnsi="Times New Roman" w:cs="Times New Roman"/>
                <w:b/>
              </w:rPr>
              <w:t>无国家明令淘汰的设备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20" w:type="dxa"/>
            <w:vAlign w:val="center"/>
          </w:tcPr>
          <w:p>
            <w:pPr>
              <w:pStyle w:val="94"/>
            </w:pPr>
            <w:r>
              <w:t>2</w:t>
            </w:r>
          </w:p>
        </w:tc>
        <w:tc>
          <w:tcPr>
            <w:tcW w:w="2170" w:type="dxa"/>
            <w:vAlign w:val="center"/>
          </w:tcPr>
          <w:p>
            <w:pPr>
              <w:spacing w:line="0" w:lineRule="atLeast"/>
              <w:jc w:val="center"/>
              <w:rPr>
                <w:szCs w:val="21"/>
              </w:rPr>
            </w:pPr>
            <w:r>
              <w:rPr>
                <w:szCs w:val="21"/>
              </w:rPr>
              <w:t>固定式矿车</w:t>
            </w:r>
          </w:p>
        </w:tc>
        <w:tc>
          <w:tcPr>
            <w:tcW w:w="2785" w:type="dxa"/>
            <w:vAlign w:val="center"/>
          </w:tcPr>
          <w:p>
            <w:pPr>
              <w:pStyle w:val="43"/>
              <w:jc w:val="center"/>
              <w:rPr>
                <w:rFonts w:ascii="Times New Roman" w:hAnsi="Times New Roman" w:cs="Times New Roman"/>
                <w:b/>
              </w:rPr>
            </w:pPr>
            <w:r>
              <w:rPr>
                <w:rFonts w:ascii="Times New Roman" w:hAnsi="Times New Roman" w:cs="Times New Roman"/>
                <w:b/>
              </w:rPr>
              <w:t>YGC2-6（6）</w:t>
            </w:r>
          </w:p>
        </w:tc>
        <w:tc>
          <w:tcPr>
            <w:tcW w:w="980" w:type="dxa"/>
            <w:vAlign w:val="center"/>
          </w:tcPr>
          <w:p>
            <w:pPr>
              <w:pStyle w:val="43"/>
              <w:jc w:val="center"/>
              <w:rPr>
                <w:rFonts w:ascii="Times New Roman" w:hAnsi="Times New Roman" w:cs="Times New Roman"/>
                <w:b/>
              </w:rPr>
            </w:pPr>
            <w:r>
              <w:rPr>
                <w:rFonts w:ascii="Times New Roman" w:hAnsi="Times New Roman" w:cs="Times New Roman"/>
                <w:b/>
              </w:rPr>
              <w:t>140</w:t>
            </w:r>
          </w:p>
        </w:tc>
        <w:tc>
          <w:tcPr>
            <w:tcW w:w="1667" w:type="dxa"/>
            <w:vMerge w:val="continue"/>
            <w:vAlign w:val="center"/>
          </w:tcPr>
          <w:p>
            <w:pPr>
              <w:pStyle w:val="43"/>
              <w:spacing w:line="0" w:lineRule="atLeast"/>
              <w:ind w:firstLine="400"/>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20" w:type="dxa"/>
            <w:vAlign w:val="center"/>
          </w:tcPr>
          <w:p>
            <w:pPr>
              <w:pStyle w:val="94"/>
            </w:pPr>
            <w:r>
              <w:t>3</w:t>
            </w:r>
          </w:p>
        </w:tc>
        <w:tc>
          <w:tcPr>
            <w:tcW w:w="2170" w:type="dxa"/>
            <w:vAlign w:val="center"/>
          </w:tcPr>
          <w:p>
            <w:pPr>
              <w:spacing w:line="0" w:lineRule="atLeast"/>
              <w:jc w:val="center"/>
              <w:rPr>
                <w:szCs w:val="21"/>
              </w:rPr>
            </w:pPr>
            <w:r>
              <w:rPr>
                <w:szCs w:val="21"/>
              </w:rPr>
              <w:t>侧卸式矿车</w:t>
            </w:r>
          </w:p>
        </w:tc>
        <w:tc>
          <w:tcPr>
            <w:tcW w:w="2785" w:type="dxa"/>
            <w:vAlign w:val="center"/>
          </w:tcPr>
          <w:p>
            <w:pPr>
              <w:adjustRightInd w:val="0"/>
              <w:snapToGrid w:val="0"/>
              <w:jc w:val="center"/>
              <w:rPr>
                <w:szCs w:val="21"/>
              </w:rPr>
            </w:pPr>
            <w:r>
              <w:rPr>
                <w:szCs w:val="21"/>
              </w:rPr>
              <w:t>Ycc1.2(6)</w:t>
            </w:r>
          </w:p>
        </w:tc>
        <w:tc>
          <w:tcPr>
            <w:tcW w:w="980" w:type="dxa"/>
            <w:vAlign w:val="center"/>
          </w:tcPr>
          <w:p>
            <w:pPr>
              <w:pStyle w:val="43"/>
              <w:jc w:val="center"/>
              <w:rPr>
                <w:rFonts w:ascii="Times New Roman" w:hAnsi="Times New Roman" w:cs="Times New Roman"/>
                <w:b/>
              </w:rPr>
            </w:pPr>
            <w:r>
              <w:rPr>
                <w:rFonts w:ascii="Times New Roman" w:hAnsi="Times New Roman" w:cs="Times New Roman"/>
                <w:b/>
              </w:rPr>
              <w:t>90</w:t>
            </w:r>
          </w:p>
        </w:tc>
        <w:tc>
          <w:tcPr>
            <w:tcW w:w="1667" w:type="dxa"/>
            <w:vMerge w:val="continue"/>
            <w:vAlign w:val="center"/>
          </w:tcPr>
          <w:p>
            <w:pPr>
              <w:pStyle w:val="43"/>
              <w:spacing w:line="0" w:lineRule="atLeast"/>
              <w:ind w:firstLine="400"/>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20" w:type="dxa"/>
            <w:vAlign w:val="center"/>
          </w:tcPr>
          <w:p>
            <w:pPr>
              <w:pStyle w:val="43"/>
              <w:spacing w:line="0" w:lineRule="atLeast"/>
              <w:jc w:val="center"/>
              <w:rPr>
                <w:rFonts w:ascii="Times New Roman" w:hAnsi="Times New Roman" w:cs="Times New Roman"/>
                <w:b/>
              </w:rPr>
            </w:pPr>
            <w:r>
              <w:rPr>
                <w:rFonts w:ascii="Times New Roman" w:hAnsi="Times New Roman" w:cs="Times New Roman"/>
                <w:b/>
              </w:rPr>
              <w:t>4</w:t>
            </w:r>
          </w:p>
        </w:tc>
        <w:tc>
          <w:tcPr>
            <w:tcW w:w="2170" w:type="dxa"/>
            <w:vAlign w:val="center"/>
          </w:tcPr>
          <w:p>
            <w:pPr>
              <w:spacing w:line="0" w:lineRule="atLeast"/>
              <w:jc w:val="center"/>
              <w:rPr>
                <w:szCs w:val="21"/>
              </w:rPr>
            </w:pPr>
            <w:r>
              <w:rPr>
                <w:szCs w:val="21"/>
              </w:rPr>
              <w:t>平巷人车</w:t>
            </w:r>
          </w:p>
        </w:tc>
        <w:tc>
          <w:tcPr>
            <w:tcW w:w="2785" w:type="dxa"/>
            <w:vAlign w:val="center"/>
          </w:tcPr>
          <w:p>
            <w:pPr>
              <w:pStyle w:val="43"/>
              <w:jc w:val="center"/>
              <w:rPr>
                <w:rFonts w:ascii="Times New Roman" w:hAnsi="Times New Roman" w:cs="Times New Roman"/>
                <w:b/>
              </w:rPr>
            </w:pPr>
            <w:r>
              <w:rPr>
                <w:rFonts w:ascii="Times New Roman" w:hAnsi="Times New Roman" w:cs="Times New Roman"/>
                <w:b/>
              </w:rPr>
              <w:t>PRC-12</w:t>
            </w:r>
          </w:p>
        </w:tc>
        <w:tc>
          <w:tcPr>
            <w:tcW w:w="980" w:type="dxa"/>
            <w:vAlign w:val="center"/>
          </w:tcPr>
          <w:p>
            <w:pPr>
              <w:pStyle w:val="43"/>
              <w:jc w:val="center"/>
              <w:rPr>
                <w:rFonts w:ascii="Times New Roman" w:hAnsi="Times New Roman" w:cs="Times New Roman"/>
                <w:b/>
              </w:rPr>
            </w:pPr>
            <w:r>
              <w:rPr>
                <w:rFonts w:ascii="Times New Roman" w:hAnsi="Times New Roman" w:cs="Times New Roman"/>
                <w:b/>
              </w:rPr>
              <w:t>20</w:t>
            </w:r>
          </w:p>
        </w:tc>
        <w:tc>
          <w:tcPr>
            <w:tcW w:w="1667" w:type="dxa"/>
            <w:vMerge w:val="continue"/>
            <w:vAlign w:val="center"/>
          </w:tcPr>
          <w:p>
            <w:pPr>
              <w:pStyle w:val="43"/>
              <w:spacing w:line="0" w:lineRule="atLeast"/>
              <w:ind w:firstLine="400"/>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20" w:type="dxa"/>
            <w:vAlign w:val="center"/>
          </w:tcPr>
          <w:p>
            <w:pPr>
              <w:pStyle w:val="43"/>
              <w:spacing w:line="0" w:lineRule="atLeast"/>
              <w:jc w:val="center"/>
              <w:rPr>
                <w:rFonts w:ascii="Times New Roman" w:hAnsi="Times New Roman" w:cs="Times New Roman"/>
                <w:b/>
              </w:rPr>
            </w:pPr>
            <w:r>
              <w:rPr>
                <w:rFonts w:ascii="Times New Roman" w:hAnsi="Times New Roman" w:cs="Times New Roman"/>
                <w:b/>
              </w:rPr>
              <w:t>5</w:t>
            </w:r>
          </w:p>
        </w:tc>
        <w:tc>
          <w:tcPr>
            <w:tcW w:w="2170" w:type="dxa"/>
            <w:vAlign w:val="center"/>
          </w:tcPr>
          <w:p>
            <w:pPr>
              <w:spacing w:line="0" w:lineRule="atLeast"/>
              <w:jc w:val="center"/>
              <w:rPr>
                <w:szCs w:val="21"/>
              </w:rPr>
            </w:pPr>
            <w:r>
              <w:rPr>
                <w:szCs w:val="21"/>
              </w:rPr>
              <w:t>平板车辆</w:t>
            </w:r>
          </w:p>
        </w:tc>
        <w:tc>
          <w:tcPr>
            <w:tcW w:w="2785" w:type="dxa"/>
            <w:vAlign w:val="center"/>
          </w:tcPr>
          <w:p>
            <w:pPr>
              <w:pStyle w:val="43"/>
              <w:jc w:val="center"/>
              <w:rPr>
                <w:rFonts w:ascii="Times New Roman" w:hAnsi="Times New Roman" w:cs="Times New Roman"/>
                <w:b/>
              </w:rPr>
            </w:pPr>
            <w:r>
              <w:rPr>
                <w:rFonts w:ascii="Times New Roman" w:hAnsi="Times New Roman" w:cs="Times New Roman"/>
                <w:b/>
              </w:rPr>
              <w:t>YPC5（6）</w:t>
            </w:r>
          </w:p>
        </w:tc>
        <w:tc>
          <w:tcPr>
            <w:tcW w:w="980" w:type="dxa"/>
            <w:vAlign w:val="center"/>
          </w:tcPr>
          <w:p>
            <w:pPr>
              <w:pStyle w:val="43"/>
              <w:jc w:val="center"/>
              <w:rPr>
                <w:rFonts w:ascii="Times New Roman" w:hAnsi="Times New Roman" w:cs="Times New Roman"/>
                <w:b/>
              </w:rPr>
            </w:pPr>
            <w:r>
              <w:rPr>
                <w:rFonts w:ascii="Times New Roman" w:hAnsi="Times New Roman" w:cs="Times New Roman"/>
                <w:b/>
              </w:rPr>
              <w:t>8</w:t>
            </w:r>
          </w:p>
        </w:tc>
        <w:tc>
          <w:tcPr>
            <w:tcW w:w="1667" w:type="dxa"/>
            <w:vMerge w:val="continue"/>
            <w:vAlign w:val="center"/>
          </w:tcPr>
          <w:p>
            <w:pPr>
              <w:pStyle w:val="43"/>
              <w:spacing w:line="0" w:lineRule="atLeast"/>
              <w:ind w:firstLine="400"/>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20" w:type="dxa"/>
            <w:vAlign w:val="center"/>
          </w:tcPr>
          <w:p>
            <w:pPr>
              <w:pStyle w:val="43"/>
              <w:spacing w:line="0" w:lineRule="atLeast"/>
              <w:jc w:val="center"/>
              <w:rPr>
                <w:rFonts w:ascii="Times New Roman" w:hAnsi="Times New Roman" w:cs="Times New Roman"/>
                <w:b/>
              </w:rPr>
            </w:pPr>
            <w:r>
              <w:rPr>
                <w:rFonts w:ascii="Times New Roman" w:hAnsi="Times New Roman" w:cs="Times New Roman"/>
                <w:b/>
              </w:rPr>
              <w:t>6</w:t>
            </w:r>
          </w:p>
        </w:tc>
        <w:tc>
          <w:tcPr>
            <w:tcW w:w="2170" w:type="dxa"/>
            <w:vAlign w:val="center"/>
          </w:tcPr>
          <w:p>
            <w:pPr>
              <w:spacing w:line="0" w:lineRule="atLeast"/>
              <w:jc w:val="center"/>
              <w:rPr>
                <w:szCs w:val="21"/>
              </w:rPr>
            </w:pPr>
            <w:r>
              <w:rPr>
                <w:szCs w:val="21"/>
              </w:rPr>
              <w:t>材料车</w:t>
            </w:r>
          </w:p>
        </w:tc>
        <w:tc>
          <w:tcPr>
            <w:tcW w:w="2785" w:type="dxa"/>
            <w:vAlign w:val="center"/>
          </w:tcPr>
          <w:p>
            <w:pPr>
              <w:pStyle w:val="94"/>
            </w:pPr>
            <w:r>
              <w:t>YLC1（6）</w:t>
            </w:r>
          </w:p>
        </w:tc>
        <w:tc>
          <w:tcPr>
            <w:tcW w:w="980" w:type="dxa"/>
            <w:vAlign w:val="center"/>
          </w:tcPr>
          <w:p>
            <w:pPr>
              <w:pStyle w:val="94"/>
            </w:pPr>
            <w:r>
              <w:t>4</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20" w:type="dxa"/>
            <w:vAlign w:val="center"/>
          </w:tcPr>
          <w:p>
            <w:pPr>
              <w:pStyle w:val="94"/>
            </w:pPr>
            <w:r>
              <w:t>7</w:t>
            </w:r>
          </w:p>
        </w:tc>
        <w:tc>
          <w:tcPr>
            <w:tcW w:w="2170" w:type="dxa"/>
            <w:vAlign w:val="center"/>
          </w:tcPr>
          <w:p>
            <w:pPr>
              <w:spacing w:line="0" w:lineRule="atLeast"/>
              <w:jc w:val="center"/>
              <w:rPr>
                <w:szCs w:val="21"/>
              </w:rPr>
            </w:pPr>
            <w:r>
              <w:rPr>
                <w:szCs w:val="21"/>
              </w:rPr>
              <w:t>材料车辆</w:t>
            </w:r>
          </w:p>
        </w:tc>
        <w:tc>
          <w:tcPr>
            <w:tcW w:w="2785" w:type="dxa"/>
            <w:vAlign w:val="center"/>
          </w:tcPr>
          <w:p>
            <w:pPr>
              <w:pStyle w:val="94"/>
            </w:pPr>
            <w:r>
              <w:t>YLC3（6）</w:t>
            </w:r>
          </w:p>
        </w:tc>
        <w:tc>
          <w:tcPr>
            <w:tcW w:w="980" w:type="dxa"/>
            <w:vAlign w:val="center"/>
          </w:tcPr>
          <w:p>
            <w:pPr>
              <w:pStyle w:val="94"/>
            </w:pPr>
            <w:r>
              <w:t>5</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pStyle w:val="94"/>
            </w:pPr>
            <w:r>
              <w:t>8</w:t>
            </w:r>
          </w:p>
        </w:tc>
        <w:tc>
          <w:tcPr>
            <w:tcW w:w="2170" w:type="dxa"/>
            <w:vAlign w:val="center"/>
          </w:tcPr>
          <w:p>
            <w:pPr>
              <w:pStyle w:val="94"/>
            </w:pPr>
            <w:r>
              <w:t>多绳磨擦提升机</w:t>
            </w:r>
          </w:p>
        </w:tc>
        <w:tc>
          <w:tcPr>
            <w:tcW w:w="2785" w:type="dxa"/>
            <w:vAlign w:val="center"/>
          </w:tcPr>
          <w:p>
            <w:pPr>
              <w:pStyle w:val="94"/>
            </w:pPr>
            <w:r>
              <w:t>JKMD3.25×4</w:t>
            </w:r>
          </w:p>
        </w:tc>
        <w:tc>
          <w:tcPr>
            <w:tcW w:w="980" w:type="dxa"/>
            <w:vAlign w:val="center"/>
          </w:tcPr>
          <w:p>
            <w:pPr>
              <w:pStyle w:val="94"/>
            </w:pPr>
            <w:r>
              <w:t>1</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pStyle w:val="94"/>
            </w:pPr>
            <w:r>
              <w:t>9</w:t>
            </w:r>
          </w:p>
        </w:tc>
        <w:tc>
          <w:tcPr>
            <w:tcW w:w="2170" w:type="dxa"/>
            <w:vAlign w:val="center"/>
          </w:tcPr>
          <w:p>
            <w:pPr>
              <w:pStyle w:val="94"/>
            </w:pPr>
            <w:r>
              <w:t>风机</w:t>
            </w:r>
          </w:p>
        </w:tc>
        <w:tc>
          <w:tcPr>
            <w:tcW w:w="2785" w:type="dxa"/>
            <w:vAlign w:val="center"/>
          </w:tcPr>
          <w:p>
            <w:pPr>
              <w:spacing w:line="0" w:lineRule="atLeast"/>
              <w:jc w:val="center"/>
              <w:rPr>
                <w:szCs w:val="21"/>
              </w:rPr>
            </w:pPr>
            <w:r>
              <w:rPr>
                <w:szCs w:val="21"/>
              </w:rPr>
              <w:t>BK54-6-№18</w:t>
            </w:r>
          </w:p>
        </w:tc>
        <w:tc>
          <w:tcPr>
            <w:tcW w:w="980" w:type="dxa"/>
            <w:vAlign w:val="center"/>
          </w:tcPr>
          <w:p>
            <w:pPr>
              <w:pStyle w:val="94"/>
            </w:pPr>
            <w:r>
              <w:t>4</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20" w:type="dxa"/>
            <w:vAlign w:val="center"/>
          </w:tcPr>
          <w:p>
            <w:pPr>
              <w:pStyle w:val="94"/>
            </w:pPr>
            <w:r>
              <w:t>10</w:t>
            </w:r>
          </w:p>
        </w:tc>
        <w:tc>
          <w:tcPr>
            <w:tcW w:w="2170" w:type="dxa"/>
            <w:vAlign w:val="center"/>
          </w:tcPr>
          <w:p>
            <w:pPr>
              <w:spacing w:line="0" w:lineRule="atLeast"/>
              <w:jc w:val="center"/>
              <w:rPr>
                <w:szCs w:val="21"/>
              </w:rPr>
            </w:pPr>
            <w:r>
              <w:rPr>
                <w:szCs w:val="21"/>
              </w:rPr>
              <w:t>发电机</w:t>
            </w:r>
          </w:p>
        </w:tc>
        <w:tc>
          <w:tcPr>
            <w:tcW w:w="2785" w:type="dxa"/>
            <w:vAlign w:val="center"/>
          </w:tcPr>
          <w:p>
            <w:pPr>
              <w:spacing w:line="0" w:lineRule="atLeast"/>
              <w:jc w:val="center"/>
              <w:rPr>
                <w:szCs w:val="21"/>
              </w:rPr>
            </w:pPr>
            <w:r>
              <w:rPr>
                <w:szCs w:val="21"/>
              </w:rPr>
              <w:t>75GF</w:t>
            </w:r>
          </w:p>
        </w:tc>
        <w:tc>
          <w:tcPr>
            <w:tcW w:w="980" w:type="dxa"/>
            <w:vAlign w:val="center"/>
          </w:tcPr>
          <w:p>
            <w:pPr>
              <w:spacing w:line="0" w:lineRule="atLeast"/>
              <w:jc w:val="center"/>
              <w:rPr>
                <w:szCs w:val="21"/>
              </w:rPr>
            </w:pPr>
            <w:r>
              <w:rPr>
                <w:szCs w:val="21"/>
              </w:rPr>
              <w:t>2台</w:t>
            </w:r>
          </w:p>
        </w:tc>
        <w:tc>
          <w:tcPr>
            <w:tcW w:w="1667" w:type="dxa"/>
            <w:vMerge w:val="continue"/>
            <w:vAlign w:val="center"/>
          </w:tcPr>
          <w:p>
            <w:pPr>
              <w:spacing w:line="0" w:lineRule="atLeas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pStyle w:val="94"/>
            </w:pPr>
            <w:r>
              <w:t>11</w:t>
            </w:r>
          </w:p>
        </w:tc>
        <w:tc>
          <w:tcPr>
            <w:tcW w:w="2170" w:type="dxa"/>
            <w:vAlign w:val="center"/>
          </w:tcPr>
          <w:p>
            <w:pPr>
              <w:pStyle w:val="94"/>
            </w:pPr>
            <w:r>
              <w:t>凿岩机</w:t>
            </w:r>
          </w:p>
        </w:tc>
        <w:tc>
          <w:tcPr>
            <w:tcW w:w="2785" w:type="dxa"/>
            <w:vAlign w:val="center"/>
          </w:tcPr>
          <w:p>
            <w:pPr>
              <w:spacing w:line="0" w:lineRule="atLeast"/>
              <w:jc w:val="center"/>
              <w:rPr>
                <w:szCs w:val="21"/>
              </w:rPr>
            </w:pPr>
            <w:r>
              <w:rPr>
                <w:szCs w:val="21"/>
              </w:rPr>
              <w:t>YG-80导轨式</w:t>
            </w:r>
          </w:p>
        </w:tc>
        <w:tc>
          <w:tcPr>
            <w:tcW w:w="980" w:type="dxa"/>
            <w:vAlign w:val="center"/>
          </w:tcPr>
          <w:p>
            <w:pPr>
              <w:pStyle w:val="94"/>
            </w:pPr>
            <w:r>
              <w:t>30</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20" w:type="dxa"/>
            <w:vAlign w:val="center"/>
          </w:tcPr>
          <w:p>
            <w:pPr>
              <w:pStyle w:val="94"/>
            </w:pPr>
            <w:r>
              <w:t>12</w:t>
            </w:r>
          </w:p>
        </w:tc>
        <w:tc>
          <w:tcPr>
            <w:tcW w:w="2170" w:type="dxa"/>
            <w:vAlign w:val="center"/>
          </w:tcPr>
          <w:p>
            <w:pPr>
              <w:pStyle w:val="94"/>
            </w:pPr>
            <w:r>
              <w:t>空压机</w:t>
            </w:r>
          </w:p>
        </w:tc>
        <w:tc>
          <w:tcPr>
            <w:tcW w:w="2785" w:type="dxa"/>
            <w:vAlign w:val="center"/>
          </w:tcPr>
          <w:p>
            <w:pPr>
              <w:pStyle w:val="94"/>
            </w:pPr>
            <w:r>
              <w:t>LQD132/0133型空压机12</w:t>
            </w:r>
          </w:p>
        </w:tc>
        <w:tc>
          <w:tcPr>
            <w:tcW w:w="980" w:type="dxa"/>
            <w:vAlign w:val="center"/>
          </w:tcPr>
          <w:p>
            <w:pPr>
              <w:pStyle w:val="94"/>
            </w:pPr>
            <w:r>
              <w:t>12</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20" w:type="dxa"/>
            <w:vAlign w:val="center"/>
          </w:tcPr>
          <w:p>
            <w:pPr>
              <w:pStyle w:val="94"/>
            </w:pPr>
            <w:r>
              <w:t>13</w:t>
            </w:r>
          </w:p>
        </w:tc>
        <w:tc>
          <w:tcPr>
            <w:tcW w:w="2170" w:type="dxa"/>
            <w:vAlign w:val="center"/>
          </w:tcPr>
          <w:p>
            <w:pPr>
              <w:pStyle w:val="94"/>
            </w:pPr>
            <w:r>
              <w:t>铲运机</w:t>
            </w:r>
          </w:p>
        </w:tc>
        <w:tc>
          <w:tcPr>
            <w:tcW w:w="2785" w:type="dxa"/>
            <w:vAlign w:val="center"/>
          </w:tcPr>
          <w:p>
            <w:pPr>
              <w:pStyle w:val="94"/>
            </w:pPr>
            <w:r>
              <w:t>TWD-2</w:t>
            </w:r>
          </w:p>
        </w:tc>
        <w:tc>
          <w:tcPr>
            <w:tcW w:w="980" w:type="dxa"/>
            <w:vAlign w:val="center"/>
          </w:tcPr>
          <w:p>
            <w:pPr>
              <w:pStyle w:val="94"/>
            </w:pPr>
            <w:r>
              <w:t>8</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20" w:type="dxa"/>
            <w:vAlign w:val="center"/>
          </w:tcPr>
          <w:p>
            <w:pPr>
              <w:pStyle w:val="94"/>
            </w:pPr>
            <w:r>
              <w:t>14</w:t>
            </w:r>
          </w:p>
        </w:tc>
        <w:tc>
          <w:tcPr>
            <w:tcW w:w="2170" w:type="dxa"/>
            <w:vAlign w:val="center"/>
          </w:tcPr>
          <w:p>
            <w:pPr>
              <w:pStyle w:val="94"/>
            </w:pPr>
            <w:r>
              <w:t>主扇</w:t>
            </w:r>
          </w:p>
        </w:tc>
        <w:tc>
          <w:tcPr>
            <w:tcW w:w="2785" w:type="dxa"/>
            <w:vAlign w:val="center"/>
          </w:tcPr>
          <w:p>
            <w:pPr>
              <w:pStyle w:val="94"/>
            </w:pPr>
            <w:r>
              <w:t>FBCZ54-6-No19</w:t>
            </w:r>
          </w:p>
        </w:tc>
        <w:tc>
          <w:tcPr>
            <w:tcW w:w="980" w:type="dxa"/>
            <w:vAlign w:val="center"/>
          </w:tcPr>
          <w:p>
            <w:pPr>
              <w:pStyle w:val="94"/>
            </w:pPr>
            <w:r>
              <w:t>10</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rPr>
        <w:tc>
          <w:tcPr>
            <w:tcW w:w="920" w:type="dxa"/>
            <w:vAlign w:val="center"/>
          </w:tcPr>
          <w:p>
            <w:pPr>
              <w:pStyle w:val="94"/>
            </w:pPr>
            <w:r>
              <w:t>15</w:t>
            </w:r>
          </w:p>
        </w:tc>
        <w:tc>
          <w:tcPr>
            <w:tcW w:w="2170" w:type="dxa"/>
            <w:vAlign w:val="center"/>
          </w:tcPr>
          <w:p>
            <w:pPr>
              <w:pStyle w:val="94"/>
            </w:pPr>
            <w:r>
              <w:t>振动放矿机</w:t>
            </w:r>
          </w:p>
        </w:tc>
        <w:tc>
          <w:tcPr>
            <w:tcW w:w="2785" w:type="dxa"/>
            <w:vAlign w:val="center"/>
          </w:tcPr>
          <w:p>
            <w:pPr>
              <w:spacing w:line="0" w:lineRule="atLeast"/>
              <w:jc w:val="center"/>
              <w:rPr>
                <w:szCs w:val="21"/>
              </w:rPr>
            </w:pPr>
            <w:r>
              <w:rPr>
                <w:szCs w:val="21"/>
              </w:rPr>
              <w:t>Fzc-3.1/1.4-5.5</w:t>
            </w:r>
          </w:p>
        </w:tc>
        <w:tc>
          <w:tcPr>
            <w:tcW w:w="980" w:type="dxa"/>
            <w:vAlign w:val="center"/>
          </w:tcPr>
          <w:p>
            <w:pPr>
              <w:pStyle w:val="94"/>
            </w:pPr>
            <w:r>
              <w:t>4</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20" w:type="dxa"/>
            <w:vAlign w:val="center"/>
          </w:tcPr>
          <w:p>
            <w:pPr>
              <w:pStyle w:val="94"/>
            </w:pPr>
            <w:r>
              <w:t>16</w:t>
            </w:r>
          </w:p>
        </w:tc>
        <w:tc>
          <w:tcPr>
            <w:tcW w:w="2170" w:type="dxa"/>
            <w:vAlign w:val="center"/>
          </w:tcPr>
          <w:p>
            <w:pPr>
              <w:pStyle w:val="94"/>
            </w:pPr>
            <w:r>
              <w:t>水泵</w:t>
            </w:r>
          </w:p>
        </w:tc>
        <w:tc>
          <w:tcPr>
            <w:tcW w:w="2785" w:type="dxa"/>
            <w:vAlign w:val="center"/>
          </w:tcPr>
          <w:p>
            <w:pPr>
              <w:spacing w:line="0" w:lineRule="atLeast"/>
              <w:jc w:val="center"/>
              <w:rPr>
                <w:szCs w:val="21"/>
              </w:rPr>
            </w:pPr>
            <w:r>
              <w:rPr>
                <w:szCs w:val="21"/>
              </w:rPr>
              <w:t>D280-43×8</w:t>
            </w:r>
          </w:p>
        </w:tc>
        <w:tc>
          <w:tcPr>
            <w:tcW w:w="980" w:type="dxa"/>
            <w:vAlign w:val="center"/>
          </w:tcPr>
          <w:p>
            <w:pPr>
              <w:pStyle w:val="94"/>
            </w:pPr>
            <w:r>
              <w:t>15</w:t>
            </w:r>
          </w:p>
        </w:tc>
        <w:tc>
          <w:tcPr>
            <w:tcW w:w="1667" w:type="dxa"/>
            <w:vMerge w:val="continue"/>
            <w:vAlign w:val="center"/>
          </w:tcPr>
          <w:p>
            <w:pPr>
              <w:pStyle w:val="9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20" w:type="dxa"/>
            <w:vAlign w:val="center"/>
          </w:tcPr>
          <w:p>
            <w:pPr>
              <w:pStyle w:val="94"/>
            </w:pPr>
            <w:r>
              <w:t>17</w:t>
            </w:r>
          </w:p>
        </w:tc>
        <w:tc>
          <w:tcPr>
            <w:tcW w:w="2170" w:type="dxa"/>
            <w:vAlign w:val="center"/>
          </w:tcPr>
          <w:p>
            <w:pPr>
              <w:spacing w:line="0" w:lineRule="atLeast"/>
              <w:jc w:val="center"/>
              <w:rPr>
                <w:szCs w:val="21"/>
              </w:rPr>
            </w:pPr>
            <w:r>
              <w:rPr>
                <w:szCs w:val="21"/>
              </w:rPr>
              <w:t>矿车</w:t>
            </w:r>
          </w:p>
        </w:tc>
        <w:tc>
          <w:tcPr>
            <w:tcW w:w="2785" w:type="dxa"/>
            <w:vAlign w:val="center"/>
          </w:tcPr>
          <w:p>
            <w:pPr>
              <w:spacing w:line="0" w:lineRule="atLeast"/>
              <w:jc w:val="center"/>
              <w:rPr>
                <w:szCs w:val="21"/>
              </w:rPr>
            </w:pPr>
            <w:r>
              <w:rPr>
                <w:szCs w:val="21"/>
              </w:rPr>
              <w:t>YFC0.7-6</w:t>
            </w:r>
          </w:p>
        </w:tc>
        <w:tc>
          <w:tcPr>
            <w:tcW w:w="980" w:type="dxa"/>
            <w:vAlign w:val="center"/>
          </w:tcPr>
          <w:p>
            <w:pPr>
              <w:spacing w:line="0" w:lineRule="atLeast"/>
              <w:jc w:val="center"/>
              <w:rPr>
                <w:szCs w:val="21"/>
              </w:rPr>
            </w:pPr>
            <w:r>
              <w:rPr>
                <w:szCs w:val="21"/>
              </w:rPr>
              <w:t>30</w:t>
            </w:r>
          </w:p>
        </w:tc>
        <w:tc>
          <w:tcPr>
            <w:tcW w:w="1667" w:type="dxa"/>
            <w:vMerge w:val="continue"/>
            <w:vAlign w:val="center"/>
          </w:tcPr>
          <w:p>
            <w:pPr>
              <w:spacing w:line="0" w:lineRule="atLeast"/>
              <w:jc w:val="center"/>
              <w:rPr>
                <w:szCs w:val="21"/>
              </w:rPr>
            </w:pPr>
          </w:p>
        </w:tc>
      </w:tr>
    </w:tbl>
    <w:p>
      <w:pPr>
        <w:pStyle w:val="5"/>
      </w:pPr>
      <w:r>
        <w:t>2.2.2.15主要原辅材料及能源消耗</w:t>
      </w:r>
    </w:p>
    <w:p>
      <w:pPr>
        <w:pStyle w:val="107"/>
      </w:pPr>
      <w:r>
        <w:t xml:space="preserve">    本项目采矿主要物料、能源消耗见表2.2-10。</w:t>
      </w:r>
    </w:p>
    <w:p>
      <w:pPr>
        <w:pStyle w:val="107"/>
      </w:pPr>
    </w:p>
    <w:p>
      <w:pPr>
        <w:jc w:val="left"/>
        <w:rPr>
          <w:b/>
          <w:bCs/>
          <w:lang w:val="zh-CN"/>
        </w:rPr>
      </w:pPr>
    </w:p>
    <w:p>
      <w:pPr>
        <w:jc w:val="left"/>
        <w:rPr>
          <w:rFonts w:eastAsia="黑体"/>
          <w:sz w:val="22"/>
          <w:szCs w:val="22"/>
        </w:rPr>
      </w:pPr>
      <w:r>
        <w:rPr>
          <w:b/>
          <w:bCs/>
          <w:lang w:val="zh-CN"/>
        </w:rPr>
        <w:t xml:space="preserve">    </w:t>
      </w:r>
      <w:r>
        <w:rPr>
          <w:rFonts w:eastAsia="黑体"/>
          <w:bCs/>
          <w:sz w:val="22"/>
          <w:szCs w:val="22"/>
          <w:lang w:val="zh-CN"/>
        </w:rPr>
        <w:t xml:space="preserve">表2.2-10                  </w:t>
      </w:r>
      <w:r>
        <w:rPr>
          <w:rFonts w:eastAsia="黑体"/>
          <w:sz w:val="22"/>
          <w:szCs w:val="22"/>
        </w:rPr>
        <w:t>采矿原辅材料及能源消耗</w:t>
      </w:r>
    </w:p>
    <w:tbl>
      <w:tblPr>
        <w:tblStyle w:val="54"/>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2482"/>
        <w:gridCol w:w="1190"/>
        <w:gridCol w:w="1703"/>
        <w:gridCol w:w="2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1011" w:type="dxa"/>
            <w:shd w:val="clear" w:color="auto" w:fill="auto"/>
            <w:vAlign w:val="center"/>
          </w:tcPr>
          <w:p>
            <w:pPr>
              <w:spacing w:line="0" w:lineRule="atLeast"/>
              <w:jc w:val="center"/>
              <w:rPr>
                <w:szCs w:val="21"/>
              </w:rPr>
            </w:pPr>
            <w:r>
              <w:rPr>
                <w:szCs w:val="21"/>
              </w:rPr>
              <w:t>序号</w:t>
            </w:r>
          </w:p>
        </w:tc>
        <w:tc>
          <w:tcPr>
            <w:tcW w:w="2482" w:type="dxa"/>
            <w:shd w:val="clear" w:color="auto" w:fill="auto"/>
            <w:vAlign w:val="center"/>
          </w:tcPr>
          <w:p>
            <w:pPr>
              <w:spacing w:line="0" w:lineRule="atLeast"/>
              <w:jc w:val="center"/>
              <w:rPr>
                <w:szCs w:val="21"/>
              </w:rPr>
            </w:pPr>
            <w:r>
              <w:rPr>
                <w:szCs w:val="21"/>
              </w:rPr>
              <w:t>项目</w:t>
            </w:r>
          </w:p>
        </w:tc>
        <w:tc>
          <w:tcPr>
            <w:tcW w:w="1190" w:type="dxa"/>
            <w:shd w:val="clear" w:color="auto" w:fill="auto"/>
            <w:vAlign w:val="center"/>
          </w:tcPr>
          <w:p>
            <w:pPr>
              <w:spacing w:line="0" w:lineRule="atLeast"/>
              <w:jc w:val="center"/>
              <w:rPr>
                <w:szCs w:val="21"/>
              </w:rPr>
            </w:pPr>
            <w:r>
              <w:rPr>
                <w:szCs w:val="21"/>
              </w:rPr>
              <w:t>单位</w:t>
            </w:r>
          </w:p>
        </w:tc>
        <w:tc>
          <w:tcPr>
            <w:tcW w:w="1703" w:type="dxa"/>
            <w:vAlign w:val="center"/>
          </w:tcPr>
          <w:p>
            <w:pPr>
              <w:spacing w:line="0" w:lineRule="atLeast"/>
              <w:jc w:val="center"/>
              <w:rPr>
                <w:szCs w:val="21"/>
              </w:rPr>
            </w:pPr>
            <w:r>
              <w:rPr>
                <w:szCs w:val="21"/>
              </w:rPr>
              <w:t>年耗量</w:t>
            </w:r>
          </w:p>
        </w:tc>
        <w:tc>
          <w:tcPr>
            <w:tcW w:w="2136" w:type="dxa"/>
            <w:shd w:val="clear" w:color="auto" w:fill="auto"/>
            <w:vAlign w:val="center"/>
          </w:tcPr>
          <w:p>
            <w:pPr>
              <w:spacing w:line="0" w:lineRule="atLeast"/>
              <w:jc w:val="center"/>
              <w:rPr>
                <w:szCs w:val="21"/>
              </w:rPr>
            </w:pPr>
            <w:r>
              <w:rPr>
                <w:szCs w:val="21"/>
              </w:rPr>
              <w:t>每吨矿石消耗定额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1011" w:type="dxa"/>
            <w:shd w:val="clear" w:color="auto" w:fill="auto"/>
            <w:vAlign w:val="center"/>
          </w:tcPr>
          <w:p>
            <w:pPr>
              <w:spacing w:line="0" w:lineRule="atLeast"/>
              <w:jc w:val="center"/>
              <w:rPr>
                <w:b/>
                <w:szCs w:val="21"/>
              </w:rPr>
            </w:pPr>
            <w:r>
              <w:rPr>
                <w:b/>
                <w:szCs w:val="21"/>
              </w:rPr>
              <w:t>1</w:t>
            </w:r>
          </w:p>
        </w:tc>
        <w:tc>
          <w:tcPr>
            <w:tcW w:w="2482" w:type="dxa"/>
            <w:shd w:val="clear" w:color="auto" w:fill="auto"/>
            <w:vAlign w:val="center"/>
          </w:tcPr>
          <w:p>
            <w:pPr>
              <w:spacing w:line="0" w:lineRule="atLeast"/>
              <w:jc w:val="center"/>
              <w:rPr>
                <w:b/>
                <w:szCs w:val="21"/>
              </w:rPr>
            </w:pPr>
            <w:r>
              <w:rPr>
                <w:b/>
                <w:szCs w:val="21"/>
              </w:rPr>
              <w:t>原辅料</w:t>
            </w:r>
          </w:p>
        </w:tc>
        <w:tc>
          <w:tcPr>
            <w:tcW w:w="1190" w:type="dxa"/>
            <w:shd w:val="clear" w:color="auto" w:fill="auto"/>
            <w:vAlign w:val="center"/>
          </w:tcPr>
          <w:p>
            <w:pPr>
              <w:spacing w:line="0" w:lineRule="atLeast"/>
              <w:jc w:val="center"/>
              <w:rPr>
                <w:b/>
                <w:szCs w:val="21"/>
              </w:rPr>
            </w:pPr>
          </w:p>
        </w:tc>
        <w:tc>
          <w:tcPr>
            <w:tcW w:w="1703" w:type="dxa"/>
            <w:vAlign w:val="center"/>
          </w:tcPr>
          <w:p>
            <w:pPr>
              <w:spacing w:line="0" w:lineRule="atLeast"/>
              <w:jc w:val="center"/>
              <w:rPr>
                <w:b/>
                <w:szCs w:val="21"/>
              </w:rPr>
            </w:pPr>
          </w:p>
        </w:tc>
        <w:tc>
          <w:tcPr>
            <w:tcW w:w="2136" w:type="dxa"/>
            <w:shd w:val="clear" w:color="auto" w:fill="auto"/>
            <w:vAlign w:val="center"/>
          </w:tcPr>
          <w:p>
            <w:pPr>
              <w:spacing w:line="0" w:lineRule="atLeas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1011" w:type="dxa"/>
            <w:shd w:val="clear" w:color="auto" w:fill="auto"/>
            <w:vAlign w:val="center"/>
          </w:tcPr>
          <w:p>
            <w:pPr>
              <w:spacing w:line="0" w:lineRule="atLeast"/>
              <w:jc w:val="center"/>
              <w:rPr>
                <w:szCs w:val="21"/>
              </w:rPr>
            </w:pPr>
            <w:r>
              <w:rPr>
                <w:szCs w:val="21"/>
              </w:rPr>
              <w:t>1.1</w:t>
            </w:r>
          </w:p>
        </w:tc>
        <w:tc>
          <w:tcPr>
            <w:tcW w:w="2482" w:type="dxa"/>
            <w:shd w:val="clear" w:color="auto" w:fill="auto"/>
            <w:vAlign w:val="center"/>
          </w:tcPr>
          <w:p>
            <w:pPr>
              <w:spacing w:line="0" w:lineRule="atLeast"/>
              <w:jc w:val="center"/>
              <w:rPr>
                <w:szCs w:val="21"/>
              </w:rPr>
            </w:pPr>
            <w:r>
              <w:rPr>
                <w:szCs w:val="21"/>
              </w:rPr>
              <w:t>乳化炸药</w:t>
            </w:r>
          </w:p>
        </w:tc>
        <w:tc>
          <w:tcPr>
            <w:tcW w:w="1190" w:type="dxa"/>
            <w:shd w:val="clear" w:color="auto" w:fill="auto"/>
            <w:vAlign w:val="center"/>
          </w:tcPr>
          <w:p>
            <w:pPr>
              <w:spacing w:line="0" w:lineRule="atLeast"/>
              <w:jc w:val="center"/>
              <w:rPr>
                <w:szCs w:val="21"/>
              </w:rPr>
            </w:pPr>
            <w:r>
              <w:rPr>
                <w:szCs w:val="21"/>
              </w:rPr>
              <w:t>t</w:t>
            </w:r>
          </w:p>
        </w:tc>
        <w:tc>
          <w:tcPr>
            <w:tcW w:w="1703" w:type="dxa"/>
            <w:vAlign w:val="center"/>
          </w:tcPr>
          <w:p>
            <w:pPr>
              <w:spacing w:line="0" w:lineRule="atLeast"/>
              <w:jc w:val="center"/>
              <w:rPr>
                <w:szCs w:val="21"/>
              </w:rPr>
            </w:pPr>
            <w:r>
              <w:rPr>
                <w:szCs w:val="21"/>
              </w:rPr>
              <w:t>200</w:t>
            </w:r>
          </w:p>
        </w:tc>
        <w:tc>
          <w:tcPr>
            <w:tcW w:w="2136" w:type="dxa"/>
            <w:shd w:val="clear" w:color="auto" w:fill="auto"/>
            <w:vAlign w:val="center"/>
          </w:tcPr>
          <w:p>
            <w:pPr>
              <w:spacing w:line="0" w:lineRule="atLeast"/>
              <w:jc w:val="center"/>
              <w:rPr>
                <w:szCs w:val="21"/>
              </w:rPr>
            </w:pPr>
            <w:r>
              <w:rPr>
                <w:szCs w:val="21"/>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1011" w:type="dxa"/>
            <w:shd w:val="clear" w:color="auto" w:fill="auto"/>
            <w:vAlign w:val="center"/>
          </w:tcPr>
          <w:p>
            <w:pPr>
              <w:spacing w:line="0" w:lineRule="atLeast"/>
              <w:jc w:val="center"/>
              <w:rPr>
                <w:szCs w:val="21"/>
              </w:rPr>
            </w:pPr>
            <w:r>
              <w:rPr>
                <w:szCs w:val="21"/>
              </w:rPr>
              <w:t>1.</w:t>
            </w:r>
            <w:r>
              <w:rPr>
                <w:rFonts w:hint="eastAsia"/>
                <w:szCs w:val="21"/>
              </w:rPr>
              <w:t>2</w:t>
            </w:r>
          </w:p>
        </w:tc>
        <w:tc>
          <w:tcPr>
            <w:tcW w:w="2482" w:type="dxa"/>
            <w:shd w:val="clear" w:color="auto" w:fill="auto"/>
            <w:vAlign w:val="center"/>
          </w:tcPr>
          <w:p>
            <w:pPr>
              <w:spacing w:line="0" w:lineRule="atLeast"/>
              <w:jc w:val="center"/>
              <w:rPr>
                <w:szCs w:val="21"/>
              </w:rPr>
            </w:pPr>
            <w:r>
              <w:rPr>
                <w:szCs w:val="21"/>
              </w:rPr>
              <w:t>钎钢</w:t>
            </w:r>
          </w:p>
        </w:tc>
        <w:tc>
          <w:tcPr>
            <w:tcW w:w="1190" w:type="dxa"/>
            <w:shd w:val="clear" w:color="auto" w:fill="auto"/>
            <w:vAlign w:val="center"/>
          </w:tcPr>
          <w:p>
            <w:pPr>
              <w:spacing w:line="0" w:lineRule="atLeast"/>
              <w:jc w:val="center"/>
              <w:rPr>
                <w:szCs w:val="21"/>
              </w:rPr>
            </w:pPr>
            <w:r>
              <w:rPr>
                <w:szCs w:val="21"/>
              </w:rPr>
              <w:t>根</w:t>
            </w:r>
          </w:p>
        </w:tc>
        <w:tc>
          <w:tcPr>
            <w:tcW w:w="1703" w:type="dxa"/>
            <w:vAlign w:val="center"/>
          </w:tcPr>
          <w:p>
            <w:pPr>
              <w:spacing w:line="0" w:lineRule="atLeast"/>
              <w:jc w:val="center"/>
              <w:rPr>
                <w:szCs w:val="21"/>
              </w:rPr>
            </w:pPr>
            <w:r>
              <w:rPr>
                <w:szCs w:val="21"/>
              </w:rPr>
              <w:t>3000</w:t>
            </w:r>
          </w:p>
        </w:tc>
        <w:tc>
          <w:tcPr>
            <w:tcW w:w="2136" w:type="dxa"/>
            <w:shd w:val="clear" w:color="auto" w:fill="auto"/>
            <w:vAlign w:val="center"/>
          </w:tcPr>
          <w:p>
            <w:pPr>
              <w:spacing w:line="0" w:lineRule="atLeast"/>
              <w:jc w:val="center"/>
              <w:rPr>
                <w:szCs w:val="21"/>
              </w:rPr>
            </w:pPr>
            <w:r>
              <w:rPr>
                <w:szCs w:val="21"/>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1011" w:type="dxa"/>
            <w:shd w:val="clear" w:color="auto" w:fill="auto"/>
            <w:vAlign w:val="center"/>
          </w:tcPr>
          <w:p>
            <w:pPr>
              <w:spacing w:line="0" w:lineRule="atLeast"/>
              <w:jc w:val="center"/>
              <w:rPr>
                <w:szCs w:val="21"/>
              </w:rPr>
            </w:pPr>
            <w:r>
              <w:rPr>
                <w:szCs w:val="21"/>
              </w:rPr>
              <w:t>1.</w:t>
            </w:r>
            <w:r>
              <w:rPr>
                <w:rFonts w:hint="eastAsia"/>
                <w:szCs w:val="21"/>
              </w:rPr>
              <w:t>3</w:t>
            </w:r>
          </w:p>
        </w:tc>
        <w:tc>
          <w:tcPr>
            <w:tcW w:w="2482" w:type="dxa"/>
            <w:shd w:val="clear" w:color="auto" w:fill="auto"/>
            <w:vAlign w:val="center"/>
          </w:tcPr>
          <w:p>
            <w:pPr>
              <w:spacing w:line="0" w:lineRule="atLeast"/>
              <w:jc w:val="center"/>
              <w:rPr>
                <w:szCs w:val="21"/>
              </w:rPr>
            </w:pPr>
            <w:r>
              <w:rPr>
                <w:szCs w:val="21"/>
              </w:rPr>
              <w:t>木材</w:t>
            </w:r>
          </w:p>
        </w:tc>
        <w:tc>
          <w:tcPr>
            <w:tcW w:w="1190" w:type="dxa"/>
            <w:shd w:val="clear" w:color="auto" w:fill="auto"/>
            <w:vAlign w:val="center"/>
          </w:tcPr>
          <w:p>
            <w:pPr>
              <w:spacing w:line="0" w:lineRule="atLeast"/>
              <w:jc w:val="center"/>
              <w:rPr>
                <w:szCs w:val="21"/>
              </w:rPr>
            </w:pPr>
            <w:r>
              <w:rPr>
                <w:szCs w:val="21"/>
              </w:rPr>
              <w:t>m</w:t>
            </w:r>
            <w:r>
              <w:rPr>
                <w:szCs w:val="21"/>
                <w:vertAlign w:val="superscript"/>
              </w:rPr>
              <w:t>3</w:t>
            </w:r>
          </w:p>
        </w:tc>
        <w:tc>
          <w:tcPr>
            <w:tcW w:w="1703" w:type="dxa"/>
            <w:vAlign w:val="center"/>
          </w:tcPr>
          <w:p>
            <w:pPr>
              <w:spacing w:line="0" w:lineRule="atLeast"/>
              <w:jc w:val="center"/>
              <w:rPr>
                <w:szCs w:val="21"/>
              </w:rPr>
            </w:pPr>
            <w:r>
              <w:rPr>
                <w:szCs w:val="21"/>
              </w:rPr>
              <w:t>500</w:t>
            </w:r>
          </w:p>
        </w:tc>
        <w:tc>
          <w:tcPr>
            <w:tcW w:w="2136" w:type="dxa"/>
            <w:shd w:val="clear" w:color="auto" w:fill="auto"/>
            <w:vAlign w:val="center"/>
          </w:tcPr>
          <w:p>
            <w:pPr>
              <w:spacing w:line="0" w:lineRule="atLeast"/>
              <w:jc w:val="center"/>
              <w:rPr>
                <w:szCs w:val="21"/>
              </w:rPr>
            </w:pPr>
            <w:r>
              <w:rPr>
                <w:szCs w:val="21"/>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1011" w:type="dxa"/>
            <w:shd w:val="clear" w:color="auto" w:fill="auto"/>
            <w:vAlign w:val="center"/>
          </w:tcPr>
          <w:p>
            <w:pPr>
              <w:spacing w:line="0" w:lineRule="atLeast"/>
              <w:jc w:val="center"/>
              <w:rPr>
                <w:szCs w:val="21"/>
              </w:rPr>
            </w:pPr>
            <w:r>
              <w:rPr>
                <w:szCs w:val="21"/>
              </w:rPr>
              <w:t>1.</w:t>
            </w:r>
            <w:r>
              <w:rPr>
                <w:rFonts w:hint="eastAsia"/>
                <w:szCs w:val="21"/>
              </w:rPr>
              <w:t>4</w:t>
            </w:r>
          </w:p>
        </w:tc>
        <w:tc>
          <w:tcPr>
            <w:tcW w:w="2482" w:type="dxa"/>
            <w:shd w:val="clear" w:color="auto" w:fill="auto"/>
            <w:vAlign w:val="center"/>
          </w:tcPr>
          <w:p>
            <w:pPr>
              <w:spacing w:line="0" w:lineRule="atLeast"/>
              <w:jc w:val="center"/>
              <w:rPr>
                <w:szCs w:val="21"/>
              </w:rPr>
            </w:pPr>
            <w:r>
              <w:rPr>
                <w:szCs w:val="21"/>
              </w:rPr>
              <w:t>机油</w:t>
            </w:r>
          </w:p>
        </w:tc>
        <w:tc>
          <w:tcPr>
            <w:tcW w:w="1190" w:type="dxa"/>
            <w:shd w:val="clear" w:color="auto" w:fill="auto"/>
            <w:vAlign w:val="center"/>
          </w:tcPr>
          <w:p>
            <w:pPr>
              <w:spacing w:line="0" w:lineRule="atLeast"/>
              <w:jc w:val="center"/>
              <w:rPr>
                <w:szCs w:val="21"/>
              </w:rPr>
            </w:pPr>
            <w:r>
              <w:rPr>
                <w:szCs w:val="21"/>
              </w:rPr>
              <w:t>kg</w:t>
            </w:r>
          </w:p>
        </w:tc>
        <w:tc>
          <w:tcPr>
            <w:tcW w:w="1703" w:type="dxa"/>
            <w:vAlign w:val="center"/>
          </w:tcPr>
          <w:p>
            <w:pPr>
              <w:spacing w:line="0" w:lineRule="atLeast"/>
              <w:jc w:val="center"/>
              <w:rPr>
                <w:szCs w:val="21"/>
              </w:rPr>
            </w:pPr>
            <w:r>
              <w:rPr>
                <w:szCs w:val="21"/>
              </w:rPr>
              <w:t>2000</w:t>
            </w:r>
          </w:p>
        </w:tc>
        <w:tc>
          <w:tcPr>
            <w:tcW w:w="2136" w:type="dxa"/>
            <w:shd w:val="clear" w:color="auto" w:fill="auto"/>
            <w:vAlign w:val="center"/>
          </w:tcPr>
          <w:p>
            <w:pPr>
              <w:spacing w:line="0" w:lineRule="atLeast"/>
              <w:jc w:val="center"/>
              <w:rPr>
                <w:szCs w:val="21"/>
              </w:rPr>
            </w:pPr>
            <w:r>
              <w:rPr>
                <w:szCs w:val="21"/>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1011" w:type="dxa"/>
            <w:shd w:val="clear" w:color="auto" w:fill="auto"/>
            <w:vAlign w:val="center"/>
          </w:tcPr>
          <w:p>
            <w:pPr>
              <w:spacing w:line="0" w:lineRule="atLeast"/>
              <w:jc w:val="center"/>
              <w:rPr>
                <w:b/>
                <w:szCs w:val="21"/>
              </w:rPr>
            </w:pPr>
            <w:r>
              <w:rPr>
                <w:b/>
                <w:szCs w:val="21"/>
              </w:rPr>
              <w:t>2</w:t>
            </w:r>
          </w:p>
        </w:tc>
        <w:tc>
          <w:tcPr>
            <w:tcW w:w="2482" w:type="dxa"/>
            <w:shd w:val="clear" w:color="auto" w:fill="auto"/>
            <w:vAlign w:val="center"/>
          </w:tcPr>
          <w:p>
            <w:pPr>
              <w:spacing w:line="0" w:lineRule="atLeast"/>
              <w:jc w:val="center"/>
              <w:rPr>
                <w:b/>
                <w:szCs w:val="21"/>
              </w:rPr>
            </w:pPr>
            <w:r>
              <w:rPr>
                <w:b/>
                <w:szCs w:val="21"/>
              </w:rPr>
              <w:t>动力</w:t>
            </w:r>
          </w:p>
        </w:tc>
        <w:tc>
          <w:tcPr>
            <w:tcW w:w="1190" w:type="dxa"/>
            <w:shd w:val="clear" w:color="auto" w:fill="auto"/>
            <w:vAlign w:val="center"/>
          </w:tcPr>
          <w:p>
            <w:pPr>
              <w:spacing w:line="0" w:lineRule="atLeast"/>
              <w:jc w:val="center"/>
              <w:rPr>
                <w:b/>
                <w:szCs w:val="21"/>
              </w:rPr>
            </w:pPr>
          </w:p>
        </w:tc>
        <w:tc>
          <w:tcPr>
            <w:tcW w:w="1703" w:type="dxa"/>
            <w:vAlign w:val="center"/>
          </w:tcPr>
          <w:p>
            <w:pPr>
              <w:spacing w:line="0" w:lineRule="atLeast"/>
              <w:jc w:val="center"/>
              <w:rPr>
                <w:b/>
                <w:szCs w:val="21"/>
              </w:rPr>
            </w:pPr>
          </w:p>
        </w:tc>
        <w:tc>
          <w:tcPr>
            <w:tcW w:w="2136" w:type="dxa"/>
            <w:shd w:val="clear" w:color="auto" w:fill="auto"/>
            <w:vAlign w:val="center"/>
          </w:tcPr>
          <w:p>
            <w:pPr>
              <w:spacing w:line="0" w:lineRule="atLeas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011" w:type="dxa"/>
            <w:shd w:val="clear" w:color="auto" w:fill="auto"/>
            <w:vAlign w:val="center"/>
          </w:tcPr>
          <w:p>
            <w:pPr>
              <w:spacing w:line="0" w:lineRule="atLeast"/>
              <w:jc w:val="center"/>
              <w:rPr>
                <w:szCs w:val="21"/>
              </w:rPr>
            </w:pPr>
            <w:r>
              <w:rPr>
                <w:szCs w:val="21"/>
              </w:rPr>
              <w:t>2.1</w:t>
            </w:r>
          </w:p>
        </w:tc>
        <w:tc>
          <w:tcPr>
            <w:tcW w:w="2482" w:type="dxa"/>
            <w:shd w:val="clear" w:color="auto" w:fill="auto"/>
            <w:vAlign w:val="center"/>
          </w:tcPr>
          <w:p>
            <w:pPr>
              <w:spacing w:line="0" w:lineRule="atLeast"/>
              <w:jc w:val="center"/>
              <w:rPr>
                <w:szCs w:val="21"/>
              </w:rPr>
            </w:pPr>
            <w:r>
              <w:rPr>
                <w:szCs w:val="21"/>
              </w:rPr>
              <w:t>电</w:t>
            </w:r>
          </w:p>
        </w:tc>
        <w:tc>
          <w:tcPr>
            <w:tcW w:w="1190" w:type="dxa"/>
            <w:shd w:val="clear" w:color="auto" w:fill="auto"/>
            <w:vAlign w:val="center"/>
          </w:tcPr>
          <w:p>
            <w:pPr>
              <w:spacing w:line="0" w:lineRule="atLeast"/>
              <w:jc w:val="center"/>
              <w:rPr>
                <w:szCs w:val="21"/>
              </w:rPr>
            </w:pPr>
            <w:r>
              <w:rPr>
                <w:szCs w:val="21"/>
              </w:rPr>
              <w:t>kW.h</w:t>
            </w:r>
          </w:p>
        </w:tc>
        <w:tc>
          <w:tcPr>
            <w:tcW w:w="1703" w:type="dxa"/>
            <w:vAlign w:val="center"/>
          </w:tcPr>
          <w:p>
            <w:pPr>
              <w:spacing w:line="0" w:lineRule="atLeast"/>
              <w:jc w:val="center"/>
              <w:rPr>
                <w:szCs w:val="21"/>
              </w:rPr>
            </w:pPr>
            <w:r>
              <w:rPr>
                <w:szCs w:val="21"/>
              </w:rPr>
              <w:t>8250000</w:t>
            </w:r>
          </w:p>
        </w:tc>
        <w:tc>
          <w:tcPr>
            <w:tcW w:w="2136" w:type="dxa"/>
            <w:shd w:val="clear" w:color="auto" w:fill="auto"/>
            <w:vAlign w:val="center"/>
          </w:tcPr>
          <w:p>
            <w:pPr>
              <w:spacing w:line="0" w:lineRule="atLeast"/>
              <w:jc w:val="center"/>
              <w:rPr>
                <w:szCs w:val="21"/>
              </w:rPr>
            </w:pPr>
            <w:r>
              <w:rPr>
                <w:szCs w:val="21"/>
              </w:rPr>
              <w:t>16.5</w:t>
            </w:r>
          </w:p>
        </w:tc>
      </w:tr>
    </w:tbl>
    <w:p>
      <w:pPr>
        <w:pStyle w:val="74"/>
        <w:rPr>
          <w:rStyle w:val="91"/>
          <w:rFonts w:ascii="Times New Roman" w:hAnsi="Times New Roman" w:eastAsia="楷体"/>
          <w:b/>
          <w:sz w:val="24"/>
        </w:rPr>
      </w:pPr>
      <w:bookmarkStart w:id="280" w:name="_Toc470358672"/>
      <w:r>
        <w:rPr>
          <w:rStyle w:val="91"/>
          <w:rFonts w:ascii="Times New Roman" w:hAnsi="Times New Roman" w:eastAsia="楷体"/>
          <w:b/>
          <w:sz w:val="24"/>
        </w:rPr>
        <w:t>2.2.3扩建选厂工程概况</w:t>
      </w:r>
      <w:bookmarkEnd w:id="280"/>
    </w:p>
    <w:p>
      <w:pPr>
        <w:pStyle w:val="74"/>
      </w:pPr>
      <w:bookmarkStart w:id="281" w:name="_Toc470358673"/>
      <w:r>
        <w:t>2.2.3.1选矿生产工艺流程</w:t>
      </w:r>
      <w:bookmarkEnd w:id="281"/>
    </w:p>
    <w:p>
      <w:pPr>
        <w:pStyle w:val="158"/>
        <w:ind w:firstLine="480"/>
        <w:rPr>
          <w:rFonts w:ascii="Times New Roman" w:hAnsi="Times New Roman" w:eastAsia="宋体" w:cs="Times New Roman"/>
          <w:sz w:val="24"/>
          <w:szCs w:val="24"/>
        </w:rPr>
      </w:pPr>
      <w:r>
        <w:rPr>
          <w:rFonts w:ascii="Times New Roman" w:hAnsi="Times New Roman" w:eastAsia="宋体" w:cs="Times New Roman"/>
          <w:sz w:val="24"/>
          <w:szCs w:val="24"/>
        </w:rPr>
        <w:t>扩建工程选矿采用两段一闭路碎矿→一段一闭路磨矿入选→铜硫混合浮选（一粗一精二扫浮选工艺）→铜硫混合精矿再磨（一段一闭路磨矿工艺）→铜-硫分离（一粗二精二扫浮选工艺）→铜精矿、硫精矿分别采用浓密→过滤脱水。</w:t>
      </w:r>
    </w:p>
    <w:p>
      <w:pPr>
        <w:pStyle w:val="158"/>
        <w:ind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本报告的选矿工艺主要依据现有选矿厂工艺流程和技术指标，结合国内类似选矿厂的生产实践确定。调整的工艺流程为碎矿系统采用两段一闭路破碎流程，原矿最大粒度为400mm，最终产品粒度为-15mm，一段磨矿系统采用一段一闭路（湿式格子型球磨机与髙堰式单螺旋分级机构成闭路），磨矿细度为60％~65%－0.074mm；二段磨矿系统采用一段一闭路（湿式溢流型球磨机与沉没式单螺旋分级机构成闭路），磨矿细度为80％~85%－0.074mm；铜硫混合精矿浮选作业采用一粗一精二扫的工艺流程；铜-硫分离浮选采用一粗二精二扫的工艺流程。</w:t>
      </w:r>
    </w:p>
    <w:p>
      <w:pPr>
        <w:pStyle w:val="74"/>
      </w:pPr>
      <w:bookmarkStart w:id="282" w:name="_Toc470358674"/>
      <w:r>
        <w:t>2.2.3.2扩建选矿原辅材料及能源消耗</w:t>
      </w:r>
      <w:bookmarkEnd w:id="282"/>
    </w:p>
    <w:p>
      <w:pPr>
        <w:pStyle w:val="88"/>
        <w:spacing w:line="360" w:lineRule="auto"/>
        <w:rPr>
          <w:color w:val="auto"/>
        </w:rPr>
      </w:pPr>
      <w:r>
        <w:rPr>
          <w:color w:val="auto"/>
        </w:rPr>
        <w:t xml:space="preserve">    扩建选矿主要物料、能源消耗见表2.2-11。</w:t>
      </w:r>
    </w:p>
    <w:p>
      <w:pPr>
        <w:jc w:val="left"/>
        <w:rPr>
          <w:rFonts w:eastAsia="黑体"/>
          <w:bCs/>
          <w:sz w:val="22"/>
          <w:szCs w:val="22"/>
          <w:lang w:val="zh-CN"/>
        </w:rPr>
      </w:pPr>
      <w:r>
        <w:rPr>
          <w:b/>
          <w:bCs/>
          <w:lang w:val="zh-CN"/>
        </w:rPr>
        <w:t xml:space="preserve">    </w:t>
      </w:r>
      <w:r>
        <w:rPr>
          <w:rFonts w:eastAsia="黑体"/>
          <w:bCs/>
          <w:sz w:val="22"/>
          <w:szCs w:val="22"/>
          <w:lang w:val="zh-CN"/>
        </w:rPr>
        <w:t>表</w:t>
      </w:r>
      <w:r>
        <w:rPr>
          <w:rFonts w:eastAsia="黑体"/>
          <w:sz w:val="22"/>
          <w:szCs w:val="22"/>
        </w:rPr>
        <w:t>2.2-11</w:t>
      </w:r>
      <w:r>
        <w:rPr>
          <w:rFonts w:eastAsia="黑体"/>
          <w:bCs/>
          <w:sz w:val="22"/>
          <w:szCs w:val="22"/>
          <w:lang w:val="zh-CN"/>
        </w:rPr>
        <w:t xml:space="preserve">  </w:t>
      </w:r>
      <w:r>
        <w:rPr>
          <w:rFonts w:hint="eastAsia" w:eastAsia="黑体"/>
          <w:bCs/>
          <w:sz w:val="22"/>
          <w:szCs w:val="22"/>
          <w:lang w:val="zh-CN"/>
        </w:rPr>
        <w:t xml:space="preserve">             </w:t>
      </w:r>
      <w:r>
        <w:rPr>
          <w:rFonts w:eastAsia="黑体"/>
          <w:bCs/>
          <w:sz w:val="22"/>
          <w:szCs w:val="22"/>
          <w:lang w:val="zh-CN"/>
        </w:rPr>
        <w:t>选矿原辅材料及能源消耗</w:t>
      </w:r>
    </w:p>
    <w:tbl>
      <w:tblPr>
        <w:tblStyle w:val="54"/>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349"/>
        <w:gridCol w:w="1019"/>
        <w:gridCol w:w="1491"/>
        <w:gridCol w:w="26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984" w:type="dxa"/>
            <w:shd w:val="clear" w:color="auto" w:fill="auto"/>
            <w:vAlign w:val="center"/>
          </w:tcPr>
          <w:p>
            <w:pPr>
              <w:spacing w:line="0" w:lineRule="atLeast"/>
              <w:jc w:val="center"/>
              <w:rPr>
                <w:szCs w:val="21"/>
              </w:rPr>
            </w:pPr>
            <w:r>
              <w:rPr>
                <w:szCs w:val="21"/>
              </w:rPr>
              <w:t>序号</w:t>
            </w:r>
          </w:p>
        </w:tc>
        <w:tc>
          <w:tcPr>
            <w:tcW w:w="2349" w:type="dxa"/>
            <w:shd w:val="clear" w:color="auto" w:fill="auto"/>
            <w:vAlign w:val="center"/>
          </w:tcPr>
          <w:p>
            <w:pPr>
              <w:spacing w:line="0" w:lineRule="atLeast"/>
              <w:jc w:val="center"/>
              <w:rPr>
                <w:szCs w:val="21"/>
              </w:rPr>
            </w:pPr>
            <w:r>
              <w:rPr>
                <w:szCs w:val="21"/>
              </w:rPr>
              <w:t>项目</w:t>
            </w:r>
          </w:p>
        </w:tc>
        <w:tc>
          <w:tcPr>
            <w:tcW w:w="1019" w:type="dxa"/>
            <w:shd w:val="clear" w:color="auto" w:fill="auto"/>
            <w:vAlign w:val="center"/>
          </w:tcPr>
          <w:p>
            <w:pPr>
              <w:spacing w:line="0" w:lineRule="atLeast"/>
              <w:jc w:val="center"/>
              <w:rPr>
                <w:szCs w:val="21"/>
              </w:rPr>
            </w:pPr>
            <w:r>
              <w:rPr>
                <w:szCs w:val="21"/>
              </w:rPr>
              <w:t>单位</w:t>
            </w:r>
          </w:p>
        </w:tc>
        <w:tc>
          <w:tcPr>
            <w:tcW w:w="1491" w:type="dxa"/>
            <w:vAlign w:val="center"/>
          </w:tcPr>
          <w:p>
            <w:pPr>
              <w:spacing w:line="0" w:lineRule="atLeast"/>
              <w:jc w:val="center"/>
              <w:rPr>
                <w:szCs w:val="21"/>
              </w:rPr>
            </w:pPr>
            <w:r>
              <w:rPr>
                <w:szCs w:val="21"/>
              </w:rPr>
              <w:t>年耗量</w:t>
            </w:r>
          </w:p>
        </w:tc>
        <w:tc>
          <w:tcPr>
            <w:tcW w:w="2679" w:type="dxa"/>
            <w:shd w:val="clear" w:color="auto" w:fill="auto"/>
            <w:vAlign w:val="center"/>
          </w:tcPr>
          <w:p>
            <w:pPr>
              <w:spacing w:line="0" w:lineRule="atLeast"/>
              <w:jc w:val="center"/>
              <w:rPr>
                <w:szCs w:val="21"/>
              </w:rPr>
            </w:pPr>
            <w:r>
              <w:rPr>
                <w:szCs w:val="21"/>
              </w:rPr>
              <w:t>每吨产品消耗定额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984" w:type="dxa"/>
            <w:shd w:val="clear" w:color="auto" w:fill="auto"/>
            <w:vAlign w:val="center"/>
          </w:tcPr>
          <w:p>
            <w:pPr>
              <w:spacing w:line="0" w:lineRule="atLeast"/>
              <w:jc w:val="center"/>
              <w:rPr>
                <w:b/>
                <w:szCs w:val="21"/>
              </w:rPr>
            </w:pPr>
            <w:r>
              <w:rPr>
                <w:b/>
                <w:szCs w:val="21"/>
              </w:rPr>
              <w:t>1</w:t>
            </w:r>
          </w:p>
        </w:tc>
        <w:tc>
          <w:tcPr>
            <w:tcW w:w="2349" w:type="dxa"/>
            <w:shd w:val="clear" w:color="auto" w:fill="auto"/>
            <w:vAlign w:val="center"/>
          </w:tcPr>
          <w:p>
            <w:pPr>
              <w:spacing w:line="0" w:lineRule="atLeast"/>
              <w:jc w:val="center"/>
              <w:rPr>
                <w:b/>
                <w:szCs w:val="21"/>
              </w:rPr>
            </w:pPr>
            <w:r>
              <w:rPr>
                <w:b/>
                <w:szCs w:val="21"/>
              </w:rPr>
              <w:t>原料</w:t>
            </w:r>
          </w:p>
        </w:tc>
        <w:tc>
          <w:tcPr>
            <w:tcW w:w="1019" w:type="dxa"/>
            <w:shd w:val="clear" w:color="auto" w:fill="auto"/>
            <w:vAlign w:val="center"/>
          </w:tcPr>
          <w:p>
            <w:pPr>
              <w:spacing w:line="0" w:lineRule="atLeast"/>
              <w:jc w:val="center"/>
              <w:rPr>
                <w:b/>
                <w:szCs w:val="21"/>
              </w:rPr>
            </w:pPr>
          </w:p>
        </w:tc>
        <w:tc>
          <w:tcPr>
            <w:tcW w:w="1491" w:type="dxa"/>
            <w:vAlign w:val="center"/>
          </w:tcPr>
          <w:p>
            <w:pPr>
              <w:spacing w:line="0" w:lineRule="atLeast"/>
              <w:jc w:val="center"/>
              <w:rPr>
                <w:szCs w:val="21"/>
              </w:rPr>
            </w:pPr>
          </w:p>
        </w:tc>
        <w:tc>
          <w:tcPr>
            <w:tcW w:w="2679" w:type="dxa"/>
            <w:shd w:val="clear" w:color="auto" w:fill="auto"/>
            <w:vAlign w:val="center"/>
          </w:tcPr>
          <w:p>
            <w:pPr>
              <w:spacing w:line="0" w:lineRule="atLeas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jc w:val="center"/>
        </w:trPr>
        <w:tc>
          <w:tcPr>
            <w:tcW w:w="984" w:type="dxa"/>
            <w:shd w:val="clear" w:color="auto" w:fill="auto"/>
            <w:vAlign w:val="center"/>
          </w:tcPr>
          <w:p>
            <w:pPr>
              <w:spacing w:line="0" w:lineRule="atLeast"/>
              <w:jc w:val="center"/>
              <w:rPr>
                <w:szCs w:val="21"/>
              </w:rPr>
            </w:pPr>
            <w:r>
              <w:rPr>
                <w:szCs w:val="21"/>
              </w:rPr>
              <w:t>1.1</w:t>
            </w:r>
          </w:p>
        </w:tc>
        <w:tc>
          <w:tcPr>
            <w:tcW w:w="2349" w:type="dxa"/>
            <w:shd w:val="clear" w:color="auto" w:fill="auto"/>
            <w:vAlign w:val="center"/>
          </w:tcPr>
          <w:p>
            <w:pPr>
              <w:spacing w:line="0" w:lineRule="atLeast"/>
              <w:jc w:val="center"/>
              <w:rPr>
                <w:szCs w:val="21"/>
              </w:rPr>
            </w:pPr>
            <w:r>
              <w:rPr>
                <w:szCs w:val="21"/>
              </w:rPr>
              <w:t>矿石</w:t>
            </w:r>
          </w:p>
        </w:tc>
        <w:tc>
          <w:tcPr>
            <w:tcW w:w="1019" w:type="dxa"/>
            <w:shd w:val="clear" w:color="auto" w:fill="auto"/>
            <w:vAlign w:val="center"/>
          </w:tcPr>
          <w:p>
            <w:pPr>
              <w:spacing w:line="0" w:lineRule="atLeast"/>
              <w:jc w:val="center"/>
              <w:rPr>
                <w:szCs w:val="21"/>
              </w:rPr>
            </w:pPr>
            <w:r>
              <w:rPr>
                <w:szCs w:val="21"/>
              </w:rPr>
              <w:t>t</w:t>
            </w:r>
          </w:p>
        </w:tc>
        <w:tc>
          <w:tcPr>
            <w:tcW w:w="1491" w:type="dxa"/>
            <w:vAlign w:val="bottom"/>
          </w:tcPr>
          <w:p>
            <w:pPr>
              <w:spacing w:line="0" w:lineRule="atLeast"/>
              <w:jc w:val="center"/>
              <w:rPr>
                <w:szCs w:val="21"/>
              </w:rPr>
            </w:pPr>
            <w:r>
              <w:rPr>
                <w:szCs w:val="21"/>
              </w:rPr>
              <w:t>300000</w:t>
            </w:r>
          </w:p>
        </w:tc>
        <w:tc>
          <w:tcPr>
            <w:tcW w:w="2679" w:type="dxa"/>
            <w:shd w:val="clear" w:color="auto" w:fill="auto"/>
            <w:vAlign w:val="center"/>
          </w:tcPr>
          <w:p>
            <w:pPr>
              <w:spacing w:line="0" w:lineRule="atLeast"/>
              <w:jc w:val="center"/>
              <w:rPr>
                <w:szCs w:val="21"/>
              </w:rPr>
            </w:pPr>
            <w:r>
              <w:rPr>
                <w:szCs w:val="21"/>
              </w:rPr>
              <w:t>1.67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984" w:type="dxa"/>
            <w:shd w:val="clear" w:color="auto" w:fill="auto"/>
            <w:vAlign w:val="center"/>
          </w:tcPr>
          <w:p>
            <w:pPr>
              <w:spacing w:line="0" w:lineRule="atLeast"/>
              <w:jc w:val="center"/>
              <w:rPr>
                <w:b/>
                <w:szCs w:val="21"/>
              </w:rPr>
            </w:pPr>
            <w:r>
              <w:rPr>
                <w:b/>
                <w:szCs w:val="21"/>
              </w:rPr>
              <w:t>2</w:t>
            </w:r>
          </w:p>
        </w:tc>
        <w:tc>
          <w:tcPr>
            <w:tcW w:w="2349" w:type="dxa"/>
            <w:shd w:val="clear" w:color="auto" w:fill="auto"/>
            <w:vAlign w:val="center"/>
          </w:tcPr>
          <w:p>
            <w:pPr>
              <w:spacing w:line="0" w:lineRule="atLeast"/>
              <w:jc w:val="center"/>
              <w:rPr>
                <w:b/>
                <w:szCs w:val="21"/>
              </w:rPr>
            </w:pPr>
            <w:r>
              <w:rPr>
                <w:b/>
                <w:szCs w:val="21"/>
              </w:rPr>
              <w:t>辅料</w:t>
            </w:r>
          </w:p>
        </w:tc>
        <w:tc>
          <w:tcPr>
            <w:tcW w:w="1019" w:type="dxa"/>
            <w:shd w:val="clear" w:color="auto" w:fill="auto"/>
            <w:vAlign w:val="center"/>
          </w:tcPr>
          <w:p>
            <w:pPr>
              <w:spacing w:line="0" w:lineRule="atLeast"/>
              <w:jc w:val="center"/>
              <w:rPr>
                <w:b/>
                <w:szCs w:val="21"/>
              </w:rPr>
            </w:pPr>
          </w:p>
        </w:tc>
        <w:tc>
          <w:tcPr>
            <w:tcW w:w="1491" w:type="dxa"/>
            <w:vAlign w:val="bottom"/>
          </w:tcPr>
          <w:p>
            <w:pPr>
              <w:spacing w:line="0" w:lineRule="atLeast"/>
              <w:jc w:val="center"/>
              <w:rPr>
                <w:szCs w:val="21"/>
              </w:rPr>
            </w:pPr>
            <w:r>
              <w:rPr>
                <w:szCs w:val="21"/>
              </w:rPr>
              <w:t>0</w:t>
            </w:r>
          </w:p>
        </w:tc>
        <w:tc>
          <w:tcPr>
            <w:tcW w:w="2679" w:type="dxa"/>
            <w:shd w:val="clear" w:color="auto" w:fill="auto"/>
            <w:vAlign w:val="center"/>
          </w:tcPr>
          <w:p>
            <w:pPr>
              <w:spacing w:line="0" w:lineRule="atLeas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984" w:type="dxa"/>
            <w:shd w:val="clear" w:color="auto" w:fill="auto"/>
            <w:vAlign w:val="center"/>
          </w:tcPr>
          <w:p>
            <w:pPr>
              <w:spacing w:line="0" w:lineRule="atLeast"/>
              <w:jc w:val="center"/>
              <w:rPr>
                <w:szCs w:val="21"/>
              </w:rPr>
            </w:pPr>
            <w:r>
              <w:rPr>
                <w:szCs w:val="21"/>
              </w:rPr>
              <w:t>2.1</w:t>
            </w:r>
          </w:p>
        </w:tc>
        <w:tc>
          <w:tcPr>
            <w:tcW w:w="2349" w:type="dxa"/>
            <w:shd w:val="clear" w:color="auto" w:fill="auto"/>
            <w:vAlign w:val="center"/>
          </w:tcPr>
          <w:p>
            <w:pPr>
              <w:spacing w:line="0" w:lineRule="atLeast"/>
              <w:jc w:val="center"/>
              <w:rPr>
                <w:szCs w:val="21"/>
              </w:rPr>
            </w:pPr>
            <w:r>
              <w:rPr>
                <w:szCs w:val="21"/>
              </w:rPr>
              <w:t>衬板</w:t>
            </w:r>
          </w:p>
        </w:tc>
        <w:tc>
          <w:tcPr>
            <w:tcW w:w="1019" w:type="dxa"/>
            <w:shd w:val="clear" w:color="auto" w:fill="auto"/>
            <w:vAlign w:val="center"/>
          </w:tcPr>
          <w:p>
            <w:pPr>
              <w:spacing w:line="0" w:lineRule="atLeast"/>
              <w:jc w:val="center"/>
              <w:rPr>
                <w:szCs w:val="21"/>
              </w:rPr>
            </w:pPr>
            <w:r>
              <w:rPr>
                <w:szCs w:val="21"/>
              </w:rPr>
              <w:t>t</w:t>
            </w:r>
          </w:p>
        </w:tc>
        <w:tc>
          <w:tcPr>
            <w:tcW w:w="1491" w:type="dxa"/>
            <w:vAlign w:val="bottom"/>
          </w:tcPr>
          <w:p>
            <w:pPr>
              <w:spacing w:line="0" w:lineRule="atLeast"/>
              <w:jc w:val="center"/>
              <w:rPr>
                <w:szCs w:val="21"/>
              </w:rPr>
            </w:pPr>
            <w:r>
              <w:rPr>
                <w:szCs w:val="21"/>
              </w:rPr>
              <w:t>144</w:t>
            </w:r>
          </w:p>
        </w:tc>
        <w:tc>
          <w:tcPr>
            <w:tcW w:w="2679" w:type="dxa"/>
            <w:shd w:val="clear" w:color="auto" w:fill="auto"/>
            <w:vAlign w:val="center"/>
          </w:tcPr>
          <w:p>
            <w:pPr>
              <w:spacing w:line="0" w:lineRule="atLeast"/>
              <w:jc w:val="center"/>
              <w:rPr>
                <w:szCs w:val="21"/>
              </w:rPr>
            </w:pPr>
            <w:r>
              <w:rPr>
                <w:szCs w:val="21"/>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984" w:type="dxa"/>
            <w:shd w:val="clear" w:color="auto" w:fill="auto"/>
            <w:vAlign w:val="center"/>
          </w:tcPr>
          <w:p>
            <w:pPr>
              <w:spacing w:line="0" w:lineRule="atLeast"/>
              <w:jc w:val="center"/>
              <w:rPr>
                <w:szCs w:val="21"/>
              </w:rPr>
            </w:pPr>
            <w:r>
              <w:rPr>
                <w:szCs w:val="21"/>
              </w:rPr>
              <w:t>2.2</w:t>
            </w:r>
          </w:p>
        </w:tc>
        <w:tc>
          <w:tcPr>
            <w:tcW w:w="2349" w:type="dxa"/>
            <w:shd w:val="clear" w:color="auto" w:fill="auto"/>
            <w:vAlign w:val="center"/>
          </w:tcPr>
          <w:p>
            <w:pPr>
              <w:spacing w:line="0" w:lineRule="atLeast"/>
              <w:jc w:val="center"/>
              <w:rPr>
                <w:szCs w:val="21"/>
              </w:rPr>
            </w:pPr>
            <w:r>
              <w:rPr>
                <w:szCs w:val="21"/>
              </w:rPr>
              <w:t>钢球</w:t>
            </w:r>
          </w:p>
        </w:tc>
        <w:tc>
          <w:tcPr>
            <w:tcW w:w="1019" w:type="dxa"/>
            <w:shd w:val="clear" w:color="auto" w:fill="auto"/>
            <w:vAlign w:val="center"/>
          </w:tcPr>
          <w:p>
            <w:pPr>
              <w:spacing w:line="0" w:lineRule="atLeast"/>
              <w:jc w:val="center"/>
              <w:rPr>
                <w:szCs w:val="21"/>
              </w:rPr>
            </w:pPr>
            <w:r>
              <w:rPr>
                <w:szCs w:val="21"/>
              </w:rPr>
              <w:t>t</w:t>
            </w:r>
          </w:p>
        </w:tc>
        <w:tc>
          <w:tcPr>
            <w:tcW w:w="1491" w:type="dxa"/>
            <w:vAlign w:val="bottom"/>
          </w:tcPr>
          <w:p>
            <w:pPr>
              <w:spacing w:line="0" w:lineRule="atLeast"/>
              <w:jc w:val="center"/>
              <w:rPr>
                <w:szCs w:val="21"/>
              </w:rPr>
            </w:pPr>
            <w:r>
              <w:rPr>
                <w:szCs w:val="21"/>
              </w:rPr>
              <w:t>216</w:t>
            </w:r>
          </w:p>
        </w:tc>
        <w:tc>
          <w:tcPr>
            <w:tcW w:w="2679" w:type="dxa"/>
            <w:shd w:val="clear" w:color="auto" w:fill="auto"/>
            <w:vAlign w:val="center"/>
          </w:tcPr>
          <w:p>
            <w:pPr>
              <w:spacing w:line="0" w:lineRule="atLeast"/>
              <w:jc w:val="center"/>
              <w:rPr>
                <w:szCs w:val="21"/>
              </w:rPr>
            </w:pPr>
            <w:r>
              <w:rPr>
                <w:szCs w:val="21"/>
              </w:rPr>
              <w:t>0.0012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984" w:type="dxa"/>
            <w:shd w:val="clear" w:color="auto" w:fill="auto"/>
            <w:vAlign w:val="center"/>
          </w:tcPr>
          <w:p>
            <w:pPr>
              <w:spacing w:line="0" w:lineRule="atLeast"/>
              <w:jc w:val="center"/>
              <w:rPr>
                <w:szCs w:val="21"/>
              </w:rPr>
            </w:pPr>
            <w:r>
              <w:rPr>
                <w:szCs w:val="21"/>
              </w:rPr>
              <w:t>2.3</w:t>
            </w:r>
          </w:p>
        </w:tc>
        <w:tc>
          <w:tcPr>
            <w:tcW w:w="2349" w:type="dxa"/>
            <w:shd w:val="clear" w:color="auto" w:fill="auto"/>
            <w:vAlign w:val="center"/>
          </w:tcPr>
          <w:p>
            <w:pPr>
              <w:spacing w:line="0" w:lineRule="atLeast"/>
              <w:jc w:val="center"/>
              <w:rPr>
                <w:szCs w:val="21"/>
              </w:rPr>
            </w:pPr>
            <w:r>
              <w:rPr>
                <w:szCs w:val="21"/>
              </w:rPr>
              <w:t>筛网</w:t>
            </w:r>
          </w:p>
        </w:tc>
        <w:tc>
          <w:tcPr>
            <w:tcW w:w="1019" w:type="dxa"/>
            <w:shd w:val="clear" w:color="auto" w:fill="auto"/>
            <w:vAlign w:val="center"/>
          </w:tcPr>
          <w:p>
            <w:pPr>
              <w:spacing w:line="0" w:lineRule="atLeast"/>
              <w:jc w:val="center"/>
              <w:rPr>
                <w:szCs w:val="21"/>
              </w:rPr>
            </w:pPr>
            <w:r>
              <w:rPr>
                <w:szCs w:val="21"/>
              </w:rPr>
              <w:t>t</w:t>
            </w:r>
          </w:p>
        </w:tc>
        <w:tc>
          <w:tcPr>
            <w:tcW w:w="1491" w:type="dxa"/>
            <w:vAlign w:val="bottom"/>
          </w:tcPr>
          <w:p>
            <w:pPr>
              <w:spacing w:line="0" w:lineRule="atLeast"/>
              <w:jc w:val="center"/>
              <w:rPr>
                <w:szCs w:val="21"/>
              </w:rPr>
            </w:pPr>
            <w:r>
              <w:rPr>
                <w:szCs w:val="21"/>
              </w:rPr>
              <w:t>0.72</w:t>
            </w:r>
          </w:p>
        </w:tc>
        <w:tc>
          <w:tcPr>
            <w:tcW w:w="2679" w:type="dxa"/>
            <w:shd w:val="clear" w:color="auto" w:fill="auto"/>
            <w:vAlign w:val="center"/>
          </w:tcPr>
          <w:p>
            <w:pPr>
              <w:spacing w:line="0" w:lineRule="atLeast"/>
              <w:jc w:val="center"/>
              <w:rPr>
                <w:szCs w:val="21"/>
              </w:rPr>
            </w:pPr>
            <w:r>
              <w:rPr>
                <w:szCs w:val="21"/>
              </w:rPr>
              <w:t>0.000004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984" w:type="dxa"/>
            <w:shd w:val="clear" w:color="auto" w:fill="auto"/>
            <w:vAlign w:val="center"/>
          </w:tcPr>
          <w:p>
            <w:pPr>
              <w:spacing w:line="0" w:lineRule="atLeast"/>
              <w:jc w:val="center"/>
              <w:rPr>
                <w:szCs w:val="21"/>
              </w:rPr>
            </w:pPr>
            <w:r>
              <w:rPr>
                <w:szCs w:val="21"/>
              </w:rPr>
              <w:t>2.4</w:t>
            </w:r>
          </w:p>
        </w:tc>
        <w:tc>
          <w:tcPr>
            <w:tcW w:w="2349" w:type="dxa"/>
            <w:shd w:val="clear" w:color="auto" w:fill="auto"/>
            <w:vAlign w:val="center"/>
          </w:tcPr>
          <w:p>
            <w:pPr>
              <w:spacing w:line="0" w:lineRule="atLeast"/>
              <w:jc w:val="center"/>
              <w:rPr>
                <w:szCs w:val="21"/>
              </w:rPr>
            </w:pPr>
            <w:r>
              <w:rPr>
                <w:szCs w:val="21"/>
              </w:rPr>
              <w:t>石灰</w:t>
            </w:r>
          </w:p>
        </w:tc>
        <w:tc>
          <w:tcPr>
            <w:tcW w:w="1019" w:type="dxa"/>
            <w:shd w:val="clear" w:color="auto" w:fill="auto"/>
            <w:vAlign w:val="center"/>
          </w:tcPr>
          <w:p>
            <w:pPr>
              <w:spacing w:line="0" w:lineRule="atLeast"/>
              <w:jc w:val="center"/>
              <w:rPr>
                <w:szCs w:val="21"/>
              </w:rPr>
            </w:pPr>
            <w:r>
              <w:rPr>
                <w:szCs w:val="21"/>
              </w:rPr>
              <w:t>t</w:t>
            </w:r>
          </w:p>
        </w:tc>
        <w:tc>
          <w:tcPr>
            <w:tcW w:w="1491" w:type="dxa"/>
            <w:vAlign w:val="bottom"/>
          </w:tcPr>
          <w:p>
            <w:pPr>
              <w:spacing w:line="0" w:lineRule="atLeast"/>
              <w:jc w:val="center"/>
              <w:rPr>
                <w:szCs w:val="21"/>
              </w:rPr>
            </w:pPr>
            <w:r>
              <w:rPr>
                <w:szCs w:val="21"/>
              </w:rPr>
              <w:t>270</w:t>
            </w:r>
          </w:p>
        </w:tc>
        <w:tc>
          <w:tcPr>
            <w:tcW w:w="2679" w:type="dxa"/>
            <w:shd w:val="clear" w:color="auto" w:fill="auto"/>
            <w:vAlign w:val="center"/>
          </w:tcPr>
          <w:p>
            <w:pPr>
              <w:spacing w:line="0" w:lineRule="atLeast"/>
              <w:jc w:val="center"/>
              <w:rPr>
                <w:szCs w:val="21"/>
              </w:rPr>
            </w:pPr>
            <w:r>
              <w:rPr>
                <w:szCs w:val="21"/>
              </w:rPr>
              <w:t>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984" w:type="dxa"/>
            <w:shd w:val="clear" w:color="auto" w:fill="auto"/>
            <w:vAlign w:val="center"/>
          </w:tcPr>
          <w:p>
            <w:pPr>
              <w:spacing w:line="0" w:lineRule="atLeast"/>
              <w:jc w:val="center"/>
              <w:rPr>
                <w:szCs w:val="21"/>
              </w:rPr>
            </w:pPr>
            <w:r>
              <w:rPr>
                <w:szCs w:val="21"/>
              </w:rPr>
              <w:t>2.5</w:t>
            </w:r>
          </w:p>
        </w:tc>
        <w:tc>
          <w:tcPr>
            <w:tcW w:w="2349" w:type="dxa"/>
            <w:shd w:val="clear" w:color="auto" w:fill="auto"/>
            <w:vAlign w:val="center"/>
          </w:tcPr>
          <w:p>
            <w:pPr>
              <w:spacing w:line="0" w:lineRule="atLeast"/>
              <w:jc w:val="center"/>
              <w:rPr>
                <w:szCs w:val="21"/>
              </w:rPr>
            </w:pPr>
            <w:r>
              <w:rPr>
                <w:szCs w:val="21"/>
              </w:rPr>
              <w:t>Z-200</w:t>
            </w:r>
          </w:p>
        </w:tc>
        <w:tc>
          <w:tcPr>
            <w:tcW w:w="1019" w:type="dxa"/>
            <w:shd w:val="clear" w:color="auto" w:fill="auto"/>
            <w:vAlign w:val="center"/>
          </w:tcPr>
          <w:p>
            <w:pPr>
              <w:spacing w:line="0" w:lineRule="atLeast"/>
              <w:jc w:val="center"/>
              <w:rPr>
                <w:szCs w:val="21"/>
              </w:rPr>
            </w:pPr>
            <w:r>
              <w:rPr>
                <w:szCs w:val="21"/>
              </w:rPr>
              <w:t>t</w:t>
            </w:r>
          </w:p>
        </w:tc>
        <w:tc>
          <w:tcPr>
            <w:tcW w:w="1491" w:type="dxa"/>
            <w:vAlign w:val="bottom"/>
          </w:tcPr>
          <w:p>
            <w:pPr>
              <w:spacing w:line="0" w:lineRule="atLeast"/>
              <w:jc w:val="center"/>
              <w:rPr>
                <w:szCs w:val="21"/>
              </w:rPr>
            </w:pPr>
            <w:r>
              <w:rPr>
                <w:szCs w:val="21"/>
              </w:rPr>
              <w:t>54</w:t>
            </w:r>
          </w:p>
        </w:tc>
        <w:tc>
          <w:tcPr>
            <w:tcW w:w="2679" w:type="dxa"/>
            <w:shd w:val="clear" w:color="auto" w:fill="auto"/>
            <w:vAlign w:val="center"/>
          </w:tcPr>
          <w:p>
            <w:pPr>
              <w:spacing w:line="0" w:lineRule="atLeast"/>
              <w:jc w:val="center"/>
              <w:rPr>
                <w:szCs w:val="21"/>
              </w:rPr>
            </w:pPr>
            <w:r>
              <w:rPr>
                <w:szCs w:val="21"/>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984" w:type="dxa"/>
            <w:shd w:val="clear" w:color="auto" w:fill="auto"/>
            <w:vAlign w:val="center"/>
          </w:tcPr>
          <w:p>
            <w:pPr>
              <w:spacing w:line="0" w:lineRule="atLeast"/>
              <w:jc w:val="center"/>
              <w:rPr>
                <w:szCs w:val="21"/>
              </w:rPr>
            </w:pPr>
            <w:r>
              <w:rPr>
                <w:szCs w:val="21"/>
              </w:rPr>
              <w:t>2.6</w:t>
            </w:r>
          </w:p>
        </w:tc>
        <w:tc>
          <w:tcPr>
            <w:tcW w:w="2349" w:type="dxa"/>
            <w:shd w:val="clear" w:color="auto" w:fill="auto"/>
            <w:vAlign w:val="center"/>
          </w:tcPr>
          <w:p>
            <w:pPr>
              <w:spacing w:line="0" w:lineRule="atLeast"/>
              <w:jc w:val="center"/>
              <w:rPr>
                <w:szCs w:val="21"/>
              </w:rPr>
            </w:pPr>
            <w:r>
              <w:rPr>
                <w:szCs w:val="21"/>
              </w:rPr>
              <w:t>丁黄药</w:t>
            </w:r>
          </w:p>
        </w:tc>
        <w:tc>
          <w:tcPr>
            <w:tcW w:w="1019" w:type="dxa"/>
            <w:shd w:val="clear" w:color="auto" w:fill="auto"/>
            <w:vAlign w:val="center"/>
          </w:tcPr>
          <w:p>
            <w:pPr>
              <w:spacing w:line="0" w:lineRule="atLeast"/>
              <w:jc w:val="center"/>
              <w:rPr>
                <w:szCs w:val="21"/>
              </w:rPr>
            </w:pPr>
            <w:r>
              <w:rPr>
                <w:szCs w:val="21"/>
              </w:rPr>
              <w:t>t</w:t>
            </w:r>
          </w:p>
        </w:tc>
        <w:tc>
          <w:tcPr>
            <w:tcW w:w="1491" w:type="dxa"/>
            <w:vAlign w:val="bottom"/>
          </w:tcPr>
          <w:p>
            <w:pPr>
              <w:spacing w:line="0" w:lineRule="atLeast"/>
              <w:jc w:val="center"/>
              <w:rPr>
                <w:szCs w:val="21"/>
              </w:rPr>
            </w:pPr>
            <w:r>
              <w:rPr>
                <w:szCs w:val="21"/>
              </w:rPr>
              <w:t>32.4</w:t>
            </w:r>
          </w:p>
        </w:tc>
        <w:tc>
          <w:tcPr>
            <w:tcW w:w="2679" w:type="dxa"/>
            <w:shd w:val="clear" w:color="auto" w:fill="auto"/>
            <w:vAlign w:val="center"/>
          </w:tcPr>
          <w:p>
            <w:pPr>
              <w:spacing w:line="0" w:lineRule="atLeast"/>
              <w:jc w:val="center"/>
              <w:rPr>
                <w:szCs w:val="21"/>
              </w:rPr>
            </w:pPr>
            <w:r>
              <w:rPr>
                <w:szCs w:val="21"/>
              </w:rPr>
              <w:t>0.00018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84" w:type="dxa"/>
            <w:shd w:val="clear" w:color="auto" w:fill="auto"/>
            <w:vAlign w:val="center"/>
          </w:tcPr>
          <w:p>
            <w:pPr>
              <w:spacing w:line="0" w:lineRule="atLeast"/>
              <w:jc w:val="center"/>
              <w:rPr>
                <w:szCs w:val="21"/>
              </w:rPr>
            </w:pPr>
            <w:r>
              <w:rPr>
                <w:szCs w:val="21"/>
              </w:rPr>
              <w:t>2.7</w:t>
            </w:r>
          </w:p>
        </w:tc>
        <w:tc>
          <w:tcPr>
            <w:tcW w:w="2349" w:type="dxa"/>
            <w:shd w:val="clear" w:color="auto" w:fill="auto"/>
            <w:vAlign w:val="center"/>
          </w:tcPr>
          <w:p>
            <w:pPr>
              <w:spacing w:line="0" w:lineRule="atLeast"/>
              <w:jc w:val="center"/>
              <w:rPr>
                <w:szCs w:val="21"/>
              </w:rPr>
            </w:pPr>
            <w:r>
              <w:rPr>
                <w:szCs w:val="21"/>
              </w:rPr>
              <w:t>松油醇</w:t>
            </w:r>
          </w:p>
        </w:tc>
        <w:tc>
          <w:tcPr>
            <w:tcW w:w="1019" w:type="dxa"/>
            <w:shd w:val="clear" w:color="auto" w:fill="auto"/>
            <w:vAlign w:val="center"/>
          </w:tcPr>
          <w:p>
            <w:pPr>
              <w:spacing w:line="0" w:lineRule="atLeast"/>
              <w:jc w:val="center"/>
              <w:rPr>
                <w:szCs w:val="21"/>
              </w:rPr>
            </w:pPr>
            <w:r>
              <w:rPr>
                <w:szCs w:val="21"/>
              </w:rPr>
              <w:t>t</w:t>
            </w:r>
          </w:p>
        </w:tc>
        <w:tc>
          <w:tcPr>
            <w:tcW w:w="1491" w:type="dxa"/>
            <w:vAlign w:val="bottom"/>
          </w:tcPr>
          <w:p>
            <w:pPr>
              <w:spacing w:line="0" w:lineRule="atLeast"/>
              <w:jc w:val="center"/>
              <w:rPr>
                <w:szCs w:val="21"/>
              </w:rPr>
            </w:pPr>
            <w:r>
              <w:rPr>
                <w:szCs w:val="21"/>
              </w:rPr>
              <w:t>14.4</w:t>
            </w:r>
          </w:p>
        </w:tc>
        <w:tc>
          <w:tcPr>
            <w:tcW w:w="2679" w:type="dxa"/>
            <w:shd w:val="clear" w:color="auto" w:fill="auto"/>
            <w:vAlign w:val="center"/>
          </w:tcPr>
          <w:p>
            <w:pPr>
              <w:spacing w:line="0" w:lineRule="atLeast"/>
              <w:jc w:val="center"/>
              <w:rPr>
                <w:szCs w:val="21"/>
              </w:rPr>
            </w:pPr>
            <w:r>
              <w:rPr>
                <w:szCs w:val="21"/>
              </w:rPr>
              <w:t>0.00008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84" w:type="dxa"/>
            <w:shd w:val="clear" w:color="auto" w:fill="auto"/>
            <w:vAlign w:val="center"/>
          </w:tcPr>
          <w:p>
            <w:pPr>
              <w:spacing w:line="0" w:lineRule="atLeast"/>
              <w:jc w:val="center"/>
              <w:rPr>
                <w:b/>
                <w:szCs w:val="21"/>
              </w:rPr>
            </w:pPr>
            <w:r>
              <w:rPr>
                <w:b/>
                <w:szCs w:val="21"/>
              </w:rPr>
              <w:t>3</w:t>
            </w:r>
          </w:p>
        </w:tc>
        <w:tc>
          <w:tcPr>
            <w:tcW w:w="2349" w:type="dxa"/>
            <w:shd w:val="clear" w:color="auto" w:fill="auto"/>
            <w:vAlign w:val="center"/>
          </w:tcPr>
          <w:p>
            <w:pPr>
              <w:spacing w:line="0" w:lineRule="atLeast"/>
              <w:jc w:val="center"/>
              <w:rPr>
                <w:b/>
                <w:szCs w:val="21"/>
              </w:rPr>
            </w:pPr>
            <w:r>
              <w:rPr>
                <w:b/>
                <w:szCs w:val="21"/>
              </w:rPr>
              <w:t>动力</w:t>
            </w:r>
          </w:p>
        </w:tc>
        <w:tc>
          <w:tcPr>
            <w:tcW w:w="1019" w:type="dxa"/>
            <w:shd w:val="clear" w:color="auto" w:fill="auto"/>
            <w:vAlign w:val="center"/>
          </w:tcPr>
          <w:p>
            <w:pPr>
              <w:spacing w:line="0" w:lineRule="atLeast"/>
              <w:jc w:val="center"/>
              <w:rPr>
                <w:b/>
                <w:szCs w:val="21"/>
              </w:rPr>
            </w:pPr>
          </w:p>
        </w:tc>
        <w:tc>
          <w:tcPr>
            <w:tcW w:w="1491" w:type="dxa"/>
            <w:vAlign w:val="bottom"/>
          </w:tcPr>
          <w:p>
            <w:pPr>
              <w:spacing w:line="0" w:lineRule="atLeast"/>
              <w:jc w:val="center"/>
              <w:rPr>
                <w:szCs w:val="21"/>
              </w:rPr>
            </w:pPr>
            <w:r>
              <w:rPr>
                <w:szCs w:val="21"/>
              </w:rPr>
              <w:t>0</w:t>
            </w:r>
          </w:p>
        </w:tc>
        <w:tc>
          <w:tcPr>
            <w:tcW w:w="2679" w:type="dxa"/>
            <w:shd w:val="clear" w:color="auto" w:fill="auto"/>
            <w:vAlign w:val="center"/>
          </w:tcPr>
          <w:p>
            <w:pPr>
              <w:spacing w:line="0" w:lineRule="atLeast"/>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984" w:type="dxa"/>
            <w:shd w:val="clear" w:color="auto" w:fill="auto"/>
            <w:vAlign w:val="center"/>
          </w:tcPr>
          <w:p>
            <w:pPr>
              <w:spacing w:line="0" w:lineRule="atLeast"/>
              <w:jc w:val="center"/>
              <w:rPr>
                <w:szCs w:val="21"/>
              </w:rPr>
            </w:pPr>
            <w:r>
              <w:rPr>
                <w:szCs w:val="21"/>
              </w:rPr>
              <w:t>3.1</w:t>
            </w:r>
          </w:p>
        </w:tc>
        <w:tc>
          <w:tcPr>
            <w:tcW w:w="2349" w:type="dxa"/>
            <w:shd w:val="clear" w:color="auto" w:fill="auto"/>
            <w:vAlign w:val="center"/>
          </w:tcPr>
          <w:p>
            <w:pPr>
              <w:spacing w:line="0" w:lineRule="atLeast"/>
              <w:jc w:val="center"/>
              <w:rPr>
                <w:szCs w:val="21"/>
              </w:rPr>
            </w:pPr>
            <w:r>
              <w:rPr>
                <w:szCs w:val="21"/>
              </w:rPr>
              <w:t>电</w:t>
            </w:r>
          </w:p>
        </w:tc>
        <w:tc>
          <w:tcPr>
            <w:tcW w:w="1019" w:type="dxa"/>
            <w:shd w:val="clear" w:color="auto" w:fill="auto"/>
            <w:vAlign w:val="center"/>
          </w:tcPr>
          <w:p>
            <w:pPr>
              <w:spacing w:line="0" w:lineRule="atLeast"/>
              <w:jc w:val="center"/>
              <w:rPr>
                <w:szCs w:val="21"/>
              </w:rPr>
            </w:pPr>
            <w:r>
              <w:rPr>
                <w:szCs w:val="21"/>
              </w:rPr>
              <w:t>kW.h</w:t>
            </w:r>
          </w:p>
        </w:tc>
        <w:tc>
          <w:tcPr>
            <w:tcW w:w="1491" w:type="dxa"/>
            <w:vAlign w:val="bottom"/>
          </w:tcPr>
          <w:p>
            <w:pPr>
              <w:spacing w:line="0" w:lineRule="atLeast"/>
              <w:jc w:val="center"/>
              <w:rPr>
                <w:szCs w:val="21"/>
              </w:rPr>
            </w:pPr>
            <w:r>
              <w:rPr>
                <w:szCs w:val="21"/>
              </w:rPr>
              <w:t>4494600</w:t>
            </w:r>
          </w:p>
        </w:tc>
        <w:tc>
          <w:tcPr>
            <w:tcW w:w="2679" w:type="dxa"/>
            <w:shd w:val="clear" w:color="auto" w:fill="auto"/>
            <w:vAlign w:val="center"/>
          </w:tcPr>
          <w:p>
            <w:pPr>
              <w:spacing w:line="0" w:lineRule="atLeast"/>
              <w:jc w:val="center"/>
              <w:rPr>
                <w:szCs w:val="21"/>
              </w:rPr>
            </w:pPr>
            <w:r>
              <w:rPr>
                <w:szCs w:val="21"/>
              </w:rPr>
              <w:t>24.97</w:t>
            </w:r>
          </w:p>
        </w:tc>
      </w:tr>
    </w:tbl>
    <w:p>
      <w:pPr>
        <w:pStyle w:val="5"/>
      </w:pPr>
      <w:r>
        <w:t>2.2.3.3扩建后选厂项目组成</w:t>
      </w:r>
    </w:p>
    <w:p>
      <w:pPr>
        <w:pStyle w:val="88"/>
        <w:rPr>
          <w:color w:val="auto"/>
        </w:rPr>
      </w:pPr>
      <w:r>
        <w:rPr>
          <w:color w:val="auto"/>
          <w:szCs w:val="21"/>
        </w:rPr>
        <w:t xml:space="preserve">    项目扩建后选矿工程项目组成见表2.2-12</w:t>
      </w:r>
      <w:r>
        <w:rPr>
          <w:color w:val="auto"/>
        </w:rPr>
        <w:t>。</w:t>
      </w:r>
    </w:p>
    <w:p>
      <w:pPr>
        <w:spacing w:beforeLines="50"/>
        <w:jc w:val="left"/>
        <w:rPr>
          <w:rFonts w:eastAsia="黑体"/>
          <w:sz w:val="22"/>
          <w:szCs w:val="22"/>
        </w:rPr>
      </w:pPr>
      <w:r>
        <w:rPr>
          <w:rFonts w:eastAsia="黑体"/>
          <w:sz w:val="22"/>
          <w:szCs w:val="22"/>
        </w:rPr>
        <w:t xml:space="preserve">    表2.2-12          选矿及尾矿库工程改扩前后项目组成一览表</w:t>
      </w:r>
    </w:p>
    <w:tbl>
      <w:tblPr>
        <w:tblStyle w:val="54"/>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44"/>
        <w:gridCol w:w="707"/>
        <w:gridCol w:w="1841"/>
        <w:gridCol w:w="2132"/>
        <w:gridCol w:w="2127"/>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447" w:hRule="atLeast"/>
          <w:jc w:val="center"/>
        </w:trPr>
        <w:tc>
          <w:tcPr>
            <w:tcW w:w="1151" w:type="dxa"/>
            <w:gridSpan w:val="2"/>
            <w:tcBorders>
              <w:top w:val="single" w:color="auto" w:sz="1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r>
              <w:rPr>
                <w:szCs w:val="21"/>
              </w:rPr>
              <w:t>工程类别</w:t>
            </w:r>
          </w:p>
        </w:tc>
        <w:tc>
          <w:tcPr>
            <w:tcW w:w="1841" w:type="dxa"/>
            <w:tcBorders>
              <w:top w:val="single" w:color="auto" w:sz="12" w:space="0"/>
              <w:left w:val="single" w:color="auto" w:sz="2" w:space="0"/>
            </w:tcBorders>
            <w:vAlign w:val="center"/>
          </w:tcPr>
          <w:p>
            <w:pPr>
              <w:adjustRightInd w:val="0"/>
              <w:snapToGrid w:val="0"/>
              <w:spacing w:line="22" w:lineRule="atLeast"/>
              <w:rPr>
                <w:szCs w:val="21"/>
              </w:rPr>
            </w:pPr>
            <w:r>
              <w:rPr>
                <w:szCs w:val="21"/>
              </w:rPr>
              <w:t>原有选矿工程</w:t>
            </w:r>
          </w:p>
        </w:tc>
        <w:tc>
          <w:tcPr>
            <w:tcW w:w="2132" w:type="dxa"/>
            <w:tcBorders>
              <w:top w:val="single" w:color="auto" w:sz="12" w:space="0"/>
            </w:tcBorders>
            <w:vAlign w:val="center"/>
          </w:tcPr>
          <w:p>
            <w:pPr>
              <w:adjustRightInd w:val="0"/>
              <w:snapToGrid w:val="0"/>
              <w:spacing w:line="22" w:lineRule="atLeast"/>
              <w:rPr>
                <w:szCs w:val="21"/>
              </w:rPr>
            </w:pPr>
            <w:r>
              <w:rPr>
                <w:szCs w:val="21"/>
              </w:rPr>
              <w:t>环评及批复扩建工程</w:t>
            </w:r>
          </w:p>
        </w:tc>
        <w:tc>
          <w:tcPr>
            <w:tcW w:w="2127" w:type="dxa"/>
            <w:tcBorders>
              <w:top w:val="single" w:color="auto" w:sz="12" w:space="0"/>
              <w:right w:val="single" w:color="auto" w:sz="4" w:space="0"/>
            </w:tcBorders>
            <w:vAlign w:val="center"/>
          </w:tcPr>
          <w:p>
            <w:pPr>
              <w:adjustRightInd w:val="0"/>
              <w:snapToGrid w:val="0"/>
              <w:spacing w:line="22" w:lineRule="atLeast"/>
              <w:rPr>
                <w:szCs w:val="21"/>
              </w:rPr>
            </w:pPr>
            <w:r>
              <w:rPr>
                <w:szCs w:val="21"/>
              </w:rPr>
              <w:t>扩建工程实际建设情况</w:t>
            </w:r>
          </w:p>
        </w:tc>
        <w:tc>
          <w:tcPr>
            <w:tcW w:w="1085" w:type="dxa"/>
            <w:tcBorders>
              <w:top w:val="single" w:color="auto" w:sz="12" w:space="0"/>
              <w:left w:val="single" w:color="auto" w:sz="4" w:space="0"/>
              <w:right w:val="single" w:color="auto" w:sz="12" w:space="0"/>
            </w:tcBorders>
          </w:tcPr>
          <w:p>
            <w:pPr>
              <w:adjustRightInd w:val="0"/>
              <w:snapToGrid w:val="0"/>
              <w:spacing w:line="22" w:lineRule="atLeast"/>
              <w:jc w:val="center"/>
              <w:rPr>
                <w:szCs w:val="21"/>
              </w:rPr>
            </w:pPr>
            <w:r>
              <w:rPr>
                <w:szCs w:val="21"/>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restart"/>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r>
              <w:rPr>
                <w:szCs w:val="21"/>
              </w:rPr>
              <w:t>主</w:t>
            </w:r>
          </w:p>
          <w:p>
            <w:pPr>
              <w:adjustRightInd w:val="0"/>
              <w:snapToGrid w:val="0"/>
              <w:spacing w:line="22" w:lineRule="atLeast"/>
              <w:rPr>
                <w:szCs w:val="21"/>
              </w:rPr>
            </w:pPr>
            <w:r>
              <w:rPr>
                <w:szCs w:val="21"/>
              </w:rPr>
              <w:t>体</w:t>
            </w:r>
          </w:p>
          <w:p>
            <w:pPr>
              <w:adjustRightInd w:val="0"/>
              <w:snapToGrid w:val="0"/>
              <w:spacing w:line="22" w:lineRule="atLeast"/>
              <w:rPr>
                <w:szCs w:val="21"/>
              </w:rPr>
            </w:pPr>
            <w:r>
              <w:rPr>
                <w:szCs w:val="21"/>
              </w:rPr>
              <w:t>工</w:t>
            </w:r>
          </w:p>
          <w:p>
            <w:pPr>
              <w:adjustRightInd w:val="0"/>
              <w:snapToGrid w:val="0"/>
              <w:spacing w:line="22" w:lineRule="atLeast"/>
              <w:rPr>
                <w:szCs w:val="21"/>
              </w:rPr>
            </w:pPr>
            <w:r>
              <w:rPr>
                <w:szCs w:val="21"/>
              </w:rPr>
              <w:t>程</w:t>
            </w: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生产线</w:t>
            </w:r>
          </w:p>
        </w:tc>
        <w:tc>
          <w:tcPr>
            <w:tcW w:w="1841" w:type="dxa"/>
            <w:tcBorders>
              <w:left w:val="single" w:color="auto" w:sz="2" w:space="0"/>
            </w:tcBorders>
            <w:vAlign w:val="center"/>
          </w:tcPr>
          <w:p>
            <w:pPr>
              <w:adjustRightInd w:val="0"/>
              <w:snapToGrid w:val="0"/>
              <w:spacing w:line="22" w:lineRule="atLeast"/>
              <w:jc w:val="center"/>
              <w:rPr>
                <w:szCs w:val="21"/>
              </w:rPr>
            </w:pPr>
            <w:r>
              <w:rPr>
                <w:szCs w:val="21"/>
              </w:rPr>
              <w:t>650t/d</w:t>
            </w:r>
          </w:p>
        </w:tc>
        <w:tc>
          <w:tcPr>
            <w:tcW w:w="2132" w:type="dxa"/>
            <w:vAlign w:val="center"/>
          </w:tcPr>
          <w:p>
            <w:pPr>
              <w:adjustRightInd w:val="0"/>
              <w:snapToGrid w:val="0"/>
              <w:spacing w:line="22" w:lineRule="atLeast"/>
              <w:jc w:val="center"/>
              <w:rPr>
                <w:szCs w:val="21"/>
              </w:rPr>
            </w:pPr>
            <w:r>
              <w:rPr>
                <w:szCs w:val="21"/>
              </w:rPr>
              <w:t>650t/d</w:t>
            </w:r>
          </w:p>
          <w:p>
            <w:pPr>
              <w:adjustRightInd w:val="0"/>
              <w:snapToGrid w:val="0"/>
              <w:spacing w:line="22" w:lineRule="atLeast"/>
              <w:jc w:val="center"/>
              <w:rPr>
                <w:szCs w:val="21"/>
              </w:rPr>
            </w:pPr>
            <w:r>
              <w:rPr>
                <w:szCs w:val="21"/>
              </w:rPr>
              <w:t>1000t/d</w:t>
            </w:r>
          </w:p>
        </w:tc>
        <w:tc>
          <w:tcPr>
            <w:tcW w:w="2127" w:type="dxa"/>
            <w:tcBorders>
              <w:right w:val="single" w:color="auto" w:sz="4" w:space="0"/>
            </w:tcBorders>
            <w:vAlign w:val="center"/>
          </w:tcPr>
          <w:p>
            <w:pPr>
              <w:adjustRightInd w:val="0"/>
              <w:snapToGrid w:val="0"/>
              <w:spacing w:line="22" w:lineRule="atLeast"/>
              <w:jc w:val="center"/>
              <w:rPr>
                <w:szCs w:val="21"/>
              </w:rPr>
            </w:pPr>
            <w:r>
              <w:rPr>
                <w:szCs w:val="21"/>
              </w:rPr>
              <w:t>650t/d</w:t>
            </w:r>
          </w:p>
          <w:p>
            <w:pPr>
              <w:adjustRightInd w:val="0"/>
              <w:snapToGrid w:val="0"/>
              <w:spacing w:line="22" w:lineRule="atLeast"/>
              <w:jc w:val="center"/>
              <w:rPr>
                <w:szCs w:val="21"/>
              </w:rPr>
            </w:pPr>
            <w:r>
              <w:rPr>
                <w:szCs w:val="21"/>
              </w:rPr>
              <w:t>500t/d</w:t>
            </w:r>
          </w:p>
        </w:tc>
        <w:tc>
          <w:tcPr>
            <w:tcW w:w="1085" w:type="dxa"/>
            <w:tcBorders>
              <w:left w:val="single" w:color="auto" w:sz="4" w:space="0"/>
              <w:right w:val="single" w:color="auto" w:sz="12" w:space="0"/>
            </w:tcBorders>
          </w:tcPr>
          <w:p>
            <w:pPr>
              <w:adjustRightInd w:val="0"/>
              <w:snapToGrid w:val="0"/>
              <w:spacing w:line="22" w:lineRule="atLeast"/>
              <w:rPr>
                <w:szCs w:val="21"/>
              </w:rPr>
            </w:pPr>
            <w:r>
              <w:rPr>
                <w:szCs w:val="21"/>
              </w:rPr>
              <w:t>不一致，实际规模变化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车间</w:t>
            </w:r>
          </w:p>
        </w:tc>
        <w:tc>
          <w:tcPr>
            <w:tcW w:w="1841" w:type="dxa"/>
            <w:tcBorders>
              <w:left w:val="single" w:color="auto" w:sz="2" w:space="0"/>
            </w:tcBorders>
            <w:vAlign w:val="center"/>
          </w:tcPr>
          <w:p>
            <w:pPr>
              <w:adjustRightInd w:val="0"/>
              <w:snapToGrid w:val="0"/>
              <w:spacing w:line="22" w:lineRule="atLeast"/>
              <w:jc w:val="center"/>
              <w:rPr>
                <w:szCs w:val="21"/>
              </w:rPr>
            </w:pPr>
            <w:r>
              <w:rPr>
                <w:szCs w:val="21"/>
              </w:rPr>
              <w:t>破碎车间1个</w:t>
            </w:r>
          </w:p>
          <w:p>
            <w:pPr>
              <w:adjustRightInd w:val="0"/>
              <w:snapToGrid w:val="0"/>
              <w:spacing w:line="22" w:lineRule="atLeast"/>
              <w:jc w:val="center"/>
              <w:rPr>
                <w:szCs w:val="21"/>
              </w:rPr>
            </w:pPr>
            <w:r>
              <w:rPr>
                <w:szCs w:val="21"/>
              </w:rPr>
              <w:t>磨浮车间1个</w:t>
            </w:r>
          </w:p>
          <w:p>
            <w:pPr>
              <w:adjustRightInd w:val="0"/>
              <w:snapToGrid w:val="0"/>
              <w:spacing w:line="22" w:lineRule="atLeast"/>
              <w:jc w:val="center"/>
              <w:rPr>
                <w:szCs w:val="21"/>
              </w:rPr>
            </w:pPr>
            <w:r>
              <w:rPr>
                <w:szCs w:val="21"/>
              </w:rPr>
              <w:t>过滤车间1个</w:t>
            </w:r>
          </w:p>
          <w:p>
            <w:pPr>
              <w:adjustRightInd w:val="0"/>
              <w:snapToGrid w:val="0"/>
              <w:spacing w:line="22" w:lineRule="atLeast"/>
              <w:jc w:val="center"/>
              <w:rPr>
                <w:szCs w:val="21"/>
              </w:rPr>
            </w:pPr>
            <w:r>
              <w:rPr>
                <w:szCs w:val="21"/>
              </w:rPr>
              <w:t>浓缩池2个</w:t>
            </w:r>
          </w:p>
        </w:tc>
        <w:tc>
          <w:tcPr>
            <w:tcW w:w="2132" w:type="dxa"/>
            <w:vAlign w:val="center"/>
          </w:tcPr>
          <w:p>
            <w:pPr>
              <w:adjustRightInd w:val="0"/>
              <w:snapToGrid w:val="0"/>
              <w:spacing w:line="22" w:lineRule="atLeast"/>
              <w:jc w:val="center"/>
              <w:rPr>
                <w:szCs w:val="21"/>
              </w:rPr>
            </w:pPr>
            <w:r>
              <w:rPr>
                <w:szCs w:val="21"/>
              </w:rPr>
              <w:t>破碎车间2个</w:t>
            </w:r>
          </w:p>
          <w:p>
            <w:pPr>
              <w:adjustRightInd w:val="0"/>
              <w:snapToGrid w:val="0"/>
              <w:spacing w:line="22" w:lineRule="atLeast"/>
              <w:jc w:val="center"/>
              <w:rPr>
                <w:szCs w:val="21"/>
              </w:rPr>
            </w:pPr>
            <w:r>
              <w:rPr>
                <w:szCs w:val="21"/>
              </w:rPr>
              <w:t>磨浮车间2个</w:t>
            </w:r>
          </w:p>
          <w:p>
            <w:pPr>
              <w:adjustRightInd w:val="0"/>
              <w:snapToGrid w:val="0"/>
              <w:spacing w:line="22" w:lineRule="atLeast"/>
              <w:jc w:val="center"/>
              <w:rPr>
                <w:szCs w:val="21"/>
              </w:rPr>
            </w:pPr>
            <w:r>
              <w:rPr>
                <w:szCs w:val="21"/>
              </w:rPr>
              <w:t>过滤车间2个</w:t>
            </w:r>
          </w:p>
          <w:p>
            <w:pPr>
              <w:adjustRightInd w:val="0"/>
              <w:snapToGrid w:val="0"/>
              <w:spacing w:line="22" w:lineRule="atLeast"/>
              <w:jc w:val="center"/>
              <w:rPr>
                <w:szCs w:val="21"/>
              </w:rPr>
            </w:pPr>
            <w:r>
              <w:rPr>
                <w:szCs w:val="21"/>
              </w:rPr>
              <w:t>浓缩池4个</w:t>
            </w:r>
          </w:p>
        </w:tc>
        <w:tc>
          <w:tcPr>
            <w:tcW w:w="2127" w:type="dxa"/>
            <w:tcBorders>
              <w:right w:val="single" w:color="auto" w:sz="4" w:space="0"/>
            </w:tcBorders>
            <w:vAlign w:val="center"/>
          </w:tcPr>
          <w:p>
            <w:pPr>
              <w:adjustRightInd w:val="0"/>
              <w:snapToGrid w:val="0"/>
              <w:spacing w:line="22" w:lineRule="atLeast"/>
              <w:jc w:val="center"/>
              <w:rPr>
                <w:szCs w:val="21"/>
              </w:rPr>
            </w:pPr>
            <w:r>
              <w:rPr>
                <w:szCs w:val="21"/>
              </w:rPr>
              <w:t>破碎车间2个</w:t>
            </w:r>
          </w:p>
          <w:p>
            <w:pPr>
              <w:adjustRightInd w:val="0"/>
              <w:snapToGrid w:val="0"/>
              <w:spacing w:line="22" w:lineRule="atLeast"/>
              <w:jc w:val="center"/>
              <w:rPr>
                <w:szCs w:val="21"/>
              </w:rPr>
            </w:pPr>
            <w:r>
              <w:rPr>
                <w:szCs w:val="21"/>
              </w:rPr>
              <w:t>磨浮车间2个</w:t>
            </w:r>
          </w:p>
          <w:p>
            <w:pPr>
              <w:adjustRightInd w:val="0"/>
              <w:snapToGrid w:val="0"/>
              <w:spacing w:line="22" w:lineRule="atLeast"/>
              <w:jc w:val="center"/>
              <w:rPr>
                <w:szCs w:val="21"/>
              </w:rPr>
            </w:pPr>
            <w:r>
              <w:rPr>
                <w:szCs w:val="21"/>
              </w:rPr>
              <w:t>过滤车间2个</w:t>
            </w:r>
          </w:p>
          <w:p>
            <w:pPr>
              <w:adjustRightInd w:val="0"/>
              <w:snapToGrid w:val="0"/>
              <w:spacing w:line="22" w:lineRule="atLeast"/>
              <w:jc w:val="center"/>
              <w:rPr>
                <w:szCs w:val="21"/>
              </w:rPr>
            </w:pPr>
            <w:r>
              <w:rPr>
                <w:szCs w:val="21"/>
              </w:rPr>
              <w:t>浓缩池4个</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restart"/>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r>
              <w:rPr>
                <w:szCs w:val="21"/>
              </w:rPr>
              <w:t>辅助</w:t>
            </w:r>
          </w:p>
          <w:p>
            <w:pPr>
              <w:adjustRightInd w:val="0"/>
              <w:snapToGrid w:val="0"/>
              <w:spacing w:line="22" w:lineRule="atLeast"/>
              <w:rPr>
                <w:szCs w:val="21"/>
              </w:rPr>
            </w:pPr>
            <w:r>
              <w:rPr>
                <w:szCs w:val="21"/>
              </w:rPr>
              <w:t>工程</w:t>
            </w: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办公楼</w:t>
            </w:r>
          </w:p>
        </w:tc>
        <w:tc>
          <w:tcPr>
            <w:tcW w:w="1841" w:type="dxa"/>
            <w:tcBorders>
              <w:left w:val="single" w:color="auto" w:sz="2" w:space="0"/>
            </w:tcBorders>
            <w:vAlign w:val="center"/>
          </w:tcPr>
          <w:p>
            <w:pPr>
              <w:adjustRightInd w:val="0"/>
              <w:snapToGrid w:val="0"/>
              <w:spacing w:line="22" w:lineRule="atLeast"/>
              <w:jc w:val="center"/>
              <w:rPr>
                <w:szCs w:val="21"/>
              </w:rPr>
            </w:pPr>
            <w:r>
              <w:rPr>
                <w:szCs w:val="21"/>
              </w:rPr>
              <w:t>1座</w:t>
            </w:r>
          </w:p>
        </w:tc>
        <w:tc>
          <w:tcPr>
            <w:tcW w:w="2132" w:type="dxa"/>
            <w:vAlign w:val="center"/>
          </w:tcPr>
          <w:p>
            <w:pPr>
              <w:adjustRightInd w:val="0"/>
              <w:snapToGrid w:val="0"/>
              <w:spacing w:line="22" w:lineRule="atLeast"/>
              <w:jc w:val="center"/>
              <w:rPr>
                <w:szCs w:val="21"/>
              </w:rPr>
            </w:pPr>
            <w:r>
              <w:rPr>
                <w:szCs w:val="21"/>
              </w:rPr>
              <w:t>依托原有</w:t>
            </w:r>
          </w:p>
        </w:tc>
        <w:tc>
          <w:tcPr>
            <w:tcW w:w="2127" w:type="dxa"/>
            <w:tcBorders>
              <w:right w:val="single" w:color="auto" w:sz="4" w:space="0"/>
            </w:tcBorders>
            <w:vAlign w:val="center"/>
          </w:tcPr>
          <w:p>
            <w:pPr>
              <w:adjustRightInd w:val="0"/>
              <w:snapToGrid w:val="0"/>
              <w:spacing w:line="22" w:lineRule="atLeast"/>
              <w:jc w:val="center"/>
              <w:rPr>
                <w:szCs w:val="21"/>
              </w:rP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trHeight w:val="64" w:hRule="atLeast"/>
          <w:jc w:val="center"/>
        </w:trPr>
        <w:tc>
          <w:tcPr>
            <w:tcW w:w="444" w:type="dxa"/>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维修</w:t>
            </w:r>
          </w:p>
          <w:p>
            <w:pPr>
              <w:adjustRightInd w:val="0"/>
              <w:snapToGrid w:val="0"/>
              <w:spacing w:line="22" w:lineRule="atLeast"/>
              <w:jc w:val="center"/>
              <w:rPr>
                <w:szCs w:val="21"/>
              </w:rPr>
            </w:pPr>
            <w:r>
              <w:rPr>
                <w:szCs w:val="21"/>
              </w:rPr>
              <w:t>车间</w:t>
            </w:r>
          </w:p>
        </w:tc>
        <w:tc>
          <w:tcPr>
            <w:tcW w:w="1841" w:type="dxa"/>
            <w:tcBorders>
              <w:left w:val="single" w:color="auto" w:sz="2" w:space="0"/>
            </w:tcBorders>
            <w:vAlign w:val="center"/>
          </w:tcPr>
          <w:p>
            <w:pPr>
              <w:adjustRightInd w:val="0"/>
              <w:snapToGrid w:val="0"/>
              <w:spacing w:line="22" w:lineRule="atLeast"/>
              <w:jc w:val="center"/>
              <w:rPr>
                <w:szCs w:val="21"/>
              </w:rPr>
            </w:pPr>
            <w:r>
              <w:rPr>
                <w:szCs w:val="21"/>
              </w:rPr>
              <w:t>1座</w:t>
            </w:r>
          </w:p>
        </w:tc>
        <w:tc>
          <w:tcPr>
            <w:tcW w:w="2132" w:type="dxa"/>
            <w:vAlign w:val="center"/>
          </w:tcPr>
          <w:p>
            <w:pPr>
              <w:adjustRightInd w:val="0"/>
              <w:snapToGrid w:val="0"/>
              <w:spacing w:line="22" w:lineRule="atLeast"/>
              <w:jc w:val="center"/>
            </w:pPr>
            <w:r>
              <w:rPr>
                <w:szCs w:val="21"/>
              </w:rPr>
              <w:t>依托原有</w:t>
            </w:r>
          </w:p>
        </w:tc>
        <w:tc>
          <w:tcPr>
            <w:tcW w:w="2127" w:type="dxa"/>
            <w:tcBorders>
              <w:right w:val="single" w:color="auto" w:sz="4" w:space="0"/>
            </w:tcBorders>
            <w:vAlign w:val="center"/>
          </w:tcPr>
          <w:p>
            <w:pPr>
              <w:adjustRightInd w:val="0"/>
              <w:snapToGrid w:val="0"/>
              <w:spacing w:line="22" w:lineRule="atLeast"/>
              <w:jc w:val="cente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药剂库</w:t>
            </w:r>
          </w:p>
        </w:tc>
        <w:tc>
          <w:tcPr>
            <w:tcW w:w="1841" w:type="dxa"/>
            <w:tcBorders>
              <w:left w:val="single" w:color="auto" w:sz="2" w:space="0"/>
            </w:tcBorders>
            <w:vAlign w:val="center"/>
          </w:tcPr>
          <w:p>
            <w:pPr>
              <w:adjustRightInd w:val="0"/>
              <w:snapToGrid w:val="0"/>
              <w:spacing w:line="22" w:lineRule="atLeast"/>
              <w:jc w:val="center"/>
              <w:rPr>
                <w:szCs w:val="21"/>
              </w:rPr>
            </w:pPr>
            <w:r>
              <w:rPr>
                <w:szCs w:val="21"/>
              </w:rPr>
              <w:t>1座</w:t>
            </w:r>
          </w:p>
        </w:tc>
        <w:tc>
          <w:tcPr>
            <w:tcW w:w="2132" w:type="dxa"/>
            <w:vAlign w:val="center"/>
          </w:tcPr>
          <w:p>
            <w:pPr>
              <w:adjustRightInd w:val="0"/>
              <w:snapToGrid w:val="0"/>
              <w:spacing w:line="22" w:lineRule="atLeast"/>
              <w:jc w:val="center"/>
            </w:pPr>
            <w:r>
              <w:rPr>
                <w:szCs w:val="21"/>
              </w:rPr>
              <w:t>依托原有</w:t>
            </w:r>
          </w:p>
        </w:tc>
        <w:tc>
          <w:tcPr>
            <w:tcW w:w="2127" w:type="dxa"/>
            <w:tcBorders>
              <w:right w:val="single" w:color="auto" w:sz="4" w:space="0"/>
            </w:tcBorders>
            <w:vAlign w:val="center"/>
          </w:tcPr>
          <w:p>
            <w:pPr>
              <w:adjustRightInd w:val="0"/>
              <w:snapToGrid w:val="0"/>
              <w:spacing w:line="22" w:lineRule="atLeast"/>
              <w:jc w:val="cente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精矿</w:t>
            </w:r>
          </w:p>
          <w:p>
            <w:pPr>
              <w:adjustRightInd w:val="0"/>
              <w:snapToGrid w:val="0"/>
              <w:spacing w:line="22" w:lineRule="atLeast"/>
              <w:jc w:val="center"/>
              <w:rPr>
                <w:szCs w:val="21"/>
              </w:rPr>
            </w:pPr>
            <w:r>
              <w:rPr>
                <w:szCs w:val="21"/>
              </w:rPr>
              <w:t>堆场</w:t>
            </w:r>
          </w:p>
        </w:tc>
        <w:tc>
          <w:tcPr>
            <w:tcW w:w="1841" w:type="dxa"/>
            <w:tcBorders>
              <w:left w:val="single" w:color="auto" w:sz="2" w:space="0"/>
            </w:tcBorders>
            <w:vAlign w:val="center"/>
          </w:tcPr>
          <w:p>
            <w:pPr>
              <w:adjustRightInd w:val="0"/>
              <w:snapToGrid w:val="0"/>
              <w:spacing w:line="22" w:lineRule="atLeast"/>
              <w:rPr>
                <w:szCs w:val="21"/>
              </w:rPr>
            </w:pPr>
            <w:r>
              <w:rPr>
                <w:szCs w:val="21"/>
              </w:rPr>
              <w:t>铜精矿堆场1座</w:t>
            </w:r>
          </w:p>
          <w:p>
            <w:pPr>
              <w:adjustRightInd w:val="0"/>
              <w:snapToGrid w:val="0"/>
              <w:spacing w:line="22" w:lineRule="atLeast"/>
              <w:rPr>
                <w:szCs w:val="21"/>
              </w:rPr>
            </w:pPr>
            <w:r>
              <w:rPr>
                <w:szCs w:val="21"/>
              </w:rPr>
              <w:t>硫精矿堆场1座</w:t>
            </w:r>
          </w:p>
        </w:tc>
        <w:tc>
          <w:tcPr>
            <w:tcW w:w="2132" w:type="dxa"/>
            <w:vAlign w:val="center"/>
          </w:tcPr>
          <w:p>
            <w:pPr>
              <w:adjustRightInd w:val="0"/>
              <w:snapToGrid w:val="0"/>
              <w:spacing w:line="22" w:lineRule="atLeast"/>
              <w:rPr>
                <w:szCs w:val="21"/>
              </w:rPr>
            </w:pPr>
            <w:r>
              <w:rPr>
                <w:szCs w:val="21"/>
              </w:rPr>
              <w:t>铜精矿堆场2座</w:t>
            </w:r>
          </w:p>
          <w:p>
            <w:pPr>
              <w:adjustRightInd w:val="0"/>
              <w:snapToGrid w:val="0"/>
              <w:spacing w:line="22" w:lineRule="atLeast"/>
              <w:rPr>
                <w:szCs w:val="21"/>
              </w:rPr>
            </w:pPr>
            <w:r>
              <w:rPr>
                <w:szCs w:val="21"/>
              </w:rPr>
              <w:t>硫精矿堆场2座</w:t>
            </w:r>
          </w:p>
        </w:tc>
        <w:tc>
          <w:tcPr>
            <w:tcW w:w="2127" w:type="dxa"/>
            <w:tcBorders>
              <w:right w:val="single" w:color="auto" w:sz="4" w:space="0"/>
            </w:tcBorders>
          </w:tcPr>
          <w:p>
            <w:pPr>
              <w:adjustRightInd w:val="0"/>
              <w:snapToGrid w:val="0"/>
              <w:spacing w:line="22" w:lineRule="atLeast"/>
              <w:rPr>
                <w:szCs w:val="21"/>
              </w:rPr>
            </w:pPr>
            <w:r>
              <w:rPr>
                <w:szCs w:val="21"/>
              </w:rPr>
              <w:t>铜精矿堆场2座</w:t>
            </w:r>
          </w:p>
          <w:p>
            <w:pPr>
              <w:adjustRightInd w:val="0"/>
              <w:snapToGrid w:val="0"/>
              <w:spacing w:line="22" w:lineRule="atLeast"/>
              <w:rPr>
                <w:szCs w:val="21"/>
              </w:rPr>
            </w:pPr>
            <w:r>
              <w:rPr>
                <w:szCs w:val="21"/>
              </w:rPr>
              <w:t>硫精矿堆场2座</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restart"/>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r>
              <w:rPr>
                <w:szCs w:val="21"/>
              </w:rPr>
              <w:t>公用</w:t>
            </w:r>
          </w:p>
          <w:p>
            <w:pPr>
              <w:adjustRightInd w:val="0"/>
              <w:snapToGrid w:val="0"/>
              <w:spacing w:line="22" w:lineRule="atLeast"/>
              <w:rPr>
                <w:szCs w:val="21"/>
              </w:rPr>
            </w:pPr>
            <w:r>
              <w:rPr>
                <w:szCs w:val="21"/>
              </w:rPr>
              <w:t>工程</w:t>
            </w: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供水</w:t>
            </w:r>
          </w:p>
        </w:tc>
        <w:tc>
          <w:tcPr>
            <w:tcW w:w="1841" w:type="dxa"/>
            <w:tcBorders>
              <w:left w:val="single" w:color="auto" w:sz="2" w:space="0"/>
            </w:tcBorders>
            <w:vAlign w:val="center"/>
          </w:tcPr>
          <w:p>
            <w:pPr>
              <w:adjustRightInd w:val="0"/>
              <w:snapToGrid w:val="0"/>
              <w:spacing w:line="22" w:lineRule="atLeast"/>
              <w:rPr>
                <w:szCs w:val="21"/>
              </w:rPr>
            </w:pPr>
            <w:r>
              <w:rPr>
                <w:szCs w:val="21"/>
              </w:rPr>
              <w:t>650t/d高位水池1座</w:t>
            </w:r>
          </w:p>
        </w:tc>
        <w:tc>
          <w:tcPr>
            <w:tcW w:w="2132" w:type="dxa"/>
            <w:vAlign w:val="center"/>
          </w:tcPr>
          <w:p>
            <w:pPr>
              <w:adjustRightInd w:val="0"/>
              <w:snapToGrid w:val="0"/>
              <w:spacing w:line="22" w:lineRule="atLeast"/>
              <w:rPr>
                <w:szCs w:val="21"/>
              </w:rPr>
            </w:pPr>
            <w:r>
              <w:rPr>
                <w:szCs w:val="21"/>
              </w:rPr>
              <w:t>650t/d高位水池1座、回水池1座；</w:t>
            </w:r>
          </w:p>
          <w:p>
            <w:pPr>
              <w:adjustRightInd w:val="0"/>
              <w:snapToGrid w:val="0"/>
              <w:spacing w:line="22" w:lineRule="atLeast"/>
              <w:rPr>
                <w:szCs w:val="21"/>
              </w:rPr>
            </w:pPr>
            <w:r>
              <w:rPr>
                <w:szCs w:val="21"/>
              </w:rPr>
              <w:t>1000t/d高位水池1座、回水池1座；</w:t>
            </w:r>
          </w:p>
        </w:tc>
        <w:tc>
          <w:tcPr>
            <w:tcW w:w="2127" w:type="dxa"/>
            <w:tcBorders>
              <w:right w:val="single" w:color="auto" w:sz="4" w:space="0"/>
            </w:tcBorders>
            <w:vAlign w:val="center"/>
          </w:tcPr>
          <w:p>
            <w:pPr>
              <w:adjustRightInd w:val="0"/>
              <w:snapToGrid w:val="0"/>
              <w:spacing w:line="22" w:lineRule="atLeast"/>
              <w:rPr>
                <w:szCs w:val="21"/>
              </w:rPr>
            </w:pPr>
            <w:r>
              <w:rPr>
                <w:szCs w:val="21"/>
              </w:rPr>
              <w:t>原有高位水池1座基础上，新增回水池2座，高位水池1座</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供电</w:t>
            </w:r>
          </w:p>
        </w:tc>
        <w:tc>
          <w:tcPr>
            <w:tcW w:w="1841" w:type="dxa"/>
            <w:tcBorders>
              <w:left w:val="single" w:color="auto" w:sz="2" w:space="0"/>
            </w:tcBorders>
            <w:vAlign w:val="center"/>
          </w:tcPr>
          <w:p>
            <w:pPr>
              <w:adjustRightInd w:val="0"/>
              <w:snapToGrid w:val="0"/>
              <w:spacing w:line="22" w:lineRule="atLeast"/>
              <w:rPr>
                <w:szCs w:val="21"/>
              </w:rPr>
            </w:pPr>
            <w:r>
              <w:rPr>
                <w:szCs w:val="21"/>
              </w:rPr>
              <w:t>10KV供电</w:t>
            </w:r>
          </w:p>
        </w:tc>
        <w:tc>
          <w:tcPr>
            <w:tcW w:w="2132" w:type="dxa"/>
            <w:vAlign w:val="center"/>
          </w:tcPr>
          <w:p>
            <w:pPr>
              <w:adjustRightInd w:val="0"/>
              <w:snapToGrid w:val="0"/>
              <w:spacing w:line="22" w:lineRule="atLeast"/>
              <w:rPr>
                <w:szCs w:val="21"/>
              </w:rPr>
            </w:pPr>
            <w:r>
              <w:rPr>
                <w:szCs w:val="21"/>
              </w:rPr>
              <w:t>依托原有</w:t>
            </w:r>
          </w:p>
        </w:tc>
        <w:tc>
          <w:tcPr>
            <w:tcW w:w="2127" w:type="dxa"/>
            <w:tcBorders>
              <w:right w:val="single" w:color="auto" w:sz="4" w:space="0"/>
            </w:tcBorders>
            <w:vAlign w:val="center"/>
          </w:tcPr>
          <w:p>
            <w:pPr>
              <w:adjustRightInd w:val="0"/>
              <w:snapToGrid w:val="0"/>
              <w:spacing w:line="22" w:lineRule="atLeast"/>
              <w:rPr>
                <w:szCs w:val="21"/>
              </w:rP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rPr>
                <w:szCs w:val="21"/>
              </w:rPr>
            </w:pPr>
            <w:r>
              <w:rPr>
                <w:szCs w:val="21"/>
              </w:rPr>
              <w:t>生活污水处理</w:t>
            </w:r>
          </w:p>
        </w:tc>
        <w:tc>
          <w:tcPr>
            <w:tcW w:w="1841" w:type="dxa"/>
            <w:tcBorders>
              <w:left w:val="single" w:color="auto" w:sz="2" w:space="0"/>
            </w:tcBorders>
            <w:vAlign w:val="center"/>
          </w:tcPr>
          <w:p>
            <w:pPr>
              <w:adjustRightInd w:val="0"/>
              <w:snapToGrid w:val="0"/>
              <w:spacing w:line="22" w:lineRule="atLeast"/>
              <w:rPr>
                <w:szCs w:val="21"/>
              </w:rPr>
            </w:pPr>
            <w:r>
              <w:rPr>
                <w:szCs w:val="21"/>
              </w:rPr>
              <w:t>化粪池</w:t>
            </w:r>
          </w:p>
        </w:tc>
        <w:tc>
          <w:tcPr>
            <w:tcW w:w="2132" w:type="dxa"/>
            <w:vAlign w:val="center"/>
          </w:tcPr>
          <w:p>
            <w:pPr>
              <w:adjustRightInd w:val="0"/>
              <w:snapToGrid w:val="0"/>
              <w:spacing w:line="22" w:lineRule="atLeast"/>
              <w:rPr>
                <w:szCs w:val="21"/>
              </w:rPr>
            </w:pPr>
            <w:r>
              <w:rPr>
                <w:szCs w:val="21"/>
              </w:rPr>
              <w:t>依托原有</w:t>
            </w:r>
          </w:p>
        </w:tc>
        <w:tc>
          <w:tcPr>
            <w:tcW w:w="2127" w:type="dxa"/>
            <w:tcBorders>
              <w:right w:val="single" w:color="auto" w:sz="4" w:space="0"/>
            </w:tcBorders>
            <w:vAlign w:val="center"/>
          </w:tcPr>
          <w:p>
            <w:pPr>
              <w:adjustRightInd w:val="0"/>
              <w:snapToGrid w:val="0"/>
              <w:spacing w:line="22" w:lineRule="atLeast"/>
              <w:rPr>
                <w:szCs w:val="21"/>
              </w:rP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rPr>
                <w:szCs w:val="21"/>
              </w:rPr>
            </w:pPr>
            <w:r>
              <w:rPr>
                <w:szCs w:val="21"/>
              </w:rPr>
              <w:t>生活服务设施</w:t>
            </w:r>
          </w:p>
        </w:tc>
        <w:tc>
          <w:tcPr>
            <w:tcW w:w="1841" w:type="dxa"/>
            <w:tcBorders>
              <w:left w:val="single" w:color="auto" w:sz="2" w:space="0"/>
            </w:tcBorders>
            <w:vAlign w:val="center"/>
          </w:tcPr>
          <w:p>
            <w:pPr>
              <w:adjustRightInd w:val="0"/>
              <w:snapToGrid w:val="0"/>
              <w:spacing w:line="22" w:lineRule="atLeast"/>
              <w:rPr>
                <w:szCs w:val="21"/>
              </w:rPr>
            </w:pPr>
            <w:r>
              <w:rPr>
                <w:szCs w:val="21"/>
              </w:rPr>
              <w:t>办公楼、食堂、宿舍等</w:t>
            </w:r>
          </w:p>
        </w:tc>
        <w:tc>
          <w:tcPr>
            <w:tcW w:w="2132" w:type="dxa"/>
            <w:vAlign w:val="center"/>
          </w:tcPr>
          <w:p>
            <w:pPr>
              <w:adjustRightInd w:val="0"/>
              <w:snapToGrid w:val="0"/>
              <w:spacing w:line="22" w:lineRule="atLeast"/>
              <w:rPr>
                <w:szCs w:val="21"/>
              </w:rPr>
            </w:pPr>
            <w:r>
              <w:rPr>
                <w:szCs w:val="21"/>
              </w:rPr>
              <w:t>依托原有</w:t>
            </w:r>
          </w:p>
        </w:tc>
        <w:tc>
          <w:tcPr>
            <w:tcW w:w="2127" w:type="dxa"/>
            <w:tcBorders>
              <w:right w:val="single" w:color="auto" w:sz="4" w:space="0"/>
            </w:tcBorders>
            <w:vAlign w:val="center"/>
          </w:tcPr>
          <w:p>
            <w:pPr>
              <w:adjustRightInd w:val="0"/>
              <w:snapToGrid w:val="0"/>
              <w:spacing w:line="22" w:lineRule="atLeast"/>
              <w:rPr>
                <w:szCs w:val="21"/>
              </w:rP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restart"/>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r>
              <w:rPr>
                <w:szCs w:val="21"/>
              </w:rPr>
              <w:t>储运</w:t>
            </w:r>
          </w:p>
          <w:p>
            <w:pPr>
              <w:adjustRightInd w:val="0"/>
              <w:snapToGrid w:val="0"/>
              <w:spacing w:line="22" w:lineRule="atLeast"/>
              <w:rPr>
                <w:szCs w:val="21"/>
              </w:rPr>
            </w:pPr>
            <w:r>
              <w:rPr>
                <w:szCs w:val="21"/>
              </w:rPr>
              <w:t>工程</w:t>
            </w: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地面</w:t>
            </w:r>
          </w:p>
          <w:p>
            <w:pPr>
              <w:adjustRightInd w:val="0"/>
              <w:snapToGrid w:val="0"/>
              <w:spacing w:line="22" w:lineRule="atLeast"/>
              <w:jc w:val="center"/>
              <w:rPr>
                <w:szCs w:val="21"/>
              </w:rPr>
            </w:pPr>
            <w:r>
              <w:rPr>
                <w:szCs w:val="21"/>
              </w:rPr>
              <w:t>运输</w:t>
            </w:r>
          </w:p>
        </w:tc>
        <w:tc>
          <w:tcPr>
            <w:tcW w:w="1841" w:type="dxa"/>
            <w:tcBorders>
              <w:left w:val="single" w:color="auto" w:sz="2" w:space="0"/>
            </w:tcBorders>
            <w:vAlign w:val="center"/>
          </w:tcPr>
          <w:p>
            <w:pPr>
              <w:adjustRightInd w:val="0"/>
              <w:snapToGrid w:val="0"/>
              <w:spacing w:line="22" w:lineRule="atLeast"/>
              <w:rPr>
                <w:szCs w:val="21"/>
              </w:rPr>
            </w:pPr>
            <w:r>
              <w:rPr>
                <w:szCs w:val="21"/>
              </w:rPr>
              <w:t>主井至650t/d选矿厂轨道</w:t>
            </w:r>
          </w:p>
        </w:tc>
        <w:tc>
          <w:tcPr>
            <w:tcW w:w="2132" w:type="dxa"/>
            <w:vAlign w:val="center"/>
          </w:tcPr>
          <w:p>
            <w:pPr>
              <w:adjustRightInd w:val="0"/>
              <w:snapToGrid w:val="0"/>
              <w:spacing w:line="22" w:lineRule="atLeast"/>
              <w:rPr>
                <w:szCs w:val="21"/>
              </w:rPr>
            </w:pPr>
            <w:r>
              <w:rPr>
                <w:szCs w:val="21"/>
              </w:rPr>
              <w:t>主井至650t/d选矿厂轨道</w:t>
            </w:r>
          </w:p>
          <w:p>
            <w:pPr>
              <w:adjustRightInd w:val="0"/>
              <w:snapToGrid w:val="0"/>
              <w:spacing w:line="22" w:lineRule="atLeast"/>
              <w:rPr>
                <w:szCs w:val="21"/>
              </w:rPr>
            </w:pPr>
            <w:r>
              <w:rPr>
                <w:szCs w:val="21"/>
              </w:rPr>
              <w:t>主井至新建选矿厂轨道</w:t>
            </w:r>
          </w:p>
        </w:tc>
        <w:tc>
          <w:tcPr>
            <w:tcW w:w="2127" w:type="dxa"/>
            <w:tcBorders>
              <w:right w:val="single" w:color="auto" w:sz="4" w:space="0"/>
            </w:tcBorders>
            <w:vAlign w:val="center"/>
          </w:tcPr>
          <w:p>
            <w:pPr>
              <w:adjustRightInd w:val="0"/>
              <w:snapToGrid w:val="0"/>
              <w:spacing w:line="22" w:lineRule="atLeast"/>
              <w:rPr>
                <w:szCs w:val="21"/>
              </w:rPr>
            </w:pPr>
            <w:r>
              <w:rPr>
                <w:szCs w:val="21"/>
              </w:rPr>
              <w:t>依托主井至650t/d选矿厂轨道；新建主井至新建选矿厂轨道。</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top w:val="single" w:color="auto" w:sz="2" w:space="0"/>
              <w:left w:val="single" w:color="auto" w:sz="12" w:space="0"/>
              <w:bottom w:val="single" w:color="auto" w:sz="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公路</w:t>
            </w:r>
          </w:p>
        </w:tc>
        <w:tc>
          <w:tcPr>
            <w:tcW w:w="1841" w:type="dxa"/>
            <w:tcBorders>
              <w:left w:val="single" w:color="auto" w:sz="2" w:space="0"/>
            </w:tcBorders>
            <w:vAlign w:val="center"/>
          </w:tcPr>
          <w:p>
            <w:pPr>
              <w:adjustRightInd w:val="0"/>
              <w:snapToGrid w:val="0"/>
              <w:spacing w:line="22" w:lineRule="atLeast"/>
              <w:rPr>
                <w:szCs w:val="21"/>
              </w:rPr>
            </w:pPr>
            <w:r>
              <w:rPr>
                <w:szCs w:val="21"/>
              </w:rPr>
              <w:t>已形成工业场地对外公路</w:t>
            </w:r>
          </w:p>
        </w:tc>
        <w:tc>
          <w:tcPr>
            <w:tcW w:w="2132" w:type="dxa"/>
            <w:vAlign w:val="center"/>
          </w:tcPr>
          <w:p>
            <w:pPr>
              <w:adjustRightInd w:val="0"/>
              <w:snapToGrid w:val="0"/>
              <w:spacing w:line="22" w:lineRule="atLeast"/>
              <w:rPr>
                <w:szCs w:val="21"/>
              </w:rPr>
            </w:pPr>
            <w:r>
              <w:rPr>
                <w:szCs w:val="21"/>
              </w:rPr>
              <w:t>依托原有</w:t>
            </w:r>
          </w:p>
        </w:tc>
        <w:tc>
          <w:tcPr>
            <w:tcW w:w="2127" w:type="dxa"/>
            <w:tcBorders>
              <w:right w:val="single" w:color="auto" w:sz="4" w:space="0"/>
            </w:tcBorders>
            <w:vAlign w:val="center"/>
          </w:tcPr>
          <w:p>
            <w:pPr>
              <w:adjustRightInd w:val="0"/>
              <w:snapToGrid w:val="0"/>
              <w:spacing w:line="22" w:lineRule="atLeast"/>
              <w:rPr>
                <w:szCs w:val="21"/>
              </w:rP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trHeight w:val="461" w:hRule="atLeast"/>
          <w:jc w:val="center"/>
        </w:trPr>
        <w:tc>
          <w:tcPr>
            <w:tcW w:w="444" w:type="dxa"/>
            <w:vMerge w:val="restart"/>
            <w:tcBorders>
              <w:top w:val="single" w:color="auto" w:sz="2" w:space="0"/>
              <w:left w:val="single" w:color="auto" w:sz="12" w:space="0"/>
              <w:right w:val="single" w:color="auto" w:sz="2" w:space="0"/>
            </w:tcBorders>
            <w:vAlign w:val="center"/>
          </w:tcPr>
          <w:p>
            <w:pPr>
              <w:adjustRightInd w:val="0"/>
              <w:snapToGrid w:val="0"/>
              <w:spacing w:line="22" w:lineRule="atLeast"/>
              <w:rPr>
                <w:szCs w:val="21"/>
              </w:rPr>
            </w:pPr>
            <w:r>
              <w:rPr>
                <w:szCs w:val="21"/>
              </w:rPr>
              <w:t>环保工程</w:t>
            </w: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粉尘</w:t>
            </w:r>
          </w:p>
          <w:p>
            <w:pPr>
              <w:adjustRightInd w:val="0"/>
              <w:snapToGrid w:val="0"/>
              <w:spacing w:line="22" w:lineRule="atLeast"/>
              <w:jc w:val="center"/>
              <w:rPr>
                <w:szCs w:val="21"/>
              </w:rPr>
            </w:pPr>
            <w:r>
              <w:rPr>
                <w:szCs w:val="21"/>
              </w:rPr>
              <w:t>处理</w:t>
            </w:r>
          </w:p>
        </w:tc>
        <w:tc>
          <w:tcPr>
            <w:tcW w:w="1841" w:type="dxa"/>
            <w:tcBorders>
              <w:left w:val="single" w:color="auto" w:sz="2" w:space="0"/>
              <w:bottom w:val="single" w:color="auto" w:sz="2" w:space="0"/>
            </w:tcBorders>
            <w:vAlign w:val="center"/>
          </w:tcPr>
          <w:p>
            <w:pPr>
              <w:adjustRightInd w:val="0"/>
              <w:snapToGrid w:val="0"/>
              <w:spacing w:line="22" w:lineRule="atLeast"/>
              <w:rPr>
                <w:szCs w:val="21"/>
              </w:rPr>
            </w:pPr>
            <w:r>
              <w:rPr>
                <w:szCs w:val="21"/>
              </w:rPr>
              <w:t>650t/d选矿厂破碎车间增建皮带仓密闭、集气和2套袋式除尘器，安装15m排气筒；</w:t>
            </w:r>
          </w:p>
          <w:p>
            <w:pPr>
              <w:adjustRightInd w:val="0"/>
              <w:snapToGrid w:val="0"/>
              <w:spacing w:line="22" w:lineRule="atLeast"/>
              <w:rPr>
                <w:szCs w:val="21"/>
              </w:rPr>
            </w:pPr>
          </w:p>
        </w:tc>
        <w:tc>
          <w:tcPr>
            <w:tcW w:w="2132" w:type="dxa"/>
            <w:tcBorders>
              <w:bottom w:val="single" w:color="auto" w:sz="2" w:space="0"/>
            </w:tcBorders>
            <w:vAlign w:val="center"/>
          </w:tcPr>
          <w:p>
            <w:pPr>
              <w:adjustRightInd w:val="0"/>
              <w:snapToGrid w:val="0"/>
              <w:spacing w:line="22" w:lineRule="atLeast"/>
              <w:rPr>
                <w:szCs w:val="21"/>
              </w:rPr>
            </w:pPr>
            <w:r>
              <w:rPr>
                <w:szCs w:val="21"/>
              </w:rPr>
              <w:t>650t/d选矿厂破碎车间增建皮带仓密闭、集气和2套袋式除尘器，安装15m排气筒；500t/d选矿厂破碎车间新建皮带仓密闭、集气和1台袋式除尘器，安装15m排气筒；</w:t>
            </w:r>
          </w:p>
        </w:tc>
        <w:tc>
          <w:tcPr>
            <w:tcW w:w="2127" w:type="dxa"/>
            <w:tcBorders>
              <w:bottom w:val="single" w:color="auto" w:sz="2" w:space="0"/>
              <w:right w:val="single" w:color="auto" w:sz="4" w:space="0"/>
            </w:tcBorders>
            <w:vAlign w:val="center"/>
          </w:tcPr>
          <w:p>
            <w:pPr>
              <w:adjustRightInd w:val="0"/>
              <w:snapToGrid w:val="0"/>
              <w:spacing w:line="22" w:lineRule="atLeast"/>
              <w:rPr>
                <w:szCs w:val="21"/>
              </w:rPr>
            </w:pPr>
            <w:r>
              <w:rPr>
                <w:szCs w:val="21"/>
              </w:rPr>
              <w:t>650t/d选矿厂破碎车间增建皮带仓密闭、集气和袋式除尘器，安装15m排气筒；</w:t>
            </w:r>
          </w:p>
          <w:p>
            <w:pPr>
              <w:adjustRightInd w:val="0"/>
              <w:snapToGrid w:val="0"/>
              <w:spacing w:line="22" w:lineRule="atLeast"/>
              <w:rPr>
                <w:szCs w:val="21"/>
              </w:rPr>
            </w:pPr>
            <w:r>
              <w:rPr>
                <w:szCs w:val="21"/>
              </w:rPr>
              <w:t>500t/d选矿厂破碎车间新建皮带仓密闭、集气和2袋式除尘器，安装15m排气筒；</w:t>
            </w:r>
          </w:p>
        </w:tc>
        <w:tc>
          <w:tcPr>
            <w:tcW w:w="1085" w:type="dxa"/>
            <w:tcBorders>
              <w:left w:val="single" w:color="auto" w:sz="4" w:space="0"/>
              <w:bottom w:val="single" w:color="auto" w:sz="2" w:space="0"/>
              <w:right w:val="single" w:color="auto" w:sz="12" w:space="0"/>
            </w:tcBorders>
            <w:vAlign w:val="center"/>
          </w:tcPr>
          <w:p>
            <w:pPr>
              <w:adjustRightInd w:val="0"/>
              <w:snapToGrid w:val="0"/>
              <w:spacing w:line="22" w:lineRule="atLeast"/>
              <w:jc w:val="center"/>
              <w:rPr>
                <w:szCs w:val="21"/>
              </w:rPr>
            </w:pPr>
            <w:r>
              <w:rPr>
                <w:szCs w:val="21"/>
              </w:rPr>
              <w:t>不一致，新建选厂较环评多一台袋式除尘器，变动合理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trHeight w:val="167" w:hRule="atLeast"/>
          <w:jc w:val="center"/>
        </w:trPr>
        <w:tc>
          <w:tcPr>
            <w:tcW w:w="444" w:type="dxa"/>
            <w:vMerge w:val="continue"/>
            <w:tcBorders>
              <w:left w:val="single" w:color="auto" w:sz="1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生活污水处理</w:t>
            </w:r>
          </w:p>
        </w:tc>
        <w:tc>
          <w:tcPr>
            <w:tcW w:w="1841" w:type="dxa"/>
            <w:tcBorders>
              <w:top w:val="single" w:color="auto" w:sz="2" w:space="0"/>
              <w:left w:val="single" w:color="auto" w:sz="2" w:space="0"/>
              <w:bottom w:val="single" w:color="auto" w:sz="2" w:space="0"/>
            </w:tcBorders>
            <w:vAlign w:val="center"/>
          </w:tcPr>
          <w:p>
            <w:pPr>
              <w:adjustRightInd w:val="0"/>
              <w:snapToGrid w:val="0"/>
              <w:spacing w:line="22" w:lineRule="atLeast"/>
              <w:rPr>
                <w:szCs w:val="21"/>
              </w:rPr>
            </w:pPr>
            <w:r>
              <w:rPr>
                <w:szCs w:val="21"/>
              </w:rPr>
              <w:t>化粪池处理排入尾矿库，与选矿废水一并絮凝处理后排放</w:t>
            </w:r>
          </w:p>
        </w:tc>
        <w:tc>
          <w:tcPr>
            <w:tcW w:w="2132" w:type="dxa"/>
            <w:tcBorders>
              <w:top w:val="single" w:color="auto" w:sz="2" w:space="0"/>
              <w:bottom w:val="single" w:color="auto" w:sz="2" w:space="0"/>
            </w:tcBorders>
            <w:vAlign w:val="center"/>
          </w:tcPr>
          <w:p>
            <w:pPr>
              <w:adjustRightInd w:val="0"/>
              <w:snapToGrid w:val="0"/>
              <w:spacing w:line="22" w:lineRule="atLeast"/>
              <w:rPr>
                <w:szCs w:val="21"/>
              </w:rPr>
            </w:pPr>
            <w:r>
              <w:rPr>
                <w:szCs w:val="21"/>
              </w:rPr>
              <w:t>化粪池处理排入尾矿库，与选矿废水一并絮凝处理后回用</w:t>
            </w:r>
          </w:p>
        </w:tc>
        <w:tc>
          <w:tcPr>
            <w:tcW w:w="2127" w:type="dxa"/>
            <w:tcBorders>
              <w:top w:val="single" w:color="auto" w:sz="2" w:space="0"/>
              <w:bottom w:val="single" w:color="auto" w:sz="2" w:space="0"/>
              <w:right w:val="single" w:color="auto" w:sz="4" w:space="0"/>
            </w:tcBorders>
            <w:vAlign w:val="center"/>
          </w:tcPr>
          <w:p>
            <w:pPr>
              <w:adjustRightInd w:val="0"/>
              <w:snapToGrid w:val="0"/>
              <w:spacing w:line="22" w:lineRule="atLeast"/>
              <w:rPr>
                <w:szCs w:val="21"/>
              </w:rPr>
            </w:pPr>
            <w:r>
              <w:rPr>
                <w:szCs w:val="21"/>
              </w:rPr>
              <w:t>化粪池处理排入尾矿库，与选矿废水一并絮凝处理后回用</w:t>
            </w:r>
          </w:p>
        </w:tc>
        <w:tc>
          <w:tcPr>
            <w:tcW w:w="1085" w:type="dxa"/>
            <w:tcBorders>
              <w:top w:val="single" w:color="auto" w:sz="2" w:space="0"/>
              <w:left w:val="single" w:color="auto" w:sz="4" w:space="0"/>
              <w:bottom w:val="single" w:color="auto" w:sz="2"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trHeight w:val="167" w:hRule="atLeast"/>
          <w:jc w:val="center"/>
        </w:trPr>
        <w:tc>
          <w:tcPr>
            <w:tcW w:w="444" w:type="dxa"/>
            <w:vMerge w:val="continue"/>
            <w:tcBorders>
              <w:left w:val="single" w:color="auto" w:sz="1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选厂事故水池</w:t>
            </w:r>
          </w:p>
        </w:tc>
        <w:tc>
          <w:tcPr>
            <w:tcW w:w="1841" w:type="dxa"/>
            <w:tcBorders>
              <w:top w:val="single" w:color="auto" w:sz="2" w:space="0"/>
              <w:left w:val="single" w:color="auto" w:sz="2" w:space="0"/>
              <w:bottom w:val="single" w:color="auto" w:sz="2" w:space="0"/>
            </w:tcBorders>
            <w:vAlign w:val="center"/>
          </w:tcPr>
          <w:p>
            <w:pPr>
              <w:adjustRightInd w:val="0"/>
              <w:snapToGrid w:val="0"/>
              <w:spacing w:line="22" w:lineRule="atLeast"/>
              <w:rPr>
                <w:szCs w:val="21"/>
              </w:rPr>
            </w:pPr>
            <w:r>
              <w:rPr>
                <w:szCs w:val="21"/>
              </w:rPr>
              <w:t>650t/d选矿厂事故水池（10m×3m×2m）</w:t>
            </w:r>
          </w:p>
        </w:tc>
        <w:tc>
          <w:tcPr>
            <w:tcW w:w="2132" w:type="dxa"/>
            <w:tcBorders>
              <w:top w:val="single" w:color="auto" w:sz="2" w:space="0"/>
              <w:bottom w:val="single" w:color="auto" w:sz="2" w:space="0"/>
            </w:tcBorders>
            <w:vAlign w:val="center"/>
          </w:tcPr>
          <w:p>
            <w:pPr>
              <w:adjustRightInd w:val="0"/>
              <w:snapToGrid w:val="0"/>
              <w:spacing w:line="22" w:lineRule="atLeast"/>
              <w:rPr>
                <w:szCs w:val="21"/>
              </w:rPr>
            </w:pPr>
            <w:r>
              <w:rPr>
                <w:szCs w:val="21"/>
              </w:rPr>
              <w:t>650t/d选矿厂事故水池（10m×3m×2m）；</w:t>
            </w:r>
          </w:p>
          <w:p>
            <w:pPr>
              <w:adjustRightInd w:val="0"/>
              <w:snapToGrid w:val="0"/>
              <w:spacing w:line="22" w:lineRule="atLeast"/>
              <w:rPr>
                <w:szCs w:val="21"/>
              </w:rPr>
            </w:pPr>
            <w:r>
              <w:rPr>
                <w:szCs w:val="21"/>
              </w:rPr>
              <w:t>500t/d选矿厂事故水池（15m×4m×2m）</w:t>
            </w:r>
          </w:p>
        </w:tc>
        <w:tc>
          <w:tcPr>
            <w:tcW w:w="2127" w:type="dxa"/>
            <w:tcBorders>
              <w:top w:val="single" w:color="auto" w:sz="2" w:space="0"/>
              <w:bottom w:val="single" w:color="auto" w:sz="2" w:space="0"/>
              <w:right w:val="single" w:color="auto" w:sz="4" w:space="0"/>
            </w:tcBorders>
            <w:vAlign w:val="center"/>
          </w:tcPr>
          <w:p>
            <w:pPr>
              <w:adjustRightInd w:val="0"/>
              <w:snapToGrid w:val="0"/>
              <w:spacing w:line="22" w:lineRule="atLeast"/>
              <w:rPr>
                <w:szCs w:val="21"/>
              </w:rPr>
            </w:pPr>
            <w:r>
              <w:rPr>
                <w:szCs w:val="21"/>
              </w:rPr>
              <w:t>650t/d选矿厂事故水池（10m×3m×2m）；</w:t>
            </w:r>
          </w:p>
          <w:p>
            <w:pPr>
              <w:adjustRightInd w:val="0"/>
              <w:snapToGrid w:val="0"/>
              <w:spacing w:line="22" w:lineRule="atLeast"/>
              <w:rPr>
                <w:szCs w:val="21"/>
              </w:rPr>
            </w:pPr>
            <w:r>
              <w:rPr>
                <w:szCs w:val="21"/>
              </w:rPr>
              <w:t>500t/d选矿厂事故水池（15m×4m×2m ）</w:t>
            </w:r>
          </w:p>
        </w:tc>
        <w:tc>
          <w:tcPr>
            <w:tcW w:w="1085" w:type="dxa"/>
            <w:tcBorders>
              <w:top w:val="single" w:color="auto" w:sz="2" w:space="0"/>
              <w:left w:val="single" w:color="auto" w:sz="4" w:space="0"/>
              <w:bottom w:val="single" w:color="auto" w:sz="2"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trHeight w:val="351" w:hRule="atLeast"/>
          <w:jc w:val="center"/>
        </w:trPr>
        <w:tc>
          <w:tcPr>
            <w:tcW w:w="444" w:type="dxa"/>
            <w:vMerge w:val="continue"/>
            <w:tcBorders>
              <w:left w:val="single" w:color="auto" w:sz="1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噪声</w:t>
            </w:r>
          </w:p>
          <w:p>
            <w:pPr>
              <w:adjustRightInd w:val="0"/>
              <w:snapToGrid w:val="0"/>
              <w:spacing w:line="22" w:lineRule="atLeast"/>
              <w:jc w:val="center"/>
              <w:rPr>
                <w:szCs w:val="21"/>
              </w:rPr>
            </w:pPr>
            <w:r>
              <w:rPr>
                <w:szCs w:val="21"/>
              </w:rPr>
              <w:t>处置</w:t>
            </w:r>
          </w:p>
        </w:tc>
        <w:tc>
          <w:tcPr>
            <w:tcW w:w="1841" w:type="dxa"/>
            <w:tcBorders>
              <w:top w:val="single" w:color="auto" w:sz="2" w:space="0"/>
              <w:left w:val="single" w:color="auto" w:sz="2" w:space="0"/>
              <w:bottom w:val="single" w:color="auto" w:sz="2" w:space="0"/>
            </w:tcBorders>
            <w:vAlign w:val="center"/>
          </w:tcPr>
          <w:p>
            <w:pPr>
              <w:adjustRightInd w:val="0"/>
              <w:snapToGrid w:val="0"/>
              <w:spacing w:line="22" w:lineRule="atLeast"/>
              <w:rPr>
                <w:szCs w:val="21"/>
              </w:rPr>
            </w:pPr>
            <w:r>
              <w:rPr>
                <w:kern w:val="0"/>
                <w:szCs w:val="21"/>
              </w:rPr>
              <w:t>空压机房进行隔声，并在空气进出口加装消声器等。自磨机、筛分机、球磨机等优先选用低噪声设备，采取基础减振、隔声等措施。</w:t>
            </w:r>
          </w:p>
        </w:tc>
        <w:tc>
          <w:tcPr>
            <w:tcW w:w="2132" w:type="dxa"/>
            <w:tcBorders>
              <w:top w:val="single" w:color="auto" w:sz="2" w:space="0"/>
              <w:bottom w:val="single" w:color="auto" w:sz="2" w:space="0"/>
            </w:tcBorders>
            <w:vAlign w:val="center"/>
          </w:tcPr>
          <w:p>
            <w:pPr>
              <w:adjustRightInd w:val="0"/>
              <w:snapToGrid w:val="0"/>
              <w:spacing w:line="22" w:lineRule="atLeast"/>
              <w:rPr>
                <w:szCs w:val="21"/>
              </w:rPr>
            </w:pPr>
            <w:r>
              <w:rPr>
                <w:kern w:val="0"/>
                <w:szCs w:val="21"/>
              </w:rPr>
              <w:t>空压机房进行隔声，并在空气进出口加装消声器等。自磨机、筛分机、球磨机等优先选用低噪声设备，采取基础减振、隔声等措施。</w:t>
            </w:r>
          </w:p>
        </w:tc>
        <w:tc>
          <w:tcPr>
            <w:tcW w:w="2127" w:type="dxa"/>
            <w:tcBorders>
              <w:top w:val="single" w:color="auto" w:sz="2" w:space="0"/>
              <w:bottom w:val="single" w:color="auto" w:sz="2" w:space="0"/>
              <w:right w:val="single" w:color="auto" w:sz="4" w:space="0"/>
            </w:tcBorders>
            <w:vAlign w:val="center"/>
          </w:tcPr>
          <w:p>
            <w:pPr>
              <w:adjustRightInd w:val="0"/>
              <w:snapToGrid w:val="0"/>
              <w:spacing w:line="22" w:lineRule="atLeast"/>
              <w:rPr>
                <w:szCs w:val="21"/>
              </w:rPr>
            </w:pPr>
            <w:r>
              <w:rPr>
                <w:kern w:val="0"/>
                <w:szCs w:val="21"/>
              </w:rPr>
              <w:t>空压机房进行隔声，并在空气进出口加装消声器等。自磨机、筛分机、球磨机等优先选用低噪声设备，采取基础减振、隔声等措施。</w:t>
            </w:r>
          </w:p>
        </w:tc>
        <w:tc>
          <w:tcPr>
            <w:tcW w:w="1085" w:type="dxa"/>
            <w:tcBorders>
              <w:top w:val="single" w:color="auto" w:sz="2" w:space="0"/>
              <w:left w:val="single" w:color="auto" w:sz="4" w:space="0"/>
              <w:bottom w:val="single" w:color="auto" w:sz="2"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restart"/>
            <w:tcBorders>
              <w:top w:val="single" w:color="auto" w:sz="2" w:space="0"/>
              <w:left w:val="single" w:color="auto" w:sz="12" w:space="0"/>
              <w:right w:val="single" w:color="auto" w:sz="2" w:space="0"/>
            </w:tcBorders>
            <w:vAlign w:val="center"/>
          </w:tcPr>
          <w:p>
            <w:pPr>
              <w:adjustRightInd w:val="0"/>
              <w:snapToGrid w:val="0"/>
              <w:spacing w:line="22" w:lineRule="atLeast"/>
              <w:rPr>
                <w:szCs w:val="21"/>
              </w:rPr>
            </w:pPr>
            <w:r>
              <w:rPr>
                <w:szCs w:val="21"/>
              </w:rPr>
              <w:t>尾矿库</w:t>
            </w:r>
          </w:p>
          <w:p>
            <w:pPr>
              <w:adjustRightInd w:val="0"/>
              <w:snapToGrid w:val="0"/>
              <w:spacing w:line="22" w:lineRule="atLeast"/>
              <w:rPr>
                <w:szCs w:val="21"/>
              </w:rPr>
            </w:pPr>
            <w:r>
              <w:rPr>
                <w:szCs w:val="21"/>
              </w:rPr>
              <w:t>工程</w:t>
            </w: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尾矿库</w:t>
            </w:r>
          </w:p>
        </w:tc>
        <w:tc>
          <w:tcPr>
            <w:tcW w:w="1841" w:type="dxa"/>
            <w:tcBorders>
              <w:left w:val="single" w:color="auto" w:sz="2" w:space="0"/>
            </w:tcBorders>
            <w:vAlign w:val="center"/>
          </w:tcPr>
          <w:p>
            <w:pPr>
              <w:adjustRightInd w:val="0"/>
              <w:snapToGrid w:val="0"/>
              <w:spacing w:line="22" w:lineRule="atLeast"/>
              <w:rPr>
                <w:szCs w:val="21"/>
              </w:rPr>
            </w:pPr>
            <w:r>
              <w:rPr>
                <w:szCs w:val="21"/>
              </w:rPr>
              <w:t>几何库容为261.3万m</w:t>
            </w:r>
            <w:r>
              <w:rPr>
                <w:szCs w:val="21"/>
                <w:vertAlign w:val="superscript"/>
              </w:rPr>
              <w:t>3</w:t>
            </w:r>
            <w:r>
              <w:rPr>
                <w:szCs w:val="21"/>
              </w:rPr>
              <w:t>，可容纳418万吨尾矿砂。</w:t>
            </w:r>
          </w:p>
        </w:tc>
        <w:tc>
          <w:tcPr>
            <w:tcW w:w="2132" w:type="dxa"/>
            <w:vAlign w:val="center"/>
          </w:tcPr>
          <w:p>
            <w:pPr>
              <w:adjustRightInd w:val="0"/>
              <w:snapToGrid w:val="0"/>
              <w:spacing w:line="22" w:lineRule="atLeast"/>
              <w:jc w:val="center"/>
              <w:rPr>
                <w:szCs w:val="21"/>
              </w:rPr>
            </w:pPr>
            <w:r>
              <w:rPr>
                <w:szCs w:val="21"/>
              </w:rPr>
              <w:t>依托原有</w:t>
            </w:r>
          </w:p>
        </w:tc>
        <w:tc>
          <w:tcPr>
            <w:tcW w:w="2127" w:type="dxa"/>
            <w:tcBorders>
              <w:right w:val="single" w:color="auto" w:sz="4" w:space="0"/>
            </w:tcBorders>
            <w:vAlign w:val="center"/>
          </w:tcPr>
          <w:p>
            <w:pPr>
              <w:adjustRightInd w:val="0"/>
              <w:snapToGrid w:val="0"/>
              <w:spacing w:line="22" w:lineRule="atLeast"/>
              <w:jc w:val="center"/>
              <w:rPr>
                <w:szCs w:val="21"/>
              </w:rP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left w:val="single" w:color="auto" w:sz="1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bCs/>
                <w:szCs w:val="21"/>
              </w:rPr>
              <w:t>初期坝</w:t>
            </w:r>
          </w:p>
        </w:tc>
        <w:tc>
          <w:tcPr>
            <w:tcW w:w="1841" w:type="dxa"/>
            <w:tcBorders>
              <w:left w:val="single" w:color="auto" w:sz="2" w:space="0"/>
            </w:tcBorders>
            <w:vAlign w:val="center"/>
          </w:tcPr>
          <w:p>
            <w:pPr>
              <w:adjustRightInd w:val="0"/>
              <w:snapToGrid w:val="0"/>
              <w:spacing w:line="22" w:lineRule="atLeast"/>
              <w:rPr>
                <w:szCs w:val="21"/>
              </w:rPr>
            </w:pPr>
            <w:r>
              <w:rPr>
                <w:szCs w:val="21"/>
              </w:rPr>
              <w:t>透水堆石坝，初期坝标高为1020m，坝高20m</w:t>
            </w:r>
          </w:p>
        </w:tc>
        <w:tc>
          <w:tcPr>
            <w:tcW w:w="2132" w:type="dxa"/>
            <w:vAlign w:val="center"/>
          </w:tcPr>
          <w:p>
            <w:pPr>
              <w:adjustRightInd w:val="0"/>
              <w:snapToGrid w:val="0"/>
              <w:spacing w:line="22" w:lineRule="atLeast"/>
              <w:jc w:val="center"/>
              <w:rPr>
                <w:szCs w:val="21"/>
              </w:rPr>
            </w:pPr>
            <w:r>
              <w:rPr>
                <w:szCs w:val="21"/>
              </w:rPr>
              <w:t>依托原有</w:t>
            </w:r>
          </w:p>
        </w:tc>
        <w:tc>
          <w:tcPr>
            <w:tcW w:w="2127" w:type="dxa"/>
            <w:tcBorders>
              <w:right w:val="single" w:color="auto" w:sz="4" w:space="0"/>
            </w:tcBorders>
            <w:vAlign w:val="center"/>
          </w:tcPr>
          <w:p>
            <w:pPr>
              <w:adjustRightInd w:val="0"/>
              <w:snapToGrid w:val="0"/>
              <w:spacing w:line="22" w:lineRule="atLeast"/>
              <w:jc w:val="center"/>
              <w:rPr>
                <w:szCs w:val="21"/>
              </w:rP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left w:val="single" w:color="auto" w:sz="1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jc w:val="center"/>
              <w:rPr>
                <w:szCs w:val="21"/>
              </w:rPr>
            </w:pPr>
            <w:r>
              <w:rPr>
                <w:szCs w:val="21"/>
              </w:rPr>
              <w:t>废水处理站</w:t>
            </w:r>
          </w:p>
        </w:tc>
        <w:tc>
          <w:tcPr>
            <w:tcW w:w="1841" w:type="dxa"/>
            <w:tcBorders>
              <w:left w:val="single" w:color="auto" w:sz="2" w:space="0"/>
            </w:tcBorders>
            <w:vAlign w:val="center"/>
          </w:tcPr>
          <w:p>
            <w:pPr>
              <w:adjustRightInd w:val="0"/>
              <w:snapToGrid w:val="0"/>
              <w:spacing w:line="22" w:lineRule="atLeast"/>
              <w:rPr>
                <w:szCs w:val="21"/>
              </w:rPr>
            </w:pPr>
            <w:r>
              <w:rPr>
                <w:szCs w:val="21"/>
              </w:rPr>
              <w:t>200t/h絮凝废水处理站2座</w:t>
            </w:r>
          </w:p>
        </w:tc>
        <w:tc>
          <w:tcPr>
            <w:tcW w:w="2132" w:type="dxa"/>
            <w:vAlign w:val="center"/>
          </w:tcPr>
          <w:p>
            <w:pPr>
              <w:adjustRightInd w:val="0"/>
              <w:snapToGrid w:val="0"/>
              <w:spacing w:line="22" w:lineRule="atLeast"/>
              <w:jc w:val="center"/>
              <w:rPr>
                <w:szCs w:val="21"/>
              </w:rPr>
            </w:pPr>
            <w:r>
              <w:rPr>
                <w:szCs w:val="21"/>
              </w:rPr>
              <w:t>依托原有</w:t>
            </w:r>
          </w:p>
        </w:tc>
        <w:tc>
          <w:tcPr>
            <w:tcW w:w="2127" w:type="dxa"/>
            <w:tcBorders>
              <w:right w:val="single" w:color="auto" w:sz="4" w:space="0"/>
            </w:tcBorders>
            <w:vAlign w:val="center"/>
          </w:tcPr>
          <w:p>
            <w:pPr>
              <w:adjustRightInd w:val="0"/>
              <w:snapToGrid w:val="0"/>
              <w:spacing w:line="22" w:lineRule="atLeast"/>
              <w:jc w:val="center"/>
              <w:rPr>
                <w:szCs w:val="21"/>
              </w:rPr>
            </w:pPr>
            <w:r>
              <w:rPr>
                <w:szCs w:val="21"/>
              </w:rPr>
              <w:t>依托原有</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left w:val="single" w:color="auto" w:sz="1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22" w:lineRule="atLeast"/>
              <w:rPr>
                <w:szCs w:val="21"/>
              </w:rPr>
            </w:pPr>
            <w:r>
              <w:rPr>
                <w:szCs w:val="21"/>
              </w:rPr>
              <w:t>事故水池</w:t>
            </w:r>
          </w:p>
        </w:tc>
        <w:tc>
          <w:tcPr>
            <w:tcW w:w="1841" w:type="dxa"/>
            <w:tcBorders>
              <w:left w:val="single" w:color="auto" w:sz="2" w:space="0"/>
            </w:tcBorders>
            <w:vAlign w:val="center"/>
          </w:tcPr>
          <w:p>
            <w:pPr>
              <w:adjustRightInd w:val="0"/>
              <w:snapToGrid w:val="0"/>
              <w:spacing w:line="22" w:lineRule="atLeast"/>
              <w:rPr>
                <w:szCs w:val="21"/>
              </w:rPr>
            </w:pPr>
            <w:r>
              <w:rPr>
                <w:szCs w:val="21"/>
              </w:rPr>
              <w:t>尾矿库下游设置事故水池1座，规格为长×宽×高=20m×4m×2m.</w:t>
            </w:r>
          </w:p>
        </w:tc>
        <w:tc>
          <w:tcPr>
            <w:tcW w:w="2132" w:type="dxa"/>
            <w:vAlign w:val="center"/>
          </w:tcPr>
          <w:p>
            <w:pPr>
              <w:adjustRightInd w:val="0"/>
              <w:snapToGrid w:val="0"/>
              <w:spacing w:line="22" w:lineRule="atLeast"/>
              <w:rPr>
                <w:szCs w:val="21"/>
              </w:rPr>
            </w:pPr>
            <w:r>
              <w:rPr>
                <w:szCs w:val="21"/>
              </w:rPr>
              <w:t>下游20m×4m×2m事故水池1座；</w:t>
            </w:r>
          </w:p>
          <w:p>
            <w:pPr>
              <w:adjustRightInd w:val="0"/>
              <w:snapToGrid w:val="0"/>
              <w:spacing w:line="22" w:lineRule="atLeast"/>
              <w:rPr>
                <w:szCs w:val="21"/>
              </w:rPr>
            </w:pPr>
            <w:r>
              <w:rPr>
                <w:szCs w:val="21"/>
              </w:rPr>
              <w:t>下游40m×10m×4m事故水池1座；</w:t>
            </w:r>
          </w:p>
        </w:tc>
        <w:tc>
          <w:tcPr>
            <w:tcW w:w="2127" w:type="dxa"/>
            <w:tcBorders>
              <w:right w:val="single" w:color="auto" w:sz="4" w:space="0"/>
            </w:tcBorders>
            <w:vAlign w:val="center"/>
          </w:tcPr>
          <w:p>
            <w:pPr>
              <w:adjustRightInd w:val="0"/>
              <w:snapToGrid w:val="0"/>
              <w:spacing w:line="22" w:lineRule="atLeast"/>
              <w:rPr>
                <w:szCs w:val="21"/>
              </w:rPr>
            </w:pPr>
            <w:r>
              <w:rPr>
                <w:szCs w:val="21"/>
              </w:rPr>
              <w:t>增建71m×17.5m×1.5m事故水池1座，1864m</w:t>
            </w:r>
            <w:r>
              <w:rPr>
                <w:szCs w:val="21"/>
                <w:vertAlign w:val="superscript"/>
              </w:rPr>
              <w:t>3</w:t>
            </w:r>
          </w:p>
        </w:tc>
        <w:tc>
          <w:tcPr>
            <w:tcW w:w="1085" w:type="dxa"/>
            <w:tcBorders>
              <w:left w:val="single" w:color="auto" w:sz="4" w:space="0"/>
              <w:right w:val="single" w:color="auto" w:sz="12" w:space="0"/>
            </w:tcBorders>
            <w:vAlign w:val="center"/>
          </w:tcPr>
          <w:p>
            <w:pPr>
              <w:adjustRightInd w:val="0"/>
              <w:snapToGrid w:val="0"/>
              <w:spacing w:line="22" w:lineRule="atLeast"/>
              <w:jc w:val="center"/>
              <w:rPr>
                <w:szCs w:val="21"/>
              </w:rPr>
            </w:pPr>
            <w:r>
              <w:rPr>
                <w:szCs w:val="21"/>
              </w:rPr>
              <w:t>容积大于批复，优于环评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jc w:val="center"/>
        </w:trPr>
        <w:tc>
          <w:tcPr>
            <w:tcW w:w="444" w:type="dxa"/>
            <w:vMerge w:val="continue"/>
            <w:tcBorders>
              <w:left w:val="single" w:color="auto" w:sz="12" w:space="0"/>
              <w:bottom w:val="single" w:color="auto" w:sz="12" w:space="0"/>
              <w:right w:val="single" w:color="auto" w:sz="2" w:space="0"/>
            </w:tcBorders>
            <w:vAlign w:val="center"/>
          </w:tcPr>
          <w:p>
            <w:pPr>
              <w:adjustRightInd w:val="0"/>
              <w:snapToGrid w:val="0"/>
              <w:spacing w:line="22" w:lineRule="atLeast"/>
              <w:rPr>
                <w:szCs w:val="21"/>
              </w:rPr>
            </w:pPr>
          </w:p>
        </w:tc>
        <w:tc>
          <w:tcPr>
            <w:tcW w:w="707" w:type="dxa"/>
            <w:tcBorders>
              <w:top w:val="single" w:color="auto" w:sz="2" w:space="0"/>
              <w:left w:val="single" w:color="auto" w:sz="2" w:space="0"/>
              <w:bottom w:val="single" w:color="auto" w:sz="12" w:space="0"/>
              <w:right w:val="single" w:color="auto" w:sz="2" w:space="0"/>
            </w:tcBorders>
            <w:vAlign w:val="center"/>
          </w:tcPr>
          <w:p>
            <w:pPr>
              <w:adjustRightInd w:val="0"/>
              <w:snapToGrid w:val="0"/>
              <w:spacing w:line="22" w:lineRule="atLeast"/>
              <w:rPr>
                <w:szCs w:val="21"/>
              </w:rPr>
            </w:pPr>
            <w:r>
              <w:rPr>
                <w:szCs w:val="21"/>
              </w:rPr>
              <w:t>回水系统</w:t>
            </w:r>
          </w:p>
        </w:tc>
        <w:tc>
          <w:tcPr>
            <w:tcW w:w="1841" w:type="dxa"/>
            <w:tcBorders>
              <w:left w:val="single" w:color="auto" w:sz="2" w:space="0"/>
              <w:bottom w:val="single" w:color="auto" w:sz="12" w:space="0"/>
            </w:tcBorders>
            <w:vAlign w:val="center"/>
          </w:tcPr>
          <w:p>
            <w:pPr>
              <w:adjustRightInd w:val="0"/>
              <w:snapToGrid w:val="0"/>
              <w:spacing w:line="22" w:lineRule="atLeast"/>
              <w:jc w:val="center"/>
              <w:rPr>
                <w:szCs w:val="21"/>
              </w:rPr>
            </w:pPr>
            <w:r>
              <w:rPr>
                <w:szCs w:val="21"/>
              </w:rPr>
              <w:t>无</w:t>
            </w:r>
          </w:p>
        </w:tc>
        <w:tc>
          <w:tcPr>
            <w:tcW w:w="2132" w:type="dxa"/>
            <w:tcBorders>
              <w:bottom w:val="single" w:color="auto" w:sz="12" w:space="0"/>
            </w:tcBorders>
            <w:vAlign w:val="center"/>
          </w:tcPr>
          <w:p>
            <w:pPr>
              <w:adjustRightInd w:val="0"/>
              <w:snapToGrid w:val="0"/>
              <w:spacing w:line="22" w:lineRule="atLeast"/>
              <w:rPr>
                <w:szCs w:val="21"/>
              </w:rPr>
            </w:pPr>
            <w:r>
              <w:rPr>
                <w:szCs w:val="21"/>
              </w:rPr>
              <w:t>尾矿库回水至高位水池管网、尾矿库泵房1座</w:t>
            </w:r>
          </w:p>
        </w:tc>
        <w:tc>
          <w:tcPr>
            <w:tcW w:w="2127" w:type="dxa"/>
            <w:tcBorders>
              <w:bottom w:val="single" w:color="auto" w:sz="12" w:space="0"/>
              <w:right w:val="single" w:color="auto" w:sz="4" w:space="0"/>
            </w:tcBorders>
            <w:vAlign w:val="center"/>
          </w:tcPr>
          <w:p>
            <w:pPr>
              <w:adjustRightInd w:val="0"/>
              <w:snapToGrid w:val="0"/>
              <w:spacing w:line="22" w:lineRule="atLeast"/>
              <w:rPr>
                <w:szCs w:val="21"/>
              </w:rPr>
            </w:pPr>
            <w:r>
              <w:rPr>
                <w:szCs w:val="21"/>
              </w:rPr>
              <w:t>120m</w:t>
            </w:r>
            <w:r>
              <w:rPr>
                <w:szCs w:val="21"/>
                <w:vertAlign w:val="superscript"/>
              </w:rPr>
              <w:t>3</w:t>
            </w:r>
            <w:r>
              <w:rPr>
                <w:szCs w:val="21"/>
              </w:rPr>
              <w:t>回水池；尾矿库回水至高位水池管网、尾矿库泵房1座</w:t>
            </w:r>
          </w:p>
        </w:tc>
        <w:tc>
          <w:tcPr>
            <w:tcW w:w="1085" w:type="dxa"/>
            <w:tcBorders>
              <w:left w:val="single" w:color="auto" w:sz="4" w:space="0"/>
              <w:bottom w:val="single" w:color="auto" w:sz="12" w:space="0"/>
              <w:right w:val="single" w:color="auto" w:sz="12" w:space="0"/>
            </w:tcBorders>
            <w:vAlign w:val="center"/>
          </w:tcPr>
          <w:p>
            <w:pPr>
              <w:adjustRightInd w:val="0"/>
              <w:snapToGrid w:val="0"/>
              <w:spacing w:line="22" w:lineRule="atLeast"/>
              <w:jc w:val="center"/>
              <w:rPr>
                <w:szCs w:val="21"/>
              </w:rPr>
            </w:pPr>
            <w:r>
              <w:rPr>
                <w:szCs w:val="21"/>
              </w:rPr>
              <w:t>一致</w:t>
            </w:r>
          </w:p>
        </w:tc>
      </w:tr>
    </w:tbl>
    <w:p>
      <w:pPr>
        <w:pStyle w:val="158"/>
        <w:ind w:firstLine="560"/>
        <w:rPr>
          <w:rFonts w:ascii="Times New Roman" w:hAnsi="Times New Roman" w:eastAsia="宋体" w:cs="Times New Roman"/>
        </w:rPr>
        <w:sectPr>
          <w:headerReference r:id="rId8" w:type="default"/>
          <w:footerReference r:id="rId9" w:type="default"/>
          <w:pgSz w:w="11906" w:h="16838"/>
          <w:pgMar w:top="1440" w:right="1800" w:bottom="1440" w:left="1800" w:header="851" w:footer="992" w:gutter="0"/>
          <w:cols w:space="425" w:num="1"/>
          <w:docGrid w:type="lines" w:linePitch="312" w:charSpace="0"/>
        </w:sectPr>
      </w:pPr>
    </w:p>
    <w:p>
      <w:pPr>
        <w:pStyle w:val="158"/>
        <w:ind w:firstLine="560"/>
        <w:rPr>
          <w:rFonts w:ascii="Times New Roman" w:hAnsi="Times New Roman" w:eastAsia="宋体" w:cs="Times New Roman"/>
        </w:rPr>
      </w:pPr>
    </w:p>
    <w:p>
      <w:pPr>
        <w:pStyle w:val="158"/>
        <w:ind w:firstLine="482"/>
        <w:jc w:val="center"/>
        <w:rPr>
          <w:rFonts w:ascii="Times New Roman" w:hAnsi="Times New Roman" w:eastAsia="宋体" w:cs="Times New Roman"/>
          <w:b/>
          <w:sz w:val="24"/>
          <w:szCs w:val="24"/>
        </w:rPr>
      </w:pPr>
      <w:r>
        <w:rPr>
          <w:rFonts w:ascii="Times New Roman" w:hAnsi="Times New Roman" w:eastAsia="宋体" w:cs="Times New Roman"/>
          <w:b/>
          <w:sz w:val="24"/>
          <w:szCs w:val="24"/>
        </w:rPr>
        <w:drawing>
          <wp:inline distT="0" distB="0" distL="0" distR="0">
            <wp:extent cx="8548370" cy="48393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5"/>
                    <a:srcRect/>
                    <a:stretch>
                      <a:fillRect/>
                    </a:stretch>
                  </pic:blipFill>
                  <pic:spPr>
                    <a:xfrm>
                      <a:off x="0" y="0"/>
                      <a:ext cx="8548933" cy="4839507"/>
                    </a:xfrm>
                    <a:prstGeom prst="rect">
                      <a:avLst/>
                    </a:prstGeom>
                    <a:noFill/>
                    <a:ln w="9525">
                      <a:noFill/>
                      <a:miter lim="800000"/>
                      <a:headEnd/>
                      <a:tailEnd/>
                    </a:ln>
                  </pic:spPr>
                </pic:pic>
              </a:graphicData>
            </a:graphic>
          </wp:inline>
        </w:drawing>
      </w:r>
      <w:r>
        <w:rPr>
          <w:rFonts w:ascii="Times New Roman" w:hAnsi="Times New Roman" w:eastAsia="宋体" w:cs="Times New Roman"/>
          <w:b/>
          <w:sz w:val="24"/>
          <w:szCs w:val="24"/>
        </w:rPr>
        <w:t>图2.2-1 扩建选矿工程工艺流程图</w:t>
      </w:r>
    </w:p>
    <w:p>
      <w:pPr>
        <w:pStyle w:val="158"/>
        <w:ind w:firstLine="0" w:firstLineChars="0"/>
        <w:rPr>
          <w:rFonts w:ascii="Times New Roman" w:hAnsi="Times New Roman" w:eastAsia="宋体" w:cs="Times New Roman"/>
        </w:rPr>
      </w:pPr>
    </w:p>
    <w:p>
      <w:pPr>
        <w:pStyle w:val="158"/>
        <w:ind w:firstLine="482"/>
        <w:jc w:val="center"/>
        <w:rPr>
          <w:rFonts w:ascii="Times New Roman" w:hAnsi="Times New Roman" w:eastAsia="宋体" w:cs="Times New Roman"/>
          <w:b/>
          <w:sz w:val="24"/>
          <w:szCs w:val="24"/>
        </w:rPr>
        <w:sectPr>
          <w:pgSz w:w="16838" w:h="11906" w:orient="landscape"/>
          <w:pgMar w:top="1230" w:right="1440" w:bottom="1230" w:left="1440" w:header="851" w:footer="992" w:gutter="0"/>
          <w:cols w:space="425" w:num="1"/>
          <w:docGrid w:type="lines" w:linePitch="312" w:charSpace="0"/>
        </w:sectPr>
      </w:pPr>
    </w:p>
    <w:p>
      <w:pPr>
        <w:pStyle w:val="5"/>
        <w:rPr>
          <w:rFonts w:ascii="Times New Roman" w:hAnsi="Times New Roman"/>
        </w:rPr>
      </w:pPr>
      <w:bookmarkStart w:id="283" w:name="_Toc313115895"/>
      <w:r>
        <w:rPr>
          <w:rFonts w:ascii="Times New Roman" w:hAnsi="Times New Roman"/>
        </w:rPr>
        <w:t>2.2.3.4浮选药剂</w:t>
      </w:r>
    </w:p>
    <w:bookmarkEnd w:id="283"/>
    <w:p>
      <w:pPr>
        <w:pStyle w:val="107"/>
      </w:pPr>
      <w:r>
        <w:t xml:space="preserve">    药剂特性见表2.2-13。药剂制备室，设有一台1t电动葫芦，加药台设有片式自动给药机。药剂添加部位、添加方式见表2.2-14。</w:t>
      </w:r>
    </w:p>
    <w:p>
      <w:pPr>
        <w:adjustRightInd w:val="0"/>
        <w:jc w:val="left"/>
        <w:rPr>
          <w:rFonts w:eastAsia="黑体"/>
          <w:sz w:val="22"/>
          <w:szCs w:val="22"/>
        </w:rPr>
      </w:pPr>
      <w:r>
        <w:rPr>
          <w:b/>
          <w:bCs/>
          <w:lang w:val="zh-CN"/>
        </w:rPr>
        <w:t xml:space="preserve">   </w:t>
      </w:r>
      <w:r>
        <w:rPr>
          <w:rFonts w:eastAsia="黑体"/>
          <w:bCs/>
          <w:sz w:val="22"/>
          <w:szCs w:val="22"/>
          <w:lang w:val="zh-CN"/>
        </w:rPr>
        <w:t xml:space="preserve"> 表2.2-13                     </w:t>
      </w:r>
      <w:r>
        <w:rPr>
          <w:rFonts w:eastAsia="黑体"/>
          <w:sz w:val="22"/>
          <w:szCs w:val="22"/>
        </w:rPr>
        <w:t>药剂特性一览表</w:t>
      </w:r>
    </w:p>
    <w:tbl>
      <w:tblPr>
        <w:tblStyle w:val="54"/>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6991"/>
        <w:gridCol w:w="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 w:hRule="atLeast"/>
          <w:jc w:val="center"/>
        </w:trPr>
        <w:tc>
          <w:tcPr>
            <w:tcW w:w="648" w:type="dxa"/>
            <w:shd w:val="clear" w:color="auto" w:fill="auto"/>
            <w:vAlign w:val="center"/>
          </w:tcPr>
          <w:p>
            <w:pPr>
              <w:spacing w:line="240" w:lineRule="exact"/>
              <w:rPr>
                <w:sz w:val="20"/>
                <w:szCs w:val="20"/>
              </w:rPr>
            </w:pPr>
            <w:r>
              <w:rPr>
                <w:sz w:val="20"/>
                <w:szCs w:val="20"/>
              </w:rPr>
              <w:t>药剂</w:t>
            </w:r>
          </w:p>
        </w:tc>
        <w:tc>
          <w:tcPr>
            <w:tcW w:w="6991" w:type="dxa"/>
            <w:shd w:val="clear" w:color="auto" w:fill="auto"/>
            <w:vAlign w:val="center"/>
          </w:tcPr>
          <w:p>
            <w:pPr>
              <w:spacing w:line="240" w:lineRule="exact"/>
              <w:rPr>
                <w:sz w:val="20"/>
                <w:szCs w:val="20"/>
              </w:rPr>
            </w:pPr>
            <w:r>
              <w:rPr>
                <w:sz w:val="20"/>
                <w:szCs w:val="20"/>
              </w:rPr>
              <w:t>性状</w:t>
            </w:r>
          </w:p>
        </w:tc>
        <w:tc>
          <w:tcPr>
            <w:tcW w:w="883" w:type="dxa"/>
            <w:shd w:val="clear" w:color="auto" w:fill="auto"/>
            <w:vAlign w:val="center"/>
          </w:tcPr>
          <w:p>
            <w:pPr>
              <w:spacing w:line="240" w:lineRule="exact"/>
              <w:rPr>
                <w:sz w:val="20"/>
                <w:szCs w:val="20"/>
              </w:rPr>
            </w:pPr>
            <w:r>
              <w:rPr>
                <w:sz w:val="20"/>
                <w:szCs w:val="20"/>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48" w:type="dxa"/>
            <w:shd w:val="clear" w:color="auto" w:fill="auto"/>
            <w:vAlign w:val="center"/>
          </w:tcPr>
          <w:p>
            <w:pPr>
              <w:spacing w:line="240" w:lineRule="exact"/>
              <w:rPr>
                <w:sz w:val="20"/>
                <w:szCs w:val="20"/>
              </w:rPr>
            </w:pPr>
            <w:r>
              <w:rPr>
                <w:sz w:val="20"/>
                <w:szCs w:val="20"/>
              </w:rPr>
              <w:t>石灰</w:t>
            </w:r>
          </w:p>
        </w:tc>
        <w:tc>
          <w:tcPr>
            <w:tcW w:w="6991" w:type="dxa"/>
            <w:shd w:val="clear" w:color="auto" w:fill="auto"/>
            <w:vAlign w:val="center"/>
          </w:tcPr>
          <w:p>
            <w:pPr>
              <w:spacing w:line="240" w:lineRule="exact"/>
              <w:rPr>
                <w:sz w:val="20"/>
                <w:szCs w:val="20"/>
              </w:rPr>
            </w:pPr>
            <w:r>
              <w:rPr>
                <w:sz w:val="20"/>
                <w:szCs w:val="20"/>
              </w:rPr>
              <w:t>CaO由石灰石焙烧而成，加入水中后生成氢氧化钙，离解获得较强的碱。石灰是硫化铁矿的抑制剂。在硫化铜、硫化铅、硫化锌矿石中常伴生有黄铁矿、硫砷铁矿，为了更好地浮铜、铅、锌矿物，就要加石灰抑制硫化铁矿物。</w:t>
            </w:r>
          </w:p>
        </w:tc>
        <w:tc>
          <w:tcPr>
            <w:tcW w:w="883" w:type="dxa"/>
            <w:shd w:val="clear" w:color="auto" w:fill="auto"/>
            <w:vAlign w:val="center"/>
          </w:tcPr>
          <w:p>
            <w:pPr>
              <w:spacing w:line="240" w:lineRule="exact"/>
              <w:rPr>
                <w:sz w:val="20"/>
                <w:szCs w:val="20"/>
              </w:rPr>
            </w:pPr>
            <w:r>
              <w:rPr>
                <w:sz w:val="20"/>
                <w:szCs w:val="20"/>
              </w:rPr>
              <w:t>抑制剂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jc w:val="center"/>
        </w:trPr>
        <w:tc>
          <w:tcPr>
            <w:tcW w:w="648" w:type="dxa"/>
            <w:shd w:val="clear" w:color="auto" w:fill="auto"/>
            <w:vAlign w:val="center"/>
          </w:tcPr>
          <w:p>
            <w:pPr>
              <w:spacing w:line="240" w:lineRule="exact"/>
              <w:rPr>
                <w:spacing w:val="-20"/>
                <w:sz w:val="20"/>
                <w:szCs w:val="20"/>
              </w:rPr>
            </w:pPr>
            <w:r>
              <w:rPr>
                <w:spacing w:val="-20"/>
                <w:sz w:val="20"/>
                <w:szCs w:val="20"/>
              </w:rPr>
              <w:t>Z-200</w:t>
            </w:r>
          </w:p>
        </w:tc>
        <w:tc>
          <w:tcPr>
            <w:tcW w:w="6991" w:type="dxa"/>
            <w:shd w:val="clear" w:color="auto" w:fill="auto"/>
            <w:vAlign w:val="center"/>
          </w:tcPr>
          <w:p>
            <w:pPr>
              <w:spacing w:line="240" w:lineRule="exact"/>
              <w:rPr>
                <w:sz w:val="20"/>
                <w:szCs w:val="20"/>
              </w:rPr>
            </w:pPr>
            <w:r>
              <w:rPr>
                <w:sz w:val="20"/>
                <w:szCs w:val="20"/>
              </w:rPr>
              <w:t>(CH3)</w:t>
            </w:r>
            <w:r>
              <w:rPr>
                <w:sz w:val="20"/>
                <w:szCs w:val="20"/>
                <w:vertAlign w:val="subscript"/>
              </w:rPr>
              <w:t>2</w:t>
            </w:r>
            <w:r>
              <w:rPr>
                <w:sz w:val="20"/>
                <w:szCs w:val="20"/>
              </w:rPr>
              <w:t>CHOC(S)NHC</w:t>
            </w:r>
            <w:r>
              <w:rPr>
                <w:sz w:val="20"/>
                <w:szCs w:val="20"/>
                <w:vertAlign w:val="subscript"/>
              </w:rPr>
              <w:t>2</w:t>
            </w:r>
            <w:r>
              <w:rPr>
                <w:sz w:val="20"/>
                <w:szCs w:val="20"/>
              </w:rPr>
              <w:t>H</w:t>
            </w:r>
            <w:r>
              <w:rPr>
                <w:sz w:val="20"/>
                <w:szCs w:val="20"/>
                <w:vertAlign w:val="subscript"/>
              </w:rPr>
              <w:t>5</w:t>
            </w:r>
            <w:r>
              <w:rPr>
                <w:sz w:val="20"/>
                <w:szCs w:val="20"/>
              </w:rPr>
              <w:t>，淡黄色油状液体，稍有刺激性气味、比重：D420=0.990-0.994 难溶于水，易溶于乙醇，乙醚，苯和石油醚中.粘度：5.56厘泊</w:t>
            </w:r>
          </w:p>
        </w:tc>
        <w:tc>
          <w:tcPr>
            <w:tcW w:w="883" w:type="dxa"/>
            <w:shd w:val="clear" w:color="auto" w:fill="auto"/>
            <w:vAlign w:val="center"/>
          </w:tcPr>
          <w:p>
            <w:pPr>
              <w:spacing w:line="240" w:lineRule="exact"/>
              <w:rPr>
                <w:sz w:val="20"/>
                <w:szCs w:val="20"/>
              </w:rPr>
            </w:pPr>
            <w:r>
              <w:rPr>
                <w:sz w:val="20"/>
                <w:szCs w:val="20"/>
              </w:rPr>
              <w:t>捕收剂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648" w:type="dxa"/>
            <w:shd w:val="clear" w:color="auto" w:fill="auto"/>
            <w:vAlign w:val="center"/>
          </w:tcPr>
          <w:p>
            <w:pPr>
              <w:spacing w:line="240" w:lineRule="exact"/>
              <w:rPr>
                <w:sz w:val="20"/>
                <w:szCs w:val="20"/>
              </w:rPr>
            </w:pPr>
            <w:r>
              <w:rPr>
                <w:sz w:val="20"/>
                <w:szCs w:val="20"/>
              </w:rPr>
              <w:t>丁黄药</w:t>
            </w:r>
          </w:p>
        </w:tc>
        <w:tc>
          <w:tcPr>
            <w:tcW w:w="6991" w:type="dxa"/>
            <w:shd w:val="clear" w:color="auto" w:fill="auto"/>
            <w:vAlign w:val="center"/>
          </w:tcPr>
          <w:p>
            <w:pPr>
              <w:spacing w:line="240" w:lineRule="exact"/>
              <w:rPr>
                <w:sz w:val="20"/>
                <w:szCs w:val="20"/>
              </w:rPr>
            </w:pPr>
            <w:r>
              <w:rPr>
                <w:sz w:val="20"/>
                <w:szCs w:val="20"/>
              </w:rPr>
              <w:t>C</w:t>
            </w:r>
            <w:r>
              <w:rPr>
                <w:sz w:val="20"/>
                <w:szCs w:val="20"/>
                <w:vertAlign w:val="subscript"/>
              </w:rPr>
              <w:t>4</w:t>
            </w:r>
            <w:r>
              <w:rPr>
                <w:sz w:val="20"/>
                <w:szCs w:val="20"/>
              </w:rPr>
              <w:t>H</w:t>
            </w:r>
            <w:r>
              <w:rPr>
                <w:sz w:val="20"/>
                <w:szCs w:val="20"/>
                <w:vertAlign w:val="subscript"/>
              </w:rPr>
              <w:t>9</w:t>
            </w:r>
            <w:r>
              <w:rPr>
                <w:sz w:val="20"/>
                <w:szCs w:val="20"/>
              </w:rPr>
              <w:t>OCSSNa。浅黄色粉末，有刺激性臭味，能溶于水，有一定毒性，易氧化，水溶液不稳定，可以离解成黄原酸离子，黄原酸离子水解生成黄原酸，黄原酸为弱酸，不稳定，易分解成没有捕收作用的CS</w:t>
            </w:r>
            <w:r>
              <w:rPr>
                <w:sz w:val="20"/>
                <w:szCs w:val="20"/>
                <w:vertAlign w:val="subscript"/>
              </w:rPr>
              <w:t>2</w:t>
            </w:r>
            <w:r>
              <w:rPr>
                <w:sz w:val="20"/>
                <w:szCs w:val="20"/>
              </w:rPr>
              <w:t>和醇，为抑制该不利过程，实际需要保持溶液pH值在7以上，即在碱性矿浆中使用。</w:t>
            </w:r>
          </w:p>
        </w:tc>
        <w:tc>
          <w:tcPr>
            <w:tcW w:w="883" w:type="dxa"/>
            <w:shd w:val="clear" w:color="auto" w:fill="auto"/>
            <w:vAlign w:val="center"/>
          </w:tcPr>
          <w:p>
            <w:pPr>
              <w:spacing w:line="240" w:lineRule="exact"/>
              <w:rPr>
                <w:sz w:val="20"/>
                <w:szCs w:val="20"/>
              </w:rPr>
            </w:pPr>
            <w:r>
              <w:rPr>
                <w:sz w:val="20"/>
                <w:szCs w:val="20"/>
              </w:rPr>
              <w:t>捕收剂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648" w:type="dxa"/>
            <w:shd w:val="clear" w:color="auto" w:fill="auto"/>
            <w:vAlign w:val="center"/>
          </w:tcPr>
          <w:p>
            <w:pPr>
              <w:spacing w:line="240" w:lineRule="exact"/>
              <w:rPr>
                <w:sz w:val="20"/>
                <w:szCs w:val="20"/>
              </w:rPr>
            </w:pPr>
            <w:r>
              <w:rPr>
                <w:sz w:val="20"/>
                <w:szCs w:val="20"/>
              </w:rPr>
              <w:t>松油醇</w:t>
            </w:r>
          </w:p>
        </w:tc>
        <w:tc>
          <w:tcPr>
            <w:tcW w:w="6991" w:type="dxa"/>
            <w:shd w:val="clear" w:color="auto" w:fill="auto"/>
            <w:vAlign w:val="center"/>
          </w:tcPr>
          <w:p>
            <w:pPr>
              <w:spacing w:line="240" w:lineRule="exact"/>
              <w:ind w:firstLine="432" w:firstLineChars="200"/>
              <w:rPr>
                <w:sz w:val="20"/>
                <w:szCs w:val="20"/>
              </w:rPr>
            </w:pPr>
            <w:r>
              <w:rPr>
                <w:spacing w:val="8"/>
                <w:sz w:val="20"/>
                <w:szCs w:val="20"/>
              </w:rPr>
              <w:t>C</w:t>
            </w:r>
            <w:r>
              <w:rPr>
                <w:spacing w:val="8"/>
                <w:sz w:val="20"/>
                <w:szCs w:val="20"/>
                <w:vertAlign w:val="subscript"/>
              </w:rPr>
              <w:t>10</w:t>
            </w:r>
            <w:r>
              <w:rPr>
                <w:spacing w:val="8"/>
                <w:sz w:val="20"/>
                <w:szCs w:val="20"/>
              </w:rPr>
              <w:t>H</w:t>
            </w:r>
            <w:r>
              <w:rPr>
                <w:spacing w:val="8"/>
                <w:sz w:val="20"/>
                <w:szCs w:val="20"/>
                <w:vertAlign w:val="subscript"/>
              </w:rPr>
              <w:t>18</w:t>
            </w:r>
            <w:r>
              <w:rPr>
                <w:spacing w:val="8"/>
                <w:sz w:val="20"/>
                <w:szCs w:val="20"/>
              </w:rPr>
              <w:t>O；</w:t>
            </w:r>
            <w:r>
              <w:rPr>
                <w:sz w:val="20"/>
                <w:szCs w:val="20"/>
              </w:rPr>
              <w:t>无色黏稠液体或低熔点透明结晶。相对密度0.9337℃。固化点40℃。沸点220.85℃。折射率1.4831。可燃。一般工业品为三种异构体的混合物。α-松油醇有左旋、右旋、消旋三种光学异构体。不溶于水，溶于乙醇等有机溶剂。具似海桐花的清香，甜的紫丁香、铃兰气息。溶于乙醇，微溶于水和甘油。1份松油醇能溶于2份（体积）70%的乙醇溶液中。</w:t>
            </w:r>
          </w:p>
        </w:tc>
        <w:tc>
          <w:tcPr>
            <w:tcW w:w="883" w:type="dxa"/>
            <w:shd w:val="clear" w:color="auto" w:fill="auto"/>
            <w:vAlign w:val="center"/>
          </w:tcPr>
          <w:p>
            <w:pPr>
              <w:spacing w:line="240" w:lineRule="exact"/>
              <w:rPr>
                <w:sz w:val="20"/>
                <w:szCs w:val="20"/>
              </w:rPr>
            </w:pPr>
            <w:r>
              <w:rPr>
                <w:sz w:val="20"/>
                <w:szCs w:val="20"/>
              </w:rPr>
              <w:t>起泡剂</w:t>
            </w:r>
          </w:p>
        </w:tc>
      </w:tr>
    </w:tbl>
    <w:p>
      <w:pPr>
        <w:spacing w:beforeLines="50"/>
        <w:jc w:val="left"/>
        <w:rPr>
          <w:rFonts w:eastAsia="黑体"/>
          <w:bCs/>
          <w:sz w:val="22"/>
          <w:szCs w:val="22"/>
          <w:lang w:val="zh-CN"/>
        </w:rPr>
      </w:pPr>
      <w:r>
        <w:rPr>
          <w:b/>
          <w:bCs/>
          <w:lang w:val="zh-CN"/>
        </w:rPr>
        <w:t xml:space="preserve">    </w:t>
      </w:r>
      <w:r>
        <w:rPr>
          <w:rFonts w:eastAsia="黑体"/>
          <w:bCs/>
          <w:sz w:val="22"/>
          <w:szCs w:val="22"/>
          <w:lang w:val="zh-CN"/>
        </w:rPr>
        <w:t>表2.2-14           药剂种类、用量表、添加部位及添加方式表</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59"/>
        <w:gridCol w:w="1388"/>
        <w:gridCol w:w="1368"/>
        <w:gridCol w:w="1324"/>
        <w:gridCol w:w="1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2959" w:type="dxa"/>
            <w:vMerge w:val="restart"/>
            <w:vAlign w:val="center"/>
          </w:tcPr>
          <w:p>
            <w:pPr>
              <w:ind w:left="840" w:leftChars="400"/>
              <w:rPr>
                <w:sz w:val="20"/>
                <w:szCs w:val="20"/>
              </w:rPr>
            </w:pPr>
            <w:r>
              <w:rPr>
                <w:sz w:val="20"/>
                <w:szCs w:val="20"/>
              </w:rPr>
              <w:pict>
                <v:line id="_x0000_s5362" o:spid="_x0000_s5362" o:spt="20" style="position:absolute;left:0pt;margin-left:-3.3pt;margin-top:2.75pt;height:52.4pt;width:84.4pt;z-index:251688960;mso-width-relative:page;mso-height-relative:page;" coordsize="21600,21600">
                  <v:path arrowok="t"/>
                  <v:fill focussize="0,0"/>
                  <v:stroke/>
                  <v:imagedata o:title=""/>
                  <o:lock v:ext="edit"/>
                </v:line>
              </w:pict>
            </w:r>
            <w:r>
              <w:rPr>
                <w:sz w:val="20"/>
                <w:szCs w:val="20"/>
              </w:rPr>
              <w:pict>
                <v:line id="_x0000_s5363" o:spid="_x0000_s5363" o:spt="20" style="position:absolute;left:0pt;margin-left:-6.65pt;margin-top:-0.4pt;height:24.35pt;width:141.75pt;z-index:251689984;mso-width-relative:page;mso-height-relative:page;" coordsize="21600,21600">
                  <v:path arrowok="t"/>
                  <v:fill focussize="0,0"/>
                  <v:stroke/>
                  <v:imagedata o:title=""/>
                  <o:lock v:ext="edit"/>
                </v:line>
              </w:pict>
            </w:r>
            <w:r>
              <w:rPr>
                <w:sz w:val="20"/>
                <w:szCs w:val="20"/>
              </w:rPr>
              <w:t>药剂</w:t>
            </w:r>
          </w:p>
          <w:p>
            <w:pPr>
              <w:ind w:firstLine="400" w:firstLineChars="200"/>
              <w:rPr>
                <w:sz w:val="20"/>
                <w:szCs w:val="20"/>
              </w:rPr>
            </w:pPr>
            <w:r>
              <w:rPr>
                <w:sz w:val="20"/>
                <w:szCs w:val="20"/>
              </w:rPr>
              <w:t>浓度、作业</w:t>
            </w:r>
          </w:p>
          <w:p>
            <w:pPr>
              <w:ind w:left="1150" w:leftChars="500" w:hanging="100" w:hangingChars="50"/>
              <w:rPr>
                <w:sz w:val="20"/>
                <w:szCs w:val="20"/>
              </w:rPr>
            </w:pPr>
            <w:r>
              <w:rPr>
                <w:sz w:val="20"/>
                <w:szCs w:val="20"/>
              </w:rPr>
              <w:t>用量g/t</w:t>
            </w:r>
          </w:p>
          <w:p>
            <w:pPr>
              <w:ind w:firstLine="200" w:firstLineChars="100"/>
              <w:rPr>
                <w:sz w:val="20"/>
                <w:szCs w:val="20"/>
              </w:rPr>
            </w:pPr>
            <w:r>
              <w:rPr>
                <w:sz w:val="20"/>
                <w:szCs w:val="20"/>
              </w:rPr>
              <w:t>名称</w:t>
            </w:r>
          </w:p>
        </w:tc>
        <w:tc>
          <w:tcPr>
            <w:tcW w:w="1388" w:type="dxa"/>
            <w:vAlign w:val="center"/>
          </w:tcPr>
          <w:p>
            <w:pPr>
              <w:jc w:val="center"/>
              <w:rPr>
                <w:sz w:val="20"/>
                <w:szCs w:val="20"/>
              </w:rPr>
            </w:pPr>
            <w:r>
              <w:rPr>
                <w:sz w:val="20"/>
                <w:szCs w:val="20"/>
              </w:rPr>
              <w:t>CaO</w:t>
            </w:r>
          </w:p>
        </w:tc>
        <w:tc>
          <w:tcPr>
            <w:tcW w:w="1368" w:type="dxa"/>
            <w:vAlign w:val="center"/>
          </w:tcPr>
          <w:p>
            <w:pPr>
              <w:jc w:val="center"/>
              <w:rPr>
                <w:sz w:val="20"/>
                <w:szCs w:val="20"/>
              </w:rPr>
            </w:pPr>
            <w:r>
              <w:rPr>
                <w:sz w:val="20"/>
                <w:szCs w:val="20"/>
              </w:rPr>
              <w:t>Z-200</w:t>
            </w:r>
          </w:p>
        </w:tc>
        <w:tc>
          <w:tcPr>
            <w:tcW w:w="1324" w:type="dxa"/>
            <w:vAlign w:val="center"/>
          </w:tcPr>
          <w:p>
            <w:pPr>
              <w:jc w:val="center"/>
              <w:rPr>
                <w:sz w:val="20"/>
                <w:szCs w:val="20"/>
              </w:rPr>
            </w:pPr>
            <w:r>
              <w:rPr>
                <w:sz w:val="20"/>
                <w:szCs w:val="20"/>
              </w:rPr>
              <w:t>松油醇</w:t>
            </w:r>
          </w:p>
        </w:tc>
        <w:tc>
          <w:tcPr>
            <w:tcW w:w="1489" w:type="dxa"/>
            <w:vAlign w:val="center"/>
          </w:tcPr>
          <w:p>
            <w:pPr>
              <w:jc w:val="center"/>
              <w:rPr>
                <w:sz w:val="20"/>
                <w:szCs w:val="20"/>
              </w:rPr>
            </w:pPr>
            <w:r>
              <w:rPr>
                <w:sz w:val="20"/>
                <w:szCs w:val="20"/>
              </w:rPr>
              <w:t>丁黄药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2959" w:type="dxa"/>
            <w:vMerge w:val="continue"/>
            <w:vAlign w:val="center"/>
          </w:tcPr>
          <w:p>
            <w:pPr>
              <w:spacing w:line="0" w:lineRule="atLeast"/>
              <w:rPr>
                <w:sz w:val="20"/>
                <w:szCs w:val="20"/>
              </w:rPr>
            </w:pPr>
          </w:p>
        </w:tc>
        <w:tc>
          <w:tcPr>
            <w:tcW w:w="1388" w:type="dxa"/>
            <w:vAlign w:val="center"/>
          </w:tcPr>
          <w:p>
            <w:pPr>
              <w:spacing w:line="0" w:lineRule="atLeast"/>
              <w:jc w:val="center"/>
              <w:rPr>
                <w:sz w:val="20"/>
                <w:szCs w:val="20"/>
              </w:rPr>
            </w:pPr>
            <w:r>
              <w:rPr>
                <w:sz w:val="20"/>
                <w:szCs w:val="20"/>
              </w:rPr>
              <w:t>粉状</w:t>
            </w:r>
          </w:p>
        </w:tc>
        <w:tc>
          <w:tcPr>
            <w:tcW w:w="1368" w:type="dxa"/>
            <w:vAlign w:val="center"/>
          </w:tcPr>
          <w:p>
            <w:pPr>
              <w:spacing w:line="0" w:lineRule="atLeast"/>
              <w:jc w:val="center"/>
              <w:rPr>
                <w:sz w:val="20"/>
                <w:szCs w:val="20"/>
              </w:rPr>
            </w:pPr>
            <w:r>
              <w:rPr>
                <w:sz w:val="20"/>
                <w:szCs w:val="20"/>
              </w:rPr>
              <w:t>10％</w:t>
            </w:r>
          </w:p>
        </w:tc>
        <w:tc>
          <w:tcPr>
            <w:tcW w:w="1324" w:type="dxa"/>
            <w:vAlign w:val="center"/>
          </w:tcPr>
          <w:p>
            <w:pPr>
              <w:spacing w:line="0" w:lineRule="atLeast"/>
              <w:jc w:val="center"/>
              <w:rPr>
                <w:sz w:val="20"/>
                <w:szCs w:val="20"/>
              </w:rPr>
            </w:pPr>
            <w:r>
              <w:rPr>
                <w:sz w:val="20"/>
                <w:szCs w:val="20"/>
              </w:rPr>
              <w:t>原质</w:t>
            </w:r>
          </w:p>
        </w:tc>
        <w:tc>
          <w:tcPr>
            <w:tcW w:w="1489" w:type="dxa"/>
            <w:vAlign w:val="center"/>
          </w:tcPr>
          <w:p>
            <w:pPr>
              <w:spacing w:line="0" w:lineRule="atLeast"/>
              <w:jc w:val="center"/>
              <w:rPr>
                <w:sz w:val="20"/>
                <w:szCs w:val="20"/>
              </w:rPr>
            </w:pPr>
            <w:r>
              <w:rPr>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959" w:type="dxa"/>
            <w:vAlign w:val="center"/>
          </w:tcPr>
          <w:p>
            <w:pPr>
              <w:spacing w:line="0" w:lineRule="atLeast"/>
              <w:rPr>
                <w:sz w:val="20"/>
                <w:szCs w:val="20"/>
              </w:rPr>
            </w:pPr>
            <w:r>
              <w:rPr>
                <w:sz w:val="20"/>
                <w:szCs w:val="20"/>
              </w:rPr>
              <w:t>球磨机给矿</w:t>
            </w:r>
          </w:p>
        </w:tc>
        <w:tc>
          <w:tcPr>
            <w:tcW w:w="1388" w:type="dxa"/>
            <w:vAlign w:val="center"/>
          </w:tcPr>
          <w:p>
            <w:pPr>
              <w:spacing w:line="0" w:lineRule="atLeast"/>
              <w:jc w:val="center"/>
              <w:rPr>
                <w:sz w:val="20"/>
                <w:szCs w:val="20"/>
              </w:rPr>
            </w:pPr>
            <w:r>
              <w:rPr>
                <w:sz w:val="20"/>
                <w:szCs w:val="20"/>
              </w:rPr>
              <w:t>1000</w:t>
            </w:r>
          </w:p>
        </w:tc>
        <w:tc>
          <w:tcPr>
            <w:tcW w:w="1368" w:type="dxa"/>
            <w:vAlign w:val="center"/>
          </w:tcPr>
          <w:p>
            <w:pPr>
              <w:spacing w:line="0" w:lineRule="atLeast"/>
              <w:jc w:val="center"/>
              <w:rPr>
                <w:sz w:val="20"/>
                <w:szCs w:val="20"/>
              </w:rPr>
            </w:pPr>
          </w:p>
        </w:tc>
        <w:tc>
          <w:tcPr>
            <w:tcW w:w="1324" w:type="dxa"/>
            <w:vAlign w:val="center"/>
          </w:tcPr>
          <w:p>
            <w:pPr>
              <w:spacing w:line="0" w:lineRule="atLeast"/>
              <w:jc w:val="center"/>
              <w:rPr>
                <w:sz w:val="20"/>
                <w:szCs w:val="20"/>
              </w:rPr>
            </w:pPr>
          </w:p>
        </w:tc>
        <w:tc>
          <w:tcPr>
            <w:tcW w:w="1489" w:type="dxa"/>
            <w:vAlign w:val="center"/>
          </w:tcPr>
          <w:p>
            <w:pPr>
              <w:spacing w:line="0" w:lineRule="atLeast"/>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959" w:type="dxa"/>
            <w:vAlign w:val="center"/>
          </w:tcPr>
          <w:p>
            <w:pPr>
              <w:spacing w:line="0" w:lineRule="atLeast"/>
              <w:rPr>
                <w:sz w:val="20"/>
                <w:szCs w:val="20"/>
              </w:rPr>
            </w:pPr>
            <w:r>
              <w:rPr>
                <w:sz w:val="20"/>
                <w:szCs w:val="20"/>
              </w:rPr>
              <w:t>铜硫混合粗选</w:t>
            </w:r>
          </w:p>
        </w:tc>
        <w:tc>
          <w:tcPr>
            <w:tcW w:w="1388" w:type="dxa"/>
            <w:vAlign w:val="center"/>
          </w:tcPr>
          <w:p>
            <w:pPr>
              <w:spacing w:line="0" w:lineRule="atLeast"/>
              <w:jc w:val="center"/>
              <w:rPr>
                <w:sz w:val="20"/>
                <w:szCs w:val="20"/>
              </w:rPr>
            </w:pPr>
          </w:p>
        </w:tc>
        <w:tc>
          <w:tcPr>
            <w:tcW w:w="1368" w:type="dxa"/>
            <w:vAlign w:val="center"/>
          </w:tcPr>
          <w:p>
            <w:pPr>
              <w:spacing w:line="0" w:lineRule="atLeast"/>
              <w:jc w:val="center"/>
              <w:rPr>
                <w:sz w:val="20"/>
                <w:szCs w:val="20"/>
              </w:rPr>
            </w:pPr>
          </w:p>
        </w:tc>
        <w:tc>
          <w:tcPr>
            <w:tcW w:w="1324" w:type="dxa"/>
            <w:vAlign w:val="center"/>
          </w:tcPr>
          <w:p>
            <w:pPr>
              <w:spacing w:line="0" w:lineRule="atLeast"/>
              <w:jc w:val="center"/>
              <w:rPr>
                <w:sz w:val="20"/>
                <w:szCs w:val="20"/>
              </w:rPr>
            </w:pPr>
            <w:r>
              <w:rPr>
                <w:sz w:val="20"/>
                <w:szCs w:val="20"/>
              </w:rPr>
              <w:t>50</w:t>
            </w:r>
          </w:p>
        </w:tc>
        <w:tc>
          <w:tcPr>
            <w:tcW w:w="1489" w:type="dxa"/>
            <w:vAlign w:val="center"/>
          </w:tcPr>
          <w:p>
            <w:pPr>
              <w:spacing w:line="0" w:lineRule="atLeast"/>
              <w:jc w:val="center"/>
              <w:rPr>
                <w:sz w:val="20"/>
                <w:szCs w:val="20"/>
              </w:rPr>
            </w:pPr>
            <w:r>
              <w:rPr>
                <w:sz w:val="20"/>
                <w:szCs w:val="20"/>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959" w:type="dxa"/>
            <w:vAlign w:val="center"/>
          </w:tcPr>
          <w:p>
            <w:pPr>
              <w:spacing w:line="0" w:lineRule="atLeast"/>
              <w:rPr>
                <w:sz w:val="20"/>
                <w:szCs w:val="20"/>
              </w:rPr>
            </w:pPr>
            <w:r>
              <w:rPr>
                <w:sz w:val="20"/>
                <w:szCs w:val="20"/>
              </w:rPr>
              <w:t>铜-硫分离浮选</w:t>
            </w:r>
          </w:p>
        </w:tc>
        <w:tc>
          <w:tcPr>
            <w:tcW w:w="1388" w:type="dxa"/>
            <w:vAlign w:val="center"/>
          </w:tcPr>
          <w:p>
            <w:pPr>
              <w:spacing w:line="0" w:lineRule="atLeast"/>
              <w:jc w:val="center"/>
              <w:rPr>
                <w:sz w:val="20"/>
                <w:szCs w:val="20"/>
              </w:rPr>
            </w:pPr>
            <w:r>
              <w:rPr>
                <w:sz w:val="20"/>
                <w:szCs w:val="20"/>
              </w:rPr>
              <w:t>500</w:t>
            </w:r>
          </w:p>
        </w:tc>
        <w:tc>
          <w:tcPr>
            <w:tcW w:w="1368" w:type="dxa"/>
            <w:vAlign w:val="center"/>
          </w:tcPr>
          <w:p>
            <w:pPr>
              <w:spacing w:line="0" w:lineRule="atLeast"/>
              <w:jc w:val="center"/>
              <w:rPr>
                <w:sz w:val="20"/>
                <w:szCs w:val="20"/>
              </w:rPr>
            </w:pPr>
            <w:r>
              <w:rPr>
                <w:sz w:val="20"/>
                <w:szCs w:val="20"/>
              </w:rPr>
              <w:t>300</w:t>
            </w:r>
          </w:p>
        </w:tc>
        <w:tc>
          <w:tcPr>
            <w:tcW w:w="1324" w:type="dxa"/>
            <w:vAlign w:val="center"/>
          </w:tcPr>
          <w:p>
            <w:pPr>
              <w:spacing w:line="0" w:lineRule="atLeast"/>
              <w:jc w:val="center"/>
              <w:rPr>
                <w:sz w:val="20"/>
                <w:szCs w:val="20"/>
              </w:rPr>
            </w:pPr>
            <w:r>
              <w:rPr>
                <w:sz w:val="20"/>
                <w:szCs w:val="20"/>
              </w:rPr>
              <w:t>30</w:t>
            </w:r>
          </w:p>
        </w:tc>
        <w:tc>
          <w:tcPr>
            <w:tcW w:w="1489" w:type="dxa"/>
            <w:vAlign w:val="center"/>
          </w:tcPr>
          <w:p>
            <w:pPr>
              <w:spacing w:line="0" w:lineRule="atLeast"/>
              <w:jc w:val="center"/>
              <w:rPr>
                <w:sz w:val="20"/>
                <w:szCs w:val="20"/>
              </w:rPr>
            </w:pPr>
            <w:r>
              <w:rPr>
                <w:sz w:val="20"/>
                <w:szCs w:val="20"/>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959" w:type="dxa"/>
            <w:vAlign w:val="center"/>
          </w:tcPr>
          <w:p>
            <w:pPr>
              <w:spacing w:line="0" w:lineRule="atLeast"/>
              <w:rPr>
                <w:sz w:val="20"/>
                <w:szCs w:val="20"/>
              </w:rPr>
            </w:pPr>
            <w:r>
              <w:rPr>
                <w:sz w:val="20"/>
                <w:szCs w:val="20"/>
              </w:rPr>
              <w:t>合计</w:t>
            </w:r>
          </w:p>
        </w:tc>
        <w:tc>
          <w:tcPr>
            <w:tcW w:w="1388" w:type="dxa"/>
            <w:vAlign w:val="center"/>
          </w:tcPr>
          <w:p>
            <w:pPr>
              <w:spacing w:line="0" w:lineRule="atLeast"/>
              <w:jc w:val="center"/>
              <w:rPr>
                <w:sz w:val="20"/>
                <w:szCs w:val="20"/>
              </w:rPr>
            </w:pPr>
            <w:r>
              <w:rPr>
                <w:sz w:val="20"/>
                <w:szCs w:val="20"/>
              </w:rPr>
              <w:t>1500</w:t>
            </w:r>
          </w:p>
        </w:tc>
        <w:tc>
          <w:tcPr>
            <w:tcW w:w="1368" w:type="dxa"/>
            <w:vAlign w:val="center"/>
          </w:tcPr>
          <w:p>
            <w:pPr>
              <w:spacing w:line="0" w:lineRule="atLeast"/>
              <w:rPr>
                <w:sz w:val="20"/>
                <w:szCs w:val="20"/>
              </w:rPr>
            </w:pPr>
            <w:r>
              <w:rPr>
                <w:sz w:val="20"/>
                <w:szCs w:val="20"/>
              </w:rPr>
              <w:t xml:space="preserve">     300</w:t>
            </w:r>
          </w:p>
        </w:tc>
        <w:tc>
          <w:tcPr>
            <w:tcW w:w="1324" w:type="dxa"/>
            <w:vAlign w:val="center"/>
          </w:tcPr>
          <w:p>
            <w:pPr>
              <w:spacing w:line="0" w:lineRule="atLeast"/>
              <w:jc w:val="center"/>
              <w:rPr>
                <w:sz w:val="20"/>
                <w:szCs w:val="20"/>
              </w:rPr>
            </w:pPr>
            <w:r>
              <w:rPr>
                <w:sz w:val="20"/>
                <w:szCs w:val="20"/>
              </w:rPr>
              <w:t>80</w:t>
            </w:r>
          </w:p>
        </w:tc>
        <w:tc>
          <w:tcPr>
            <w:tcW w:w="1489" w:type="dxa"/>
            <w:vAlign w:val="center"/>
          </w:tcPr>
          <w:p>
            <w:pPr>
              <w:spacing w:line="0" w:lineRule="atLeast"/>
              <w:jc w:val="center"/>
              <w:rPr>
                <w:sz w:val="20"/>
                <w:szCs w:val="20"/>
              </w:rPr>
            </w:pPr>
            <w:r>
              <w:rPr>
                <w:sz w:val="20"/>
                <w:szCs w:val="20"/>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959" w:type="dxa"/>
            <w:vAlign w:val="center"/>
          </w:tcPr>
          <w:p>
            <w:pPr>
              <w:spacing w:line="0" w:lineRule="atLeast"/>
              <w:rPr>
                <w:sz w:val="20"/>
                <w:szCs w:val="20"/>
              </w:rPr>
            </w:pPr>
            <w:r>
              <w:rPr>
                <w:sz w:val="20"/>
                <w:szCs w:val="20"/>
              </w:rPr>
              <w:t>添加方式</w:t>
            </w:r>
          </w:p>
        </w:tc>
        <w:tc>
          <w:tcPr>
            <w:tcW w:w="1388" w:type="dxa"/>
            <w:vAlign w:val="center"/>
          </w:tcPr>
          <w:p>
            <w:pPr>
              <w:spacing w:line="0" w:lineRule="atLeast"/>
              <w:jc w:val="center"/>
              <w:rPr>
                <w:sz w:val="20"/>
                <w:szCs w:val="20"/>
              </w:rPr>
            </w:pPr>
            <w:r>
              <w:rPr>
                <w:sz w:val="20"/>
                <w:szCs w:val="20"/>
              </w:rPr>
              <w:t>人工添加</w:t>
            </w:r>
          </w:p>
        </w:tc>
        <w:tc>
          <w:tcPr>
            <w:tcW w:w="1368" w:type="dxa"/>
            <w:vAlign w:val="center"/>
          </w:tcPr>
          <w:p>
            <w:pPr>
              <w:spacing w:line="0" w:lineRule="atLeast"/>
              <w:rPr>
                <w:sz w:val="20"/>
                <w:szCs w:val="20"/>
              </w:rPr>
            </w:pPr>
            <w:r>
              <w:rPr>
                <w:sz w:val="20"/>
                <w:szCs w:val="20"/>
              </w:rPr>
              <w:t>给药管给药</w:t>
            </w:r>
          </w:p>
        </w:tc>
        <w:tc>
          <w:tcPr>
            <w:tcW w:w="1324" w:type="dxa"/>
            <w:vAlign w:val="center"/>
          </w:tcPr>
          <w:p>
            <w:pPr>
              <w:spacing w:line="0" w:lineRule="atLeast"/>
              <w:jc w:val="center"/>
              <w:rPr>
                <w:sz w:val="20"/>
                <w:szCs w:val="20"/>
              </w:rPr>
            </w:pPr>
            <w:r>
              <w:rPr>
                <w:sz w:val="20"/>
                <w:szCs w:val="20"/>
              </w:rPr>
              <w:t>给药机添加</w:t>
            </w:r>
          </w:p>
        </w:tc>
        <w:tc>
          <w:tcPr>
            <w:tcW w:w="1489" w:type="dxa"/>
            <w:vAlign w:val="center"/>
          </w:tcPr>
          <w:p>
            <w:pPr>
              <w:spacing w:line="0" w:lineRule="atLeast"/>
              <w:jc w:val="center"/>
              <w:rPr>
                <w:sz w:val="20"/>
                <w:szCs w:val="20"/>
              </w:rPr>
            </w:pPr>
            <w:r>
              <w:rPr>
                <w:sz w:val="20"/>
                <w:szCs w:val="20"/>
              </w:rPr>
              <w:t>给药管给药</w:t>
            </w:r>
          </w:p>
        </w:tc>
      </w:tr>
    </w:tbl>
    <w:p>
      <w:pPr>
        <w:pStyle w:val="5"/>
        <w:rPr>
          <w:rFonts w:ascii="Times New Roman" w:hAnsi="Times New Roman"/>
        </w:rPr>
      </w:pPr>
      <w:r>
        <w:rPr>
          <w:rFonts w:ascii="Times New Roman" w:hAnsi="Times New Roman"/>
        </w:rPr>
        <w:t>2.2.3.5主要设备</w:t>
      </w:r>
    </w:p>
    <w:p>
      <w:pPr>
        <w:pStyle w:val="107"/>
      </w:pPr>
      <w:r>
        <w:t xml:space="preserve">    扩建选矿设备见表2.2-15，扩建选矿中目前没有国家明令淘汰的设备。</w:t>
      </w:r>
    </w:p>
    <w:p>
      <w:pPr>
        <w:jc w:val="left"/>
        <w:rPr>
          <w:rFonts w:eastAsia="黑体"/>
          <w:bCs/>
          <w:sz w:val="22"/>
          <w:szCs w:val="22"/>
          <w:lang w:val="zh-CN"/>
        </w:rPr>
      </w:pPr>
      <w:r>
        <w:rPr>
          <w:b/>
          <w:bCs/>
          <w:lang w:val="zh-CN"/>
        </w:rPr>
        <w:t xml:space="preserve">    </w:t>
      </w:r>
      <w:r>
        <w:rPr>
          <w:rFonts w:eastAsia="黑体"/>
          <w:bCs/>
          <w:sz w:val="22"/>
          <w:szCs w:val="22"/>
          <w:lang w:val="zh-CN"/>
        </w:rPr>
        <w:t>表2.2-15             扩建选矿主要工艺设备表</w:t>
      </w:r>
    </w:p>
    <w:tbl>
      <w:tblPr>
        <w:tblStyle w:val="54"/>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72"/>
        <w:gridCol w:w="3055"/>
        <w:gridCol w:w="866"/>
        <w:gridCol w:w="19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blHeader/>
          <w:jc w:val="center"/>
        </w:trPr>
        <w:tc>
          <w:tcPr>
            <w:tcW w:w="730" w:type="dxa"/>
            <w:vMerge w:val="restart"/>
            <w:vAlign w:val="center"/>
          </w:tcPr>
          <w:p>
            <w:pPr>
              <w:jc w:val="center"/>
              <w:rPr>
                <w:sz w:val="20"/>
                <w:szCs w:val="20"/>
              </w:rPr>
            </w:pPr>
            <w:r>
              <w:rPr>
                <w:sz w:val="20"/>
                <w:szCs w:val="20"/>
              </w:rPr>
              <w:t>序号</w:t>
            </w:r>
          </w:p>
        </w:tc>
        <w:tc>
          <w:tcPr>
            <w:tcW w:w="1972" w:type="dxa"/>
            <w:vMerge w:val="restart"/>
            <w:vAlign w:val="center"/>
          </w:tcPr>
          <w:p>
            <w:pPr>
              <w:jc w:val="center"/>
              <w:rPr>
                <w:sz w:val="20"/>
                <w:szCs w:val="20"/>
              </w:rPr>
            </w:pPr>
            <w:r>
              <w:rPr>
                <w:sz w:val="20"/>
                <w:szCs w:val="20"/>
              </w:rPr>
              <w:t>名  称</w:t>
            </w:r>
          </w:p>
        </w:tc>
        <w:tc>
          <w:tcPr>
            <w:tcW w:w="3055" w:type="dxa"/>
            <w:vMerge w:val="restart"/>
            <w:vAlign w:val="center"/>
          </w:tcPr>
          <w:p>
            <w:pPr>
              <w:jc w:val="center"/>
              <w:rPr>
                <w:sz w:val="20"/>
                <w:szCs w:val="20"/>
              </w:rPr>
            </w:pPr>
            <w:r>
              <w:rPr>
                <w:sz w:val="20"/>
                <w:szCs w:val="20"/>
              </w:rPr>
              <w:t>规格</w:t>
            </w:r>
          </w:p>
        </w:tc>
        <w:tc>
          <w:tcPr>
            <w:tcW w:w="866" w:type="dxa"/>
            <w:vMerge w:val="restart"/>
            <w:vAlign w:val="center"/>
          </w:tcPr>
          <w:p>
            <w:pPr>
              <w:jc w:val="center"/>
              <w:rPr>
                <w:sz w:val="20"/>
                <w:szCs w:val="20"/>
              </w:rPr>
            </w:pPr>
            <w:r>
              <w:rPr>
                <w:sz w:val="20"/>
                <w:szCs w:val="20"/>
              </w:rPr>
              <w:t>数量(台)</w:t>
            </w:r>
          </w:p>
        </w:tc>
        <w:tc>
          <w:tcPr>
            <w:tcW w:w="1905" w:type="dxa"/>
            <w:vMerge w:val="restart"/>
            <w:vAlign w:val="center"/>
          </w:tcPr>
          <w:p>
            <w:pPr>
              <w:jc w:val="center"/>
              <w:rPr>
                <w:sz w:val="20"/>
                <w:szCs w:val="20"/>
              </w:rPr>
            </w:pPr>
            <w:r>
              <w:rPr>
                <w:sz w:val="20"/>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5" w:hRule="exact"/>
          <w:tblHeader/>
          <w:jc w:val="center"/>
        </w:trPr>
        <w:tc>
          <w:tcPr>
            <w:tcW w:w="730" w:type="dxa"/>
            <w:vMerge w:val="continue"/>
            <w:vAlign w:val="center"/>
          </w:tcPr>
          <w:p>
            <w:pPr>
              <w:jc w:val="center"/>
              <w:rPr>
                <w:sz w:val="20"/>
                <w:szCs w:val="20"/>
              </w:rPr>
            </w:pPr>
          </w:p>
        </w:tc>
        <w:tc>
          <w:tcPr>
            <w:tcW w:w="1972" w:type="dxa"/>
            <w:vMerge w:val="continue"/>
            <w:vAlign w:val="center"/>
          </w:tcPr>
          <w:p>
            <w:pPr>
              <w:jc w:val="center"/>
              <w:rPr>
                <w:sz w:val="20"/>
                <w:szCs w:val="20"/>
              </w:rPr>
            </w:pPr>
          </w:p>
        </w:tc>
        <w:tc>
          <w:tcPr>
            <w:tcW w:w="3055" w:type="dxa"/>
            <w:vMerge w:val="continue"/>
            <w:vAlign w:val="center"/>
          </w:tcPr>
          <w:p>
            <w:pPr>
              <w:jc w:val="center"/>
              <w:rPr>
                <w:sz w:val="20"/>
                <w:szCs w:val="20"/>
              </w:rPr>
            </w:pPr>
          </w:p>
        </w:tc>
        <w:tc>
          <w:tcPr>
            <w:tcW w:w="866" w:type="dxa"/>
            <w:vMerge w:val="continue"/>
            <w:vAlign w:val="center"/>
          </w:tcPr>
          <w:p>
            <w:pPr>
              <w:jc w:val="center"/>
              <w:rPr>
                <w:sz w:val="20"/>
                <w:szCs w:val="20"/>
              </w:rPr>
            </w:pP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w:t>
            </w:r>
          </w:p>
        </w:tc>
        <w:tc>
          <w:tcPr>
            <w:tcW w:w="1972" w:type="dxa"/>
            <w:vAlign w:val="center"/>
          </w:tcPr>
          <w:p>
            <w:pPr>
              <w:jc w:val="center"/>
              <w:rPr>
                <w:sz w:val="20"/>
                <w:szCs w:val="20"/>
              </w:rPr>
            </w:pPr>
            <w:r>
              <w:rPr>
                <w:sz w:val="20"/>
                <w:szCs w:val="20"/>
              </w:rPr>
              <w:t>破碎筛分设备</w:t>
            </w:r>
          </w:p>
        </w:tc>
        <w:tc>
          <w:tcPr>
            <w:tcW w:w="3055" w:type="dxa"/>
            <w:vAlign w:val="center"/>
          </w:tcPr>
          <w:p>
            <w:pPr>
              <w:jc w:val="center"/>
              <w:rPr>
                <w:sz w:val="20"/>
                <w:szCs w:val="20"/>
              </w:rPr>
            </w:pPr>
          </w:p>
        </w:tc>
        <w:tc>
          <w:tcPr>
            <w:tcW w:w="866" w:type="dxa"/>
            <w:vAlign w:val="center"/>
          </w:tcPr>
          <w:p>
            <w:pPr>
              <w:jc w:val="center"/>
              <w:rPr>
                <w:sz w:val="20"/>
                <w:szCs w:val="20"/>
              </w:rPr>
            </w:pPr>
          </w:p>
        </w:tc>
        <w:tc>
          <w:tcPr>
            <w:tcW w:w="1905" w:type="dxa"/>
            <w:vMerge w:val="restart"/>
            <w:vAlign w:val="center"/>
          </w:tcPr>
          <w:p>
            <w:pPr>
              <w:snapToGrid w:val="0"/>
              <w:jc w:val="center"/>
              <w:rPr>
                <w:sz w:val="20"/>
                <w:szCs w:val="20"/>
              </w:rPr>
            </w:pPr>
            <w:r>
              <w:rPr>
                <w:sz w:val="20"/>
                <w:szCs w:val="20"/>
              </w:rPr>
              <w:t>《高耗能落后机电设备（产品）淘汰目录（第一批）》公告（工节［2009］第67号）、《高耗能落后机电设备（产品）淘汰目录（第二批）》（2012年第14号）、《高耗能落后机电设备（产品）淘汰目录（第三批）》（2014年第16号）《高耗能落后机电设备（产品）淘汰目录（第四批）》（2016年3月14日），本项目矿山、选厂选用设备均无淘汰设备。</w:t>
            </w:r>
          </w:p>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1.1</w:t>
            </w:r>
          </w:p>
        </w:tc>
        <w:tc>
          <w:tcPr>
            <w:tcW w:w="1972" w:type="dxa"/>
            <w:vAlign w:val="center"/>
          </w:tcPr>
          <w:p>
            <w:pPr>
              <w:jc w:val="center"/>
              <w:rPr>
                <w:sz w:val="20"/>
                <w:szCs w:val="20"/>
              </w:rPr>
            </w:pPr>
            <w:r>
              <w:rPr>
                <w:sz w:val="20"/>
                <w:szCs w:val="20"/>
              </w:rPr>
              <w:t>格条筛</w:t>
            </w:r>
          </w:p>
        </w:tc>
        <w:tc>
          <w:tcPr>
            <w:tcW w:w="3055" w:type="dxa"/>
            <w:vAlign w:val="center"/>
          </w:tcPr>
          <w:p>
            <w:pPr>
              <w:jc w:val="center"/>
              <w:rPr>
                <w:sz w:val="20"/>
                <w:szCs w:val="20"/>
              </w:rPr>
            </w:pPr>
            <w:r>
              <w:rPr>
                <w:sz w:val="20"/>
                <w:szCs w:val="20"/>
              </w:rPr>
              <w:t>5m×6m 400mm×400mm</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1.2</w:t>
            </w:r>
          </w:p>
        </w:tc>
        <w:tc>
          <w:tcPr>
            <w:tcW w:w="1972" w:type="dxa"/>
            <w:vAlign w:val="center"/>
          </w:tcPr>
          <w:p>
            <w:pPr>
              <w:jc w:val="center"/>
              <w:rPr>
                <w:sz w:val="20"/>
                <w:szCs w:val="20"/>
              </w:rPr>
            </w:pPr>
            <w:r>
              <w:rPr>
                <w:sz w:val="20"/>
                <w:szCs w:val="20"/>
              </w:rPr>
              <w:t>棒条给矿机</w:t>
            </w:r>
          </w:p>
        </w:tc>
        <w:tc>
          <w:tcPr>
            <w:tcW w:w="3055" w:type="dxa"/>
            <w:vAlign w:val="center"/>
          </w:tcPr>
          <w:p>
            <w:pPr>
              <w:jc w:val="center"/>
              <w:rPr>
                <w:sz w:val="20"/>
                <w:szCs w:val="20"/>
              </w:rPr>
            </w:pPr>
            <w:r>
              <w:rPr>
                <w:sz w:val="20"/>
                <w:szCs w:val="20"/>
              </w:rPr>
              <w:t>GZT980×2500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1.3</w:t>
            </w:r>
          </w:p>
        </w:tc>
        <w:tc>
          <w:tcPr>
            <w:tcW w:w="1972" w:type="dxa"/>
            <w:vAlign w:val="center"/>
          </w:tcPr>
          <w:p>
            <w:pPr>
              <w:jc w:val="center"/>
              <w:rPr>
                <w:sz w:val="20"/>
                <w:szCs w:val="20"/>
              </w:rPr>
            </w:pPr>
            <w:r>
              <w:rPr>
                <w:sz w:val="20"/>
                <w:szCs w:val="20"/>
              </w:rPr>
              <w:t>颚式破碎机</w:t>
            </w:r>
          </w:p>
        </w:tc>
        <w:tc>
          <w:tcPr>
            <w:tcW w:w="3055" w:type="dxa"/>
            <w:vAlign w:val="center"/>
          </w:tcPr>
          <w:p>
            <w:pPr>
              <w:jc w:val="center"/>
              <w:rPr>
                <w:sz w:val="20"/>
                <w:szCs w:val="20"/>
              </w:rPr>
            </w:pPr>
            <w:r>
              <w:rPr>
                <w:sz w:val="20"/>
                <w:szCs w:val="20"/>
              </w:rPr>
              <w:t>C80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1.4</w:t>
            </w:r>
          </w:p>
        </w:tc>
        <w:tc>
          <w:tcPr>
            <w:tcW w:w="1972" w:type="dxa"/>
            <w:vAlign w:val="center"/>
          </w:tcPr>
          <w:p>
            <w:pPr>
              <w:jc w:val="center"/>
              <w:rPr>
                <w:sz w:val="20"/>
                <w:szCs w:val="20"/>
              </w:rPr>
            </w:pPr>
            <w:r>
              <w:rPr>
                <w:sz w:val="20"/>
                <w:szCs w:val="20"/>
              </w:rPr>
              <w:t>圆锥破碎机</w:t>
            </w:r>
          </w:p>
        </w:tc>
        <w:tc>
          <w:tcPr>
            <w:tcW w:w="3055" w:type="dxa"/>
            <w:vAlign w:val="center"/>
          </w:tcPr>
          <w:p>
            <w:pPr>
              <w:jc w:val="center"/>
              <w:rPr>
                <w:sz w:val="20"/>
                <w:szCs w:val="20"/>
              </w:rPr>
            </w:pPr>
            <w:r>
              <w:rPr>
                <w:sz w:val="20"/>
                <w:szCs w:val="20"/>
              </w:rPr>
              <w:t>HP200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1.5</w:t>
            </w:r>
          </w:p>
        </w:tc>
        <w:tc>
          <w:tcPr>
            <w:tcW w:w="1972" w:type="dxa"/>
            <w:vAlign w:val="center"/>
          </w:tcPr>
          <w:p>
            <w:pPr>
              <w:jc w:val="center"/>
              <w:rPr>
                <w:sz w:val="20"/>
                <w:szCs w:val="20"/>
              </w:rPr>
            </w:pPr>
            <w:r>
              <w:rPr>
                <w:sz w:val="20"/>
                <w:szCs w:val="20"/>
              </w:rPr>
              <w:t>圆振筛</w:t>
            </w:r>
          </w:p>
        </w:tc>
        <w:tc>
          <w:tcPr>
            <w:tcW w:w="3055" w:type="dxa"/>
            <w:vAlign w:val="center"/>
          </w:tcPr>
          <w:p>
            <w:pPr>
              <w:jc w:val="center"/>
              <w:rPr>
                <w:sz w:val="20"/>
                <w:szCs w:val="20"/>
              </w:rPr>
            </w:pPr>
            <w:r>
              <w:rPr>
                <w:sz w:val="20"/>
                <w:szCs w:val="20"/>
              </w:rPr>
              <w:t>2YKH2142</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1.6</w:t>
            </w:r>
          </w:p>
        </w:tc>
        <w:tc>
          <w:tcPr>
            <w:tcW w:w="1972" w:type="dxa"/>
            <w:vAlign w:val="center"/>
          </w:tcPr>
          <w:p>
            <w:pPr>
              <w:jc w:val="center"/>
              <w:rPr>
                <w:sz w:val="20"/>
                <w:szCs w:val="20"/>
              </w:rPr>
            </w:pPr>
            <w:r>
              <w:rPr>
                <w:sz w:val="20"/>
                <w:szCs w:val="20"/>
              </w:rPr>
              <w:t>1＃胶带运输机</w:t>
            </w:r>
          </w:p>
        </w:tc>
        <w:tc>
          <w:tcPr>
            <w:tcW w:w="3055" w:type="dxa"/>
            <w:vAlign w:val="center"/>
          </w:tcPr>
          <w:p>
            <w:pPr>
              <w:jc w:val="center"/>
              <w:rPr>
                <w:sz w:val="20"/>
                <w:szCs w:val="20"/>
              </w:rPr>
            </w:pPr>
            <w:r>
              <w:rPr>
                <w:sz w:val="20"/>
                <w:szCs w:val="20"/>
              </w:rPr>
              <w:t>TD7580，L＝96.0m，α＝18.0°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1.7</w:t>
            </w:r>
          </w:p>
        </w:tc>
        <w:tc>
          <w:tcPr>
            <w:tcW w:w="1972" w:type="dxa"/>
            <w:vAlign w:val="center"/>
          </w:tcPr>
          <w:p>
            <w:pPr>
              <w:jc w:val="center"/>
              <w:rPr>
                <w:sz w:val="20"/>
                <w:szCs w:val="20"/>
              </w:rPr>
            </w:pPr>
            <w:r>
              <w:rPr>
                <w:sz w:val="20"/>
                <w:szCs w:val="20"/>
              </w:rPr>
              <w:t>2＃胶带运输机</w:t>
            </w:r>
          </w:p>
        </w:tc>
        <w:tc>
          <w:tcPr>
            <w:tcW w:w="3055" w:type="dxa"/>
            <w:vAlign w:val="center"/>
          </w:tcPr>
          <w:p>
            <w:pPr>
              <w:jc w:val="center"/>
              <w:rPr>
                <w:sz w:val="20"/>
                <w:szCs w:val="20"/>
              </w:rPr>
            </w:pPr>
            <w:r>
              <w:rPr>
                <w:sz w:val="20"/>
                <w:szCs w:val="20"/>
              </w:rPr>
              <w:t>TD7565，L＝51.0m，α＝0.0°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1.8</w:t>
            </w:r>
          </w:p>
        </w:tc>
        <w:tc>
          <w:tcPr>
            <w:tcW w:w="1972" w:type="dxa"/>
            <w:vAlign w:val="center"/>
          </w:tcPr>
          <w:p>
            <w:pPr>
              <w:jc w:val="center"/>
              <w:rPr>
                <w:sz w:val="20"/>
                <w:szCs w:val="20"/>
              </w:rPr>
            </w:pPr>
            <w:r>
              <w:rPr>
                <w:sz w:val="20"/>
                <w:szCs w:val="20"/>
              </w:rPr>
              <w:t>3＃胶带运输机</w:t>
            </w:r>
          </w:p>
        </w:tc>
        <w:tc>
          <w:tcPr>
            <w:tcW w:w="3055" w:type="dxa"/>
            <w:vAlign w:val="center"/>
          </w:tcPr>
          <w:p>
            <w:pPr>
              <w:jc w:val="center"/>
              <w:rPr>
                <w:sz w:val="20"/>
                <w:szCs w:val="20"/>
              </w:rPr>
            </w:pPr>
            <w:r>
              <w:rPr>
                <w:sz w:val="20"/>
                <w:szCs w:val="20"/>
              </w:rPr>
              <w:t>TD7565，L＝77.0m，α＝15.2°</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1.9</w:t>
            </w:r>
          </w:p>
        </w:tc>
        <w:tc>
          <w:tcPr>
            <w:tcW w:w="1972" w:type="dxa"/>
            <w:vAlign w:val="center"/>
          </w:tcPr>
          <w:p>
            <w:pPr>
              <w:jc w:val="center"/>
              <w:rPr>
                <w:sz w:val="20"/>
                <w:szCs w:val="20"/>
              </w:rPr>
            </w:pPr>
            <w:r>
              <w:rPr>
                <w:sz w:val="20"/>
                <w:szCs w:val="20"/>
              </w:rPr>
              <w:t>除铁器</w:t>
            </w:r>
          </w:p>
        </w:tc>
        <w:tc>
          <w:tcPr>
            <w:tcW w:w="3055" w:type="dxa"/>
            <w:vAlign w:val="center"/>
          </w:tcPr>
          <w:p>
            <w:pPr>
              <w:jc w:val="center"/>
              <w:rPr>
                <w:sz w:val="20"/>
                <w:szCs w:val="20"/>
              </w:rPr>
            </w:pPr>
            <w:r>
              <w:rPr>
                <w:sz w:val="20"/>
                <w:szCs w:val="20"/>
              </w:rPr>
              <w:t>RCDB-8</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1.10</w:t>
            </w:r>
          </w:p>
        </w:tc>
        <w:tc>
          <w:tcPr>
            <w:tcW w:w="1972" w:type="dxa"/>
            <w:vAlign w:val="center"/>
          </w:tcPr>
          <w:p>
            <w:pPr>
              <w:jc w:val="center"/>
              <w:rPr>
                <w:sz w:val="20"/>
                <w:szCs w:val="20"/>
              </w:rPr>
            </w:pPr>
            <w:r>
              <w:rPr>
                <w:sz w:val="20"/>
                <w:szCs w:val="20"/>
              </w:rPr>
              <w:t>除尘器</w:t>
            </w:r>
          </w:p>
        </w:tc>
        <w:tc>
          <w:tcPr>
            <w:tcW w:w="3055" w:type="dxa"/>
            <w:vAlign w:val="center"/>
          </w:tcPr>
          <w:p>
            <w:pPr>
              <w:jc w:val="center"/>
              <w:rPr>
                <w:sz w:val="20"/>
                <w:szCs w:val="20"/>
              </w:rPr>
            </w:pPr>
            <w:r>
              <w:rPr>
                <w:sz w:val="20"/>
                <w:szCs w:val="20"/>
              </w:rPr>
              <w:t>XQM64-4</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1.11</w:t>
            </w:r>
          </w:p>
        </w:tc>
        <w:tc>
          <w:tcPr>
            <w:tcW w:w="1972" w:type="dxa"/>
            <w:vAlign w:val="center"/>
          </w:tcPr>
          <w:p>
            <w:pPr>
              <w:jc w:val="center"/>
              <w:rPr>
                <w:sz w:val="20"/>
                <w:szCs w:val="20"/>
              </w:rPr>
            </w:pPr>
            <w:r>
              <w:rPr>
                <w:sz w:val="20"/>
                <w:szCs w:val="20"/>
              </w:rPr>
              <w:t>除尘器</w:t>
            </w:r>
          </w:p>
        </w:tc>
        <w:tc>
          <w:tcPr>
            <w:tcW w:w="3055" w:type="dxa"/>
            <w:vAlign w:val="center"/>
          </w:tcPr>
          <w:p>
            <w:pPr>
              <w:jc w:val="center"/>
              <w:rPr>
                <w:sz w:val="20"/>
                <w:szCs w:val="20"/>
              </w:rPr>
            </w:pPr>
            <w:r>
              <w:rPr>
                <w:sz w:val="20"/>
                <w:szCs w:val="20"/>
              </w:rPr>
              <w:t>XQM64-4</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1.12</w:t>
            </w:r>
          </w:p>
        </w:tc>
        <w:tc>
          <w:tcPr>
            <w:tcW w:w="1972" w:type="dxa"/>
            <w:vAlign w:val="center"/>
          </w:tcPr>
          <w:p>
            <w:pPr>
              <w:jc w:val="center"/>
              <w:rPr>
                <w:sz w:val="20"/>
                <w:szCs w:val="20"/>
              </w:rPr>
            </w:pPr>
            <w:r>
              <w:rPr>
                <w:sz w:val="20"/>
                <w:szCs w:val="20"/>
              </w:rPr>
              <w:t>除尘器</w:t>
            </w:r>
          </w:p>
        </w:tc>
        <w:tc>
          <w:tcPr>
            <w:tcW w:w="3055" w:type="dxa"/>
            <w:vAlign w:val="center"/>
          </w:tcPr>
          <w:p>
            <w:pPr>
              <w:jc w:val="center"/>
              <w:rPr>
                <w:sz w:val="20"/>
                <w:szCs w:val="20"/>
              </w:rPr>
            </w:pPr>
            <w:r>
              <w:rPr>
                <w:sz w:val="20"/>
                <w:szCs w:val="20"/>
              </w:rPr>
              <w:t>XQM48-4</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w:t>
            </w:r>
          </w:p>
        </w:tc>
        <w:tc>
          <w:tcPr>
            <w:tcW w:w="1972" w:type="dxa"/>
            <w:vAlign w:val="center"/>
          </w:tcPr>
          <w:p>
            <w:pPr>
              <w:jc w:val="center"/>
              <w:rPr>
                <w:sz w:val="20"/>
                <w:szCs w:val="20"/>
              </w:rPr>
            </w:pPr>
            <w:r>
              <w:rPr>
                <w:sz w:val="20"/>
                <w:szCs w:val="20"/>
              </w:rPr>
              <w:t>磨矿浮选设备</w:t>
            </w:r>
          </w:p>
        </w:tc>
        <w:tc>
          <w:tcPr>
            <w:tcW w:w="3055" w:type="dxa"/>
            <w:vAlign w:val="center"/>
          </w:tcPr>
          <w:p>
            <w:pPr>
              <w:jc w:val="center"/>
              <w:rPr>
                <w:sz w:val="20"/>
                <w:szCs w:val="20"/>
              </w:rPr>
            </w:pPr>
          </w:p>
        </w:tc>
        <w:tc>
          <w:tcPr>
            <w:tcW w:w="866" w:type="dxa"/>
            <w:vAlign w:val="center"/>
          </w:tcPr>
          <w:p>
            <w:pPr>
              <w:jc w:val="center"/>
              <w:rPr>
                <w:sz w:val="20"/>
                <w:szCs w:val="20"/>
              </w:rPr>
            </w:pP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2.1</w:t>
            </w:r>
          </w:p>
        </w:tc>
        <w:tc>
          <w:tcPr>
            <w:tcW w:w="1972" w:type="dxa"/>
            <w:vAlign w:val="center"/>
          </w:tcPr>
          <w:p>
            <w:pPr>
              <w:jc w:val="center"/>
              <w:rPr>
                <w:sz w:val="20"/>
                <w:szCs w:val="20"/>
              </w:rPr>
            </w:pPr>
            <w:r>
              <w:rPr>
                <w:sz w:val="20"/>
                <w:szCs w:val="20"/>
              </w:rPr>
              <w:t>给料机</w:t>
            </w:r>
          </w:p>
        </w:tc>
        <w:tc>
          <w:tcPr>
            <w:tcW w:w="3055" w:type="dxa"/>
            <w:vAlign w:val="center"/>
          </w:tcPr>
          <w:p>
            <w:pPr>
              <w:jc w:val="center"/>
              <w:rPr>
                <w:sz w:val="20"/>
                <w:szCs w:val="20"/>
              </w:rPr>
            </w:pPr>
            <w:r>
              <w:rPr>
                <w:sz w:val="20"/>
                <w:szCs w:val="20"/>
              </w:rPr>
              <w:t>ZG400×900</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2.2</w:t>
            </w:r>
          </w:p>
        </w:tc>
        <w:tc>
          <w:tcPr>
            <w:tcW w:w="1972" w:type="dxa"/>
            <w:vAlign w:val="center"/>
          </w:tcPr>
          <w:p>
            <w:pPr>
              <w:jc w:val="center"/>
              <w:rPr>
                <w:sz w:val="20"/>
                <w:szCs w:val="20"/>
              </w:rPr>
            </w:pPr>
            <w:r>
              <w:rPr>
                <w:sz w:val="20"/>
                <w:szCs w:val="20"/>
              </w:rPr>
              <w:t>4＃胶带运输机</w:t>
            </w:r>
          </w:p>
        </w:tc>
        <w:tc>
          <w:tcPr>
            <w:tcW w:w="3055" w:type="dxa"/>
            <w:vAlign w:val="center"/>
          </w:tcPr>
          <w:p>
            <w:pPr>
              <w:jc w:val="center"/>
              <w:rPr>
                <w:sz w:val="20"/>
                <w:szCs w:val="20"/>
              </w:rPr>
            </w:pPr>
            <w:r>
              <w:rPr>
                <w:sz w:val="20"/>
                <w:szCs w:val="20"/>
              </w:rPr>
              <w:t>TD7565，L＝19.0m，α＝16.0°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2.3</w:t>
            </w:r>
          </w:p>
        </w:tc>
        <w:tc>
          <w:tcPr>
            <w:tcW w:w="1972" w:type="dxa"/>
            <w:vAlign w:val="center"/>
          </w:tcPr>
          <w:p>
            <w:pPr>
              <w:jc w:val="center"/>
              <w:rPr>
                <w:sz w:val="20"/>
                <w:szCs w:val="20"/>
              </w:rPr>
            </w:pPr>
            <w:r>
              <w:rPr>
                <w:sz w:val="20"/>
                <w:szCs w:val="20"/>
              </w:rPr>
              <w:t>湿式格子型</w:t>
            </w:r>
          </w:p>
          <w:p>
            <w:pPr>
              <w:jc w:val="center"/>
              <w:rPr>
                <w:sz w:val="20"/>
                <w:szCs w:val="20"/>
              </w:rPr>
            </w:pPr>
            <w:r>
              <w:rPr>
                <w:sz w:val="20"/>
                <w:szCs w:val="20"/>
              </w:rPr>
              <w:t>球磨机</w:t>
            </w:r>
          </w:p>
        </w:tc>
        <w:tc>
          <w:tcPr>
            <w:tcW w:w="3055" w:type="dxa"/>
            <w:vAlign w:val="center"/>
          </w:tcPr>
          <w:p>
            <w:pPr>
              <w:jc w:val="center"/>
              <w:rPr>
                <w:sz w:val="20"/>
                <w:szCs w:val="20"/>
              </w:rPr>
            </w:pPr>
            <w:r>
              <w:rPr>
                <w:sz w:val="20"/>
                <w:szCs w:val="20"/>
              </w:rPr>
              <w:t>MQG2700×3600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2.4</w:t>
            </w:r>
          </w:p>
        </w:tc>
        <w:tc>
          <w:tcPr>
            <w:tcW w:w="1972" w:type="dxa"/>
            <w:vAlign w:val="center"/>
          </w:tcPr>
          <w:p>
            <w:pPr>
              <w:jc w:val="center"/>
              <w:rPr>
                <w:sz w:val="20"/>
                <w:szCs w:val="20"/>
              </w:rPr>
            </w:pPr>
            <w:r>
              <w:rPr>
                <w:sz w:val="20"/>
                <w:szCs w:val="20"/>
              </w:rPr>
              <w:t>髙堰式</w:t>
            </w:r>
          </w:p>
          <w:p>
            <w:pPr>
              <w:jc w:val="center"/>
              <w:rPr>
                <w:sz w:val="20"/>
                <w:szCs w:val="20"/>
              </w:rPr>
            </w:pPr>
            <w:r>
              <w:rPr>
                <w:sz w:val="20"/>
                <w:szCs w:val="20"/>
              </w:rPr>
              <w:t>双螺旋分级机</w:t>
            </w:r>
          </w:p>
        </w:tc>
        <w:tc>
          <w:tcPr>
            <w:tcW w:w="3055" w:type="dxa"/>
            <w:vAlign w:val="center"/>
          </w:tcPr>
          <w:p>
            <w:pPr>
              <w:jc w:val="center"/>
              <w:rPr>
                <w:sz w:val="20"/>
                <w:szCs w:val="20"/>
              </w:rPr>
            </w:pPr>
            <w:r>
              <w:rPr>
                <w:sz w:val="20"/>
                <w:szCs w:val="20"/>
              </w:rPr>
              <w:t>2FG-20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2.5</w:t>
            </w:r>
          </w:p>
        </w:tc>
        <w:tc>
          <w:tcPr>
            <w:tcW w:w="1972" w:type="dxa"/>
            <w:vAlign w:val="center"/>
          </w:tcPr>
          <w:p>
            <w:pPr>
              <w:jc w:val="center"/>
              <w:rPr>
                <w:sz w:val="20"/>
                <w:szCs w:val="20"/>
              </w:rPr>
            </w:pPr>
            <w:r>
              <w:rPr>
                <w:sz w:val="20"/>
                <w:szCs w:val="20"/>
              </w:rPr>
              <w:t>湿式溢流型</w:t>
            </w:r>
          </w:p>
          <w:p>
            <w:pPr>
              <w:jc w:val="center"/>
              <w:rPr>
                <w:sz w:val="20"/>
                <w:szCs w:val="20"/>
              </w:rPr>
            </w:pPr>
            <w:r>
              <w:rPr>
                <w:sz w:val="20"/>
                <w:szCs w:val="20"/>
              </w:rPr>
              <w:t>球磨机</w:t>
            </w:r>
          </w:p>
        </w:tc>
        <w:tc>
          <w:tcPr>
            <w:tcW w:w="3055" w:type="dxa"/>
            <w:vAlign w:val="center"/>
          </w:tcPr>
          <w:p>
            <w:pPr>
              <w:jc w:val="center"/>
              <w:rPr>
                <w:sz w:val="20"/>
                <w:szCs w:val="20"/>
              </w:rPr>
            </w:pPr>
            <w:r>
              <w:rPr>
                <w:sz w:val="20"/>
                <w:szCs w:val="20"/>
              </w:rPr>
              <w:t>MQY2100×3600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2.6</w:t>
            </w:r>
          </w:p>
        </w:tc>
        <w:tc>
          <w:tcPr>
            <w:tcW w:w="1972" w:type="dxa"/>
            <w:vAlign w:val="center"/>
          </w:tcPr>
          <w:p>
            <w:pPr>
              <w:jc w:val="center"/>
              <w:rPr>
                <w:sz w:val="20"/>
                <w:szCs w:val="20"/>
              </w:rPr>
            </w:pPr>
            <w:r>
              <w:rPr>
                <w:sz w:val="20"/>
                <w:szCs w:val="20"/>
              </w:rPr>
              <w:t>沉没式</w:t>
            </w:r>
          </w:p>
          <w:p>
            <w:pPr>
              <w:jc w:val="center"/>
              <w:rPr>
                <w:sz w:val="20"/>
                <w:szCs w:val="20"/>
              </w:rPr>
            </w:pPr>
            <w:r>
              <w:rPr>
                <w:sz w:val="20"/>
                <w:szCs w:val="20"/>
              </w:rPr>
              <w:t>单螺旋分级机</w:t>
            </w:r>
          </w:p>
        </w:tc>
        <w:tc>
          <w:tcPr>
            <w:tcW w:w="3055" w:type="dxa"/>
            <w:vAlign w:val="center"/>
          </w:tcPr>
          <w:p>
            <w:pPr>
              <w:jc w:val="center"/>
              <w:rPr>
                <w:sz w:val="20"/>
                <w:szCs w:val="20"/>
              </w:rPr>
            </w:pPr>
            <w:r>
              <w:rPr>
                <w:sz w:val="20"/>
                <w:szCs w:val="20"/>
              </w:rPr>
              <w:t>FC-15</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2.7</w:t>
            </w:r>
          </w:p>
        </w:tc>
        <w:tc>
          <w:tcPr>
            <w:tcW w:w="1972" w:type="dxa"/>
            <w:vAlign w:val="center"/>
          </w:tcPr>
          <w:p>
            <w:pPr>
              <w:jc w:val="center"/>
              <w:rPr>
                <w:sz w:val="20"/>
                <w:szCs w:val="20"/>
              </w:rPr>
            </w:pPr>
            <w:r>
              <w:rPr>
                <w:sz w:val="20"/>
                <w:szCs w:val="20"/>
              </w:rPr>
              <w:t>普通搅拌槽</w:t>
            </w:r>
          </w:p>
        </w:tc>
        <w:tc>
          <w:tcPr>
            <w:tcW w:w="3055" w:type="dxa"/>
            <w:vAlign w:val="center"/>
          </w:tcPr>
          <w:p>
            <w:pPr>
              <w:jc w:val="center"/>
              <w:rPr>
                <w:sz w:val="20"/>
                <w:szCs w:val="20"/>
              </w:rPr>
            </w:pPr>
            <w:r>
              <w:rPr>
                <w:sz w:val="20"/>
                <w:szCs w:val="20"/>
              </w:rPr>
              <w:t>XB-2500（平底）</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2.8</w:t>
            </w:r>
          </w:p>
        </w:tc>
        <w:tc>
          <w:tcPr>
            <w:tcW w:w="1972" w:type="dxa"/>
            <w:vAlign w:val="center"/>
          </w:tcPr>
          <w:p>
            <w:pPr>
              <w:jc w:val="center"/>
              <w:rPr>
                <w:sz w:val="20"/>
                <w:szCs w:val="20"/>
              </w:rPr>
            </w:pPr>
            <w:r>
              <w:rPr>
                <w:sz w:val="20"/>
                <w:szCs w:val="20"/>
              </w:rPr>
              <w:t>普通搅拌槽</w:t>
            </w:r>
          </w:p>
        </w:tc>
        <w:tc>
          <w:tcPr>
            <w:tcW w:w="3055" w:type="dxa"/>
            <w:vAlign w:val="center"/>
          </w:tcPr>
          <w:p>
            <w:pPr>
              <w:jc w:val="center"/>
              <w:rPr>
                <w:sz w:val="20"/>
                <w:szCs w:val="20"/>
              </w:rPr>
            </w:pPr>
            <w:r>
              <w:rPr>
                <w:sz w:val="20"/>
                <w:szCs w:val="20"/>
              </w:rPr>
              <w:t>XB-2000（平底）</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2.9</w:t>
            </w:r>
          </w:p>
        </w:tc>
        <w:tc>
          <w:tcPr>
            <w:tcW w:w="1972" w:type="dxa"/>
            <w:vAlign w:val="center"/>
          </w:tcPr>
          <w:p>
            <w:pPr>
              <w:jc w:val="center"/>
              <w:rPr>
                <w:sz w:val="20"/>
                <w:szCs w:val="20"/>
              </w:rPr>
            </w:pPr>
            <w:r>
              <w:rPr>
                <w:sz w:val="20"/>
                <w:szCs w:val="20"/>
              </w:rPr>
              <w:t>普通搅拌槽</w:t>
            </w:r>
          </w:p>
        </w:tc>
        <w:tc>
          <w:tcPr>
            <w:tcW w:w="3055" w:type="dxa"/>
            <w:vAlign w:val="center"/>
          </w:tcPr>
          <w:p>
            <w:pPr>
              <w:jc w:val="center"/>
              <w:rPr>
                <w:sz w:val="20"/>
                <w:szCs w:val="20"/>
              </w:rPr>
            </w:pPr>
            <w:r>
              <w:rPr>
                <w:sz w:val="20"/>
                <w:szCs w:val="20"/>
              </w:rPr>
              <w:t>XB-1500（平底）</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sz w:val="20"/>
                <w:szCs w:val="20"/>
              </w:rPr>
            </w:pPr>
            <w:r>
              <w:rPr>
                <w:sz w:val="20"/>
                <w:szCs w:val="20"/>
              </w:rPr>
              <w:t>2.10</w:t>
            </w:r>
          </w:p>
        </w:tc>
        <w:tc>
          <w:tcPr>
            <w:tcW w:w="1972" w:type="dxa"/>
            <w:vAlign w:val="center"/>
          </w:tcPr>
          <w:p>
            <w:pPr>
              <w:jc w:val="center"/>
              <w:rPr>
                <w:sz w:val="20"/>
                <w:szCs w:val="20"/>
              </w:rPr>
            </w:pPr>
            <w:r>
              <w:rPr>
                <w:sz w:val="20"/>
                <w:szCs w:val="20"/>
              </w:rPr>
              <w:t>普通搅拌槽</w:t>
            </w:r>
          </w:p>
        </w:tc>
        <w:tc>
          <w:tcPr>
            <w:tcW w:w="3055" w:type="dxa"/>
            <w:vAlign w:val="center"/>
          </w:tcPr>
          <w:p>
            <w:pPr>
              <w:jc w:val="center"/>
              <w:rPr>
                <w:sz w:val="20"/>
                <w:szCs w:val="20"/>
              </w:rPr>
            </w:pPr>
            <w:r>
              <w:rPr>
                <w:sz w:val="20"/>
                <w:szCs w:val="20"/>
              </w:rPr>
              <w:t>BJZ-750（锥底）</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sz w:val="20"/>
                <w:szCs w:val="20"/>
              </w:rPr>
            </w:pPr>
            <w:r>
              <w:rPr>
                <w:sz w:val="20"/>
                <w:szCs w:val="20"/>
              </w:rPr>
              <w:t>2.11</w:t>
            </w:r>
          </w:p>
        </w:tc>
        <w:tc>
          <w:tcPr>
            <w:tcW w:w="1972" w:type="dxa"/>
            <w:vAlign w:val="center"/>
          </w:tcPr>
          <w:p>
            <w:pPr>
              <w:jc w:val="center"/>
              <w:rPr>
                <w:sz w:val="20"/>
                <w:szCs w:val="20"/>
              </w:rPr>
            </w:pPr>
            <w:r>
              <w:rPr>
                <w:sz w:val="20"/>
                <w:szCs w:val="20"/>
              </w:rPr>
              <w:t>充气式浮选机</w:t>
            </w:r>
          </w:p>
        </w:tc>
        <w:tc>
          <w:tcPr>
            <w:tcW w:w="3055" w:type="dxa"/>
            <w:vAlign w:val="center"/>
          </w:tcPr>
          <w:p>
            <w:pPr>
              <w:jc w:val="center"/>
              <w:rPr>
                <w:sz w:val="20"/>
                <w:szCs w:val="20"/>
              </w:rPr>
            </w:pPr>
            <w:r>
              <w:rPr>
                <w:sz w:val="20"/>
                <w:szCs w:val="20"/>
              </w:rPr>
              <w:t>XCFII/KYFII-16</w:t>
            </w:r>
          </w:p>
        </w:tc>
        <w:tc>
          <w:tcPr>
            <w:tcW w:w="866" w:type="dxa"/>
            <w:vAlign w:val="center"/>
          </w:tcPr>
          <w:p>
            <w:pPr>
              <w:jc w:val="center"/>
              <w:rPr>
                <w:sz w:val="20"/>
                <w:szCs w:val="20"/>
              </w:rPr>
            </w:pPr>
            <w:r>
              <w:rPr>
                <w:sz w:val="20"/>
                <w:szCs w:val="20"/>
              </w:rPr>
              <w:t>3/5</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sz w:val="20"/>
                <w:szCs w:val="20"/>
              </w:rPr>
            </w:pPr>
            <w:r>
              <w:rPr>
                <w:sz w:val="20"/>
                <w:szCs w:val="20"/>
              </w:rPr>
              <w:t>2.12</w:t>
            </w:r>
          </w:p>
        </w:tc>
        <w:tc>
          <w:tcPr>
            <w:tcW w:w="1972" w:type="dxa"/>
            <w:vAlign w:val="center"/>
          </w:tcPr>
          <w:p>
            <w:pPr>
              <w:jc w:val="center"/>
              <w:rPr>
                <w:sz w:val="20"/>
                <w:szCs w:val="20"/>
              </w:rPr>
            </w:pPr>
            <w:r>
              <w:rPr>
                <w:sz w:val="20"/>
                <w:szCs w:val="20"/>
              </w:rPr>
              <w:t>充气式浮选机</w:t>
            </w:r>
          </w:p>
        </w:tc>
        <w:tc>
          <w:tcPr>
            <w:tcW w:w="3055" w:type="dxa"/>
            <w:vAlign w:val="center"/>
          </w:tcPr>
          <w:p>
            <w:pPr>
              <w:jc w:val="center"/>
              <w:rPr>
                <w:sz w:val="20"/>
                <w:szCs w:val="20"/>
              </w:rPr>
            </w:pPr>
            <w:r>
              <w:rPr>
                <w:sz w:val="20"/>
                <w:szCs w:val="20"/>
              </w:rPr>
              <w:t>XCFII/KYFII-8</w:t>
            </w:r>
          </w:p>
        </w:tc>
        <w:tc>
          <w:tcPr>
            <w:tcW w:w="866" w:type="dxa"/>
            <w:vAlign w:val="center"/>
          </w:tcPr>
          <w:p>
            <w:pPr>
              <w:jc w:val="center"/>
              <w:rPr>
                <w:sz w:val="20"/>
                <w:szCs w:val="20"/>
              </w:rPr>
            </w:pPr>
            <w:r>
              <w:rPr>
                <w:sz w:val="20"/>
                <w:szCs w:val="20"/>
              </w:rPr>
              <w:t>3/5</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sz w:val="20"/>
                <w:szCs w:val="20"/>
              </w:rPr>
            </w:pPr>
            <w:r>
              <w:rPr>
                <w:sz w:val="20"/>
                <w:szCs w:val="20"/>
              </w:rPr>
              <w:t>2.13</w:t>
            </w:r>
          </w:p>
        </w:tc>
        <w:tc>
          <w:tcPr>
            <w:tcW w:w="1972" w:type="dxa"/>
            <w:vAlign w:val="center"/>
          </w:tcPr>
          <w:p>
            <w:pPr>
              <w:jc w:val="center"/>
              <w:rPr>
                <w:sz w:val="20"/>
                <w:szCs w:val="20"/>
              </w:rPr>
            </w:pPr>
            <w:r>
              <w:rPr>
                <w:sz w:val="20"/>
                <w:szCs w:val="20"/>
              </w:rPr>
              <w:t>全自动管式</w:t>
            </w:r>
          </w:p>
          <w:p>
            <w:pPr>
              <w:jc w:val="center"/>
              <w:rPr>
                <w:sz w:val="20"/>
                <w:szCs w:val="20"/>
              </w:rPr>
            </w:pPr>
            <w:r>
              <w:rPr>
                <w:sz w:val="20"/>
                <w:szCs w:val="20"/>
              </w:rPr>
              <w:t>取样机</w:t>
            </w:r>
          </w:p>
        </w:tc>
        <w:tc>
          <w:tcPr>
            <w:tcW w:w="3055" w:type="dxa"/>
            <w:vAlign w:val="center"/>
          </w:tcPr>
          <w:p>
            <w:pPr>
              <w:jc w:val="center"/>
              <w:rPr>
                <w:sz w:val="20"/>
                <w:szCs w:val="20"/>
              </w:rPr>
            </w:pPr>
            <w:r>
              <w:rPr>
                <w:sz w:val="20"/>
                <w:szCs w:val="20"/>
              </w:rPr>
              <w:t>DN200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2.14</w:t>
            </w:r>
          </w:p>
        </w:tc>
        <w:tc>
          <w:tcPr>
            <w:tcW w:w="1972" w:type="dxa"/>
            <w:vAlign w:val="center"/>
          </w:tcPr>
          <w:p>
            <w:pPr>
              <w:jc w:val="center"/>
              <w:rPr>
                <w:sz w:val="20"/>
                <w:szCs w:val="20"/>
              </w:rPr>
            </w:pPr>
            <w:r>
              <w:rPr>
                <w:sz w:val="20"/>
                <w:szCs w:val="20"/>
              </w:rPr>
              <w:t>全自动管式</w:t>
            </w:r>
          </w:p>
          <w:p>
            <w:pPr>
              <w:jc w:val="center"/>
              <w:rPr>
                <w:sz w:val="20"/>
                <w:szCs w:val="20"/>
              </w:rPr>
            </w:pPr>
            <w:r>
              <w:rPr>
                <w:sz w:val="20"/>
                <w:szCs w:val="20"/>
              </w:rPr>
              <w:t>取样机</w:t>
            </w:r>
          </w:p>
        </w:tc>
        <w:tc>
          <w:tcPr>
            <w:tcW w:w="3055" w:type="dxa"/>
            <w:vAlign w:val="center"/>
          </w:tcPr>
          <w:p>
            <w:pPr>
              <w:jc w:val="center"/>
              <w:rPr>
                <w:sz w:val="20"/>
                <w:szCs w:val="20"/>
              </w:rPr>
            </w:pPr>
            <w:r>
              <w:rPr>
                <w:sz w:val="20"/>
                <w:szCs w:val="20"/>
              </w:rPr>
              <w:t>DN100</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2.15</w:t>
            </w:r>
          </w:p>
        </w:tc>
        <w:tc>
          <w:tcPr>
            <w:tcW w:w="1972" w:type="dxa"/>
            <w:vAlign w:val="center"/>
          </w:tcPr>
          <w:p>
            <w:pPr>
              <w:jc w:val="center"/>
              <w:rPr>
                <w:sz w:val="20"/>
                <w:szCs w:val="20"/>
              </w:rPr>
            </w:pPr>
            <w:r>
              <w:rPr>
                <w:sz w:val="20"/>
                <w:szCs w:val="20"/>
              </w:rPr>
              <w:t>全自动管式</w:t>
            </w:r>
          </w:p>
          <w:p>
            <w:pPr>
              <w:jc w:val="center"/>
              <w:rPr>
                <w:sz w:val="20"/>
                <w:szCs w:val="20"/>
              </w:rPr>
            </w:pPr>
            <w:r>
              <w:rPr>
                <w:sz w:val="20"/>
                <w:szCs w:val="20"/>
              </w:rPr>
              <w:t>取样机</w:t>
            </w:r>
          </w:p>
        </w:tc>
        <w:tc>
          <w:tcPr>
            <w:tcW w:w="3055" w:type="dxa"/>
            <w:vAlign w:val="center"/>
          </w:tcPr>
          <w:p>
            <w:pPr>
              <w:jc w:val="center"/>
              <w:rPr>
                <w:sz w:val="20"/>
                <w:szCs w:val="20"/>
              </w:rPr>
            </w:pPr>
            <w:r>
              <w:rPr>
                <w:sz w:val="20"/>
                <w:szCs w:val="20"/>
              </w:rPr>
              <w:t>DN250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2.16</w:t>
            </w:r>
          </w:p>
        </w:tc>
        <w:tc>
          <w:tcPr>
            <w:tcW w:w="1972" w:type="dxa"/>
            <w:vAlign w:val="center"/>
          </w:tcPr>
          <w:p>
            <w:pPr>
              <w:jc w:val="center"/>
              <w:rPr>
                <w:sz w:val="20"/>
                <w:szCs w:val="20"/>
              </w:rPr>
            </w:pPr>
            <w:r>
              <w:rPr>
                <w:sz w:val="20"/>
                <w:szCs w:val="20"/>
              </w:rPr>
              <w:t>片式自动</w:t>
            </w:r>
          </w:p>
          <w:p>
            <w:pPr>
              <w:jc w:val="center"/>
              <w:rPr>
                <w:sz w:val="20"/>
                <w:szCs w:val="20"/>
              </w:rPr>
            </w:pPr>
            <w:r>
              <w:rPr>
                <w:sz w:val="20"/>
                <w:szCs w:val="20"/>
              </w:rPr>
              <w:t>给药机</w:t>
            </w:r>
          </w:p>
        </w:tc>
        <w:tc>
          <w:tcPr>
            <w:tcW w:w="3055" w:type="dxa"/>
            <w:vAlign w:val="center"/>
          </w:tcPr>
          <w:p>
            <w:pPr>
              <w:jc w:val="center"/>
              <w:rPr>
                <w:sz w:val="20"/>
                <w:szCs w:val="20"/>
              </w:rPr>
            </w:pPr>
            <w:r>
              <w:rPr>
                <w:sz w:val="20"/>
                <w:szCs w:val="20"/>
              </w:rPr>
              <w:t>PC-24</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4</w:t>
            </w:r>
          </w:p>
        </w:tc>
        <w:tc>
          <w:tcPr>
            <w:tcW w:w="1972" w:type="dxa"/>
            <w:vAlign w:val="center"/>
          </w:tcPr>
          <w:p>
            <w:pPr>
              <w:jc w:val="center"/>
              <w:rPr>
                <w:sz w:val="20"/>
                <w:szCs w:val="20"/>
              </w:rPr>
            </w:pPr>
            <w:r>
              <w:rPr>
                <w:sz w:val="20"/>
                <w:szCs w:val="20"/>
              </w:rPr>
              <w:t>磁选机</w:t>
            </w:r>
          </w:p>
        </w:tc>
        <w:tc>
          <w:tcPr>
            <w:tcW w:w="3055" w:type="dxa"/>
            <w:vAlign w:val="center"/>
          </w:tcPr>
          <w:p>
            <w:pPr>
              <w:jc w:val="center"/>
              <w:rPr>
                <w:sz w:val="20"/>
                <w:szCs w:val="20"/>
              </w:rPr>
            </w:pPr>
            <w:r>
              <w:rPr>
                <w:sz w:val="20"/>
                <w:szCs w:val="20"/>
              </w:rPr>
              <w:t>强磁选机</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4</w:t>
            </w:r>
          </w:p>
        </w:tc>
        <w:tc>
          <w:tcPr>
            <w:tcW w:w="1972" w:type="dxa"/>
            <w:vAlign w:val="center"/>
          </w:tcPr>
          <w:p>
            <w:pPr>
              <w:jc w:val="center"/>
              <w:rPr>
                <w:sz w:val="20"/>
                <w:szCs w:val="20"/>
              </w:rPr>
            </w:pPr>
            <w:r>
              <w:rPr>
                <w:sz w:val="20"/>
                <w:szCs w:val="20"/>
              </w:rPr>
              <w:t>脱水设备</w:t>
            </w:r>
          </w:p>
        </w:tc>
        <w:tc>
          <w:tcPr>
            <w:tcW w:w="3055" w:type="dxa"/>
            <w:vAlign w:val="center"/>
          </w:tcPr>
          <w:p>
            <w:pPr>
              <w:jc w:val="center"/>
              <w:rPr>
                <w:sz w:val="20"/>
                <w:szCs w:val="20"/>
              </w:rPr>
            </w:pPr>
            <w:r>
              <w:rPr>
                <w:sz w:val="20"/>
                <w:szCs w:val="20"/>
              </w:rPr>
              <w:t>/</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4.1</w:t>
            </w:r>
          </w:p>
        </w:tc>
        <w:tc>
          <w:tcPr>
            <w:tcW w:w="1972" w:type="dxa"/>
            <w:vAlign w:val="center"/>
          </w:tcPr>
          <w:p>
            <w:pPr>
              <w:jc w:val="center"/>
              <w:rPr>
                <w:sz w:val="20"/>
                <w:szCs w:val="20"/>
              </w:rPr>
            </w:pPr>
            <w:r>
              <w:rPr>
                <w:sz w:val="20"/>
                <w:szCs w:val="20"/>
              </w:rPr>
              <w:t>中心传动</w:t>
            </w:r>
          </w:p>
          <w:p>
            <w:pPr>
              <w:jc w:val="center"/>
              <w:rPr>
                <w:sz w:val="20"/>
                <w:szCs w:val="20"/>
              </w:rPr>
            </w:pPr>
            <w:r>
              <w:rPr>
                <w:sz w:val="20"/>
                <w:szCs w:val="20"/>
              </w:rPr>
              <w:t>浓密机</w:t>
            </w:r>
          </w:p>
        </w:tc>
        <w:tc>
          <w:tcPr>
            <w:tcW w:w="3055" w:type="dxa"/>
            <w:vAlign w:val="center"/>
          </w:tcPr>
          <w:p>
            <w:pPr>
              <w:jc w:val="center"/>
              <w:rPr>
                <w:sz w:val="20"/>
                <w:szCs w:val="20"/>
              </w:rPr>
            </w:pPr>
            <w:r>
              <w:rPr>
                <w:sz w:val="20"/>
                <w:szCs w:val="20"/>
              </w:rPr>
              <w:t>NZ-9</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4.2</w:t>
            </w:r>
          </w:p>
        </w:tc>
        <w:tc>
          <w:tcPr>
            <w:tcW w:w="1972" w:type="dxa"/>
            <w:vAlign w:val="center"/>
          </w:tcPr>
          <w:p>
            <w:pPr>
              <w:jc w:val="center"/>
              <w:rPr>
                <w:sz w:val="20"/>
                <w:szCs w:val="20"/>
              </w:rPr>
            </w:pPr>
            <w:r>
              <w:rPr>
                <w:sz w:val="20"/>
                <w:szCs w:val="20"/>
              </w:rPr>
              <w:t>中心传动</w:t>
            </w:r>
          </w:p>
          <w:p>
            <w:pPr>
              <w:jc w:val="center"/>
              <w:rPr>
                <w:sz w:val="20"/>
                <w:szCs w:val="20"/>
              </w:rPr>
            </w:pPr>
            <w:r>
              <w:rPr>
                <w:sz w:val="20"/>
                <w:szCs w:val="20"/>
              </w:rPr>
              <w:t>浓密机</w:t>
            </w:r>
          </w:p>
        </w:tc>
        <w:tc>
          <w:tcPr>
            <w:tcW w:w="3055" w:type="dxa"/>
            <w:vAlign w:val="center"/>
          </w:tcPr>
          <w:p>
            <w:pPr>
              <w:jc w:val="center"/>
              <w:rPr>
                <w:sz w:val="20"/>
                <w:szCs w:val="20"/>
              </w:rPr>
            </w:pPr>
            <w:r>
              <w:rPr>
                <w:sz w:val="20"/>
                <w:szCs w:val="20"/>
              </w:rPr>
              <w:t>NZ-30</w:t>
            </w:r>
          </w:p>
        </w:tc>
        <w:tc>
          <w:tcPr>
            <w:tcW w:w="866" w:type="dxa"/>
            <w:vAlign w:val="center"/>
          </w:tcPr>
          <w:p>
            <w:pPr>
              <w:jc w:val="center"/>
              <w:rPr>
                <w:sz w:val="20"/>
                <w:szCs w:val="20"/>
              </w:rPr>
            </w:pPr>
            <w:r>
              <w:rPr>
                <w:sz w:val="20"/>
                <w:szCs w:val="20"/>
              </w:rPr>
              <w:t>1</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4.3</w:t>
            </w:r>
          </w:p>
        </w:tc>
        <w:tc>
          <w:tcPr>
            <w:tcW w:w="1972" w:type="dxa"/>
            <w:vAlign w:val="center"/>
          </w:tcPr>
          <w:p>
            <w:pPr>
              <w:jc w:val="center"/>
              <w:rPr>
                <w:sz w:val="20"/>
                <w:szCs w:val="20"/>
              </w:rPr>
            </w:pPr>
            <w:r>
              <w:rPr>
                <w:sz w:val="20"/>
                <w:szCs w:val="20"/>
              </w:rPr>
              <w:t>全自动</w:t>
            </w:r>
          </w:p>
          <w:p>
            <w:pPr>
              <w:jc w:val="center"/>
              <w:rPr>
                <w:sz w:val="20"/>
                <w:szCs w:val="20"/>
              </w:rPr>
            </w:pPr>
            <w:r>
              <w:rPr>
                <w:sz w:val="20"/>
                <w:szCs w:val="20"/>
              </w:rPr>
              <w:t>陶瓷过滤机</w:t>
            </w:r>
          </w:p>
        </w:tc>
        <w:tc>
          <w:tcPr>
            <w:tcW w:w="3055" w:type="dxa"/>
            <w:vAlign w:val="center"/>
          </w:tcPr>
          <w:p>
            <w:pPr>
              <w:jc w:val="center"/>
              <w:rPr>
                <w:sz w:val="20"/>
                <w:szCs w:val="20"/>
              </w:rPr>
            </w:pPr>
            <w:r>
              <w:rPr>
                <w:sz w:val="20"/>
                <w:szCs w:val="20"/>
              </w:rPr>
              <w:t>KS-12</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4.4</w:t>
            </w:r>
          </w:p>
        </w:tc>
        <w:tc>
          <w:tcPr>
            <w:tcW w:w="1972" w:type="dxa"/>
            <w:vAlign w:val="center"/>
          </w:tcPr>
          <w:p>
            <w:pPr>
              <w:jc w:val="center"/>
              <w:rPr>
                <w:sz w:val="20"/>
                <w:szCs w:val="20"/>
              </w:rPr>
            </w:pPr>
            <w:r>
              <w:rPr>
                <w:sz w:val="20"/>
                <w:szCs w:val="20"/>
              </w:rPr>
              <w:t>全自动</w:t>
            </w:r>
          </w:p>
          <w:p>
            <w:pPr>
              <w:jc w:val="center"/>
              <w:rPr>
                <w:sz w:val="20"/>
                <w:szCs w:val="20"/>
              </w:rPr>
            </w:pPr>
            <w:r>
              <w:rPr>
                <w:sz w:val="20"/>
                <w:szCs w:val="20"/>
              </w:rPr>
              <w:t>陶瓷过滤机</w:t>
            </w:r>
          </w:p>
        </w:tc>
        <w:tc>
          <w:tcPr>
            <w:tcW w:w="3055" w:type="dxa"/>
            <w:vAlign w:val="center"/>
          </w:tcPr>
          <w:p>
            <w:pPr>
              <w:jc w:val="center"/>
              <w:rPr>
                <w:sz w:val="20"/>
                <w:szCs w:val="20"/>
              </w:rPr>
            </w:pPr>
            <w:r>
              <w:rPr>
                <w:sz w:val="20"/>
                <w:szCs w:val="20"/>
              </w:rPr>
              <w:t>KS-60</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4</w:t>
            </w:r>
          </w:p>
        </w:tc>
        <w:tc>
          <w:tcPr>
            <w:tcW w:w="1972" w:type="dxa"/>
            <w:vAlign w:val="center"/>
          </w:tcPr>
          <w:p>
            <w:pPr>
              <w:jc w:val="center"/>
              <w:rPr>
                <w:sz w:val="20"/>
                <w:szCs w:val="20"/>
              </w:rPr>
            </w:pPr>
            <w:r>
              <w:rPr>
                <w:sz w:val="20"/>
                <w:szCs w:val="20"/>
              </w:rPr>
              <w:t>供水设备</w:t>
            </w:r>
          </w:p>
        </w:tc>
        <w:tc>
          <w:tcPr>
            <w:tcW w:w="3055" w:type="dxa"/>
            <w:vAlign w:val="center"/>
          </w:tcPr>
          <w:p>
            <w:pPr>
              <w:jc w:val="center"/>
              <w:rPr>
                <w:sz w:val="20"/>
                <w:szCs w:val="20"/>
              </w:rPr>
            </w:pPr>
          </w:p>
        </w:tc>
        <w:tc>
          <w:tcPr>
            <w:tcW w:w="866" w:type="dxa"/>
            <w:vAlign w:val="center"/>
          </w:tcPr>
          <w:p>
            <w:pPr>
              <w:jc w:val="center"/>
              <w:rPr>
                <w:sz w:val="20"/>
                <w:szCs w:val="20"/>
              </w:rPr>
            </w:pP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4.1</w:t>
            </w:r>
          </w:p>
        </w:tc>
        <w:tc>
          <w:tcPr>
            <w:tcW w:w="1972" w:type="dxa"/>
            <w:vAlign w:val="center"/>
          </w:tcPr>
          <w:p>
            <w:pPr>
              <w:jc w:val="center"/>
              <w:rPr>
                <w:sz w:val="20"/>
                <w:szCs w:val="20"/>
              </w:rPr>
            </w:pPr>
            <w:r>
              <w:rPr>
                <w:sz w:val="20"/>
                <w:szCs w:val="20"/>
              </w:rPr>
              <w:t>尾矿回水</w:t>
            </w:r>
          </w:p>
        </w:tc>
        <w:tc>
          <w:tcPr>
            <w:tcW w:w="3055" w:type="dxa"/>
            <w:vAlign w:val="center"/>
          </w:tcPr>
          <w:p>
            <w:pPr>
              <w:jc w:val="center"/>
              <w:rPr>
                <w:sz w:val="20"/>
                <w:szCs w:val="20"/>
              </w:rPr>
            </w:pPr>
            <w:r>
              <w:rPr>
                <w:sz w:val="20"/>
                <w:szCs w:val="20"/>
              </w:rPr>
              <w:t>清水泵150TSWA×7</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730" w:type="dxa"/>
            <w:vAlign w:val="center"/>
          </w:tcPr>
          <w:p>
            <w:pPr>
              <w:jc w:val="center"/>
              <w:rPr>
                <w:bCs/>
                <w:sz w:val="20"/>
                <w:szCs w:val="20"/>
              </w:rPr>
            </w:pPr>
            <w:r>
              <w:rPr>
                <w:bCs/>
                <w:sz w:val="20"/>
                <w:szCs w:val="20"/>
              </w:rPr>
              <w:t>4.2</w:t>
            </w:r>
          </w:p>
        </w:tc>
        <w:tc>
          <w:tcPr>
            <w:tcW w:w="1972" w:type="dxa"/>
            <w:vAlign w:val="center"/>
          </w:tcPr>
          <w:p>
            <w:pPr>
              <w:jc w:val="center"/>
              <w:rPr>
                <w:sz w:val="20"/>
                <w:szCs w:val="20"/>
              </w:rPr>
            </w:pPr>
            <w:r>
              <w:rPr>
                <w:sz w:val="20"/>
                <w:szCs w:val="20"/>
              </w:rPr>
              <w:t>补加新水</w:t>
            </w:r>
          </w:p>
        </w:tc>
        <w:tc>
          <w:tcPr>
            <w:tcW w:w="3055" w:type="dxa"/>
            <w:vAlign w:val="center"/>
          </w:tcPr>
          <w:p>
            <w:pPr>
              <w:jc w:val="center"/>
              <w:rPr>
                <w:sz w:val="20"/>
                <w:szCs w:val="20"/>
              </w:rPr>
            </w:pPr>
            <w:r>
              <w:rPr>
                <w:sz w:val="20"/>
                <w:szCs w:val="20"/>
              </w:rPr>
              <w:t>清水泵150TSWA×8</w:t>
            </w:r>
          </w:p>
        </w:tc>
        <w:tc>
          <w:tcPr>
            <w:tcW w:w="866" w:type="dxa"/>
            <w:vAlign w:val="center"/>
          </w:tcPr>
          <w:p>
            <w:pPr>
              <w:jc w:val="center"/>
              <w:rPr>
                <w:sz w:val="20"/>
                <w:szCs w:val="20"/>
              </w:rPr>
            </w:pPr>
            <w:r>
              <w:rPr>
                <w:sz w:val="20"/>
                <w:szCs w:val="20"/>
              </w:rPr>
              <w:t>2</w:t>
            </w:r>
          </w:p>
        </w:tc>
        <w:tc>
          <w:tcPr>
            <w:tcW w:w="1905" w:type="dxa"/>
            <w:vMerge w:val="continue"/>
            <w:vAlign w:val="center"/>
          </w:tcPr>
          <w:p>
            <w:pPr>
              <w:jc w:val="center"/>
              <w:rPr>
                <w:sz w:val="20"/>
                <w:szCs w:val="20"/>
              </w:rPr>
            </w:pPr>
          </w:p>
        </w:tc>
      </w:tr>
    </w:tbl>
    <w:p>
      <w:pPr>
        <w:pStyle w:val="5"/>
        <w:rPr>
          <w:rFonts w:ascii="Times New Roman" w:hAnsi="Times New Roman"/>
        </w:rPr>
      </w:pPr>
      <w:r>
        <w:rPr>
          <w:rFonts w:ascii="Times New Roman" w:hAnsi="Times New Roman"/>
        </w:rPr>
        <w:t>2.2.3.6总图布置</w:t>
      </w:r>
    </w:p>
    <w:p>
      <w:pPr>
        <w:pStyle w:val="88"/>
        <w:rPr>
          <w:color w:val="auto"/>
        </w:rPr>
      </w:pPr>
      <w:r>
        <w:rPr>
          <w:color w:val="auto"/>
        </w:rPr>
        <w:t xml:space="preserve">    1、厂房布置</w:t>
      </w:r>
    </w:p>
    <w:p>
      <w:pPr>
        <w:pStyle w:val="88"/>
        <w:rPr>
          <w:color w:val="auto"/>
        </w:rPr>
      </w:pPr>
      <w:r>
        <w:rPr>
          <w:color w:val="auto"/>
        </w:rPr>
        <w:t xml:space="preserve">    根据工艺流程特点，破碎－筛分－磨矿－浮选，作业点多，因此结合地形自然坡度，厂房采用沿等高线单层阶梯式布置。</w:t>
      </w:r>
    </w:p>
    <w:p>
      <w:pPr>
        <w:pStyle w:val="88"/>
        <w:rPr>
          <w:color w:val="auto"/>
        </w:rPr>
      </w:pPr>
      <w:r>
        <w:rPr>
          <w:color w:val="auto"/>
        </w:rPr>
        <w:t xml:space="preserve">    单层厂房占地面积大，但厂房结构简单，可安装大型设备和振动设备，充分利用自然坡度，使主矿流能最大限度地实现自流，减少矿浆扬送的设备和能耗，节约基建投资和经营费用。</w:t>
      </w:r>
    </w:p>
    <w:p>
      <w:pPr>
        <w:pStyle w:val="88"/>
        <w:rPr>
          <w:color w:val="auto"/>
        </w:rPr>
      </w:pPr>
      <w:r>
        <w:rPr>
          <w:color w:val="auto"/>
        </w:rPr>
        <w:t xml:space="preserve">    破碎车间：根据工艺要求，碎矿采用两段一闭路流程。粗碎和细碎集中布置于一个跨间以减少吊装设备和联结皮带。</w:t>
      </w:r>
    </w:p>
    <w:p>
      <w:pPr>
        <w:pStyle w:val="88"/>
        <w:rPr>
          <w:color w:val="auto"/>
        </w:rPr>
      </w:pPr>
      <w:r>
        <w:rPr>
          <w:color w:val="auto"/>
        </w:rPr>
        <w:t xml:space="preserve">    筛分车间：筛分与破碎分开布置于两个跨间，筛分车间为独立厂房。</w:t>
      </w:r>
    </w:p>
    <w:p>
      <w:pPr>
        <w:pStyle w:val="88"/>
        <w:rPr>
          <w:color w:val="auto"/>
        </w:rPr>
      </w:pPr>
      <w:r>
        <w:rPr>
          <w:color w:val="auto"/>
        </w:rPr>
        <w:t xml:space="preserve">    磨矿选别车间：磨矿、浮选、磁选设备，相对集中配置在上下相邻二个跨间，有利于生产调整和操作管理，减少操作工人。</w:t>
      </w:r>
    </w:p>
    <w:p>
      <w:pPr>
        <w:pStyle w:val="88"/>
        <w:rPr>
          <w:color w:val="auto"/>
        </w:rPr>
      </w:pPr>
      <w:r>
        <w:rPr>
          <w:color w:val="auto"/>
        </w:rPr>
        <w:t>脱水车间：浓密为露天作业，过滤为室内作业。</w:t>
      </w:r>
    </w:p>
    <w:p>
      <w:pPr>
        <w:pStyle w:val="88"/>
        <w:rPr>
          <w:color w:val="auto"/>
        </w:rPr>
      </w:pPr>
      <w:r>
        <w:rPr>
          <w:color w:val="auto"/>
        </w:rPr>
        <w:t xml:space="preserve">    原矿由竖井直接提升至地面，经矿车推入原矿堆场，为保证选矿厂三班连续作业，除设有原矿仓外，还设置1500m</w:t>
      </w:r>
      <w:r>
        <w:rPr>
          <w:color w:val="auto"/>
          <w:vertAlign w:val="superscript"/>
        </w:rPr>
        <w:t>2</w:t>
      </w:r>
      <w:r>
        <w:rPr>
          <w:color w:val="auto"/>
        </w:rPr>
        <w:t>原矿堆场，配备一台装载机。</w:t>
      </w:r>
    </w:p>
    <w:p>
      <w:pPr>
        <w:pStyle w:val="88"/>
        <w:rPr>
          <w:color w:val="auto"/>
        </w:rPr>
      </w:pPr>
      <w:r>
        <w:rPr>
          <w:color w:val="auto"/>
        </w:rPr>
        <w:t xml:space="preserve">    破碎车间与磨矿车间的设备联结、产品的运输，均为皮带运输，最终产品采用皮带运输进入精矿场堆存。磨矿及各浮选作业，除主矿管自流外，其余用砂泵输送矿浆。</w:t>
      </w:r>
    </w:p>
    <w:p>
      <w:pPr>
        <w:pStyle w:val="88"/>
        <w:spacing w:line="360" w:lineRule="auto"/>
        <w:rPr>
          <w:color w:val="auto"/>
        </w:rPr>
      </w:pPr>
      <w:r>
        <w:rPr>
          <w:color w:val="auto"/>
        </w:rPr>
        <w:t xml:space="preserve">    为了提高设备检修效率，减轻工人劳动强度，破碎车间、筛分车间、磨矿车间、浮选车间和脱水车间均设有简易吊装设备，其它车间按需要灵活使用汽车吊。</w:t>
      </w:r>
    </w:p>
    <w:p>
      <w:pPr>
        <w:pStyle w:val="88"/>
        <w:spacing w:line="360" w:lineRule="auto"/>
        <w:rPr>
          <w:color w:val="auto"/>
        </w:rPr>
      </w:pPr>
      <w:bookmarkStart w:id="284" w:name="_Toc320561110"/>
      <w:r>
        <w:rPr>
          <w:color w:val="auto"/>
        </w:rPr>
        <w:t xml:space="preserve">    2、原矿堆场</w:t>
      </w:r>
      <w:bookmarkEnd w:id="284"/>
      <w:r>
        <w:rPr>
          <w:color w:val="auto"/>
        </w:rPr>
        <w:t>、矿仓及成品堆场</w:t>
      </w:r>
    </w:p>
    <w:p>
      <w:pPr>
        <w:pStyle w:val="88"/>
        <w:spacing w:line="360" w:lineRule="auto"/>
        <w:rPr>
          <w:color w:val="auto"/>
        </w:rPr>
      </w:pPr>
      <w:r>
        <w:rPr>
          <w:color w:val="auto"/>
        </w:rPr>
        <w:t xml:space="preserve">    原矿仓前设计一个面积1500m</w:t>
      </w:r>
      <w:r>
        <w:rPr>
          <w:color w:val="auto"/>
          <w:vertAlign w:val="superscript"/>
        </w:rPr>
        <w:t>2</w:t>
      </w:r>
      <w:r>
        <w:rPr>
          <w:color w:val="auto"/>
        </w:rPr>
        <w:t>原矿堆场，为选矿厂配矿和连续生产创造条件。</w:t>
      </w:r>
    </w:p>
    <w:p>
      <w:pPr>
        <w:pStyle w:val="88"/>
        <w:spacing w:line="360" w:lineRule="auto"/>
        <w:rPr>
          <w:color w:val="auto"/>
        </w:rPr>
      </w:pPr>
      <w:r>
        <w:rPr>
          <w:color w:val="auto"/>
        </w:rPr>
        <w:t xml:space="preserve">    原矿仓为三面倾斜矩形矿仓：容积系数取0.85，矿石假比重1.6t/m</w:t>
      </w:r>
      <w:r>
        <w:rPr>
          <w:color w:val="auto"/>
          <w:vertAlign w:val="superscript"/>
        </w:rPr>
        <w:t>3</w:t>
      </w:r>
      <w:r>
        <w:rPr>
          <w:color w:val="auto"/>
        </w:rPr>
        <w:t>。有效容积V=193.17m</w:t>
      </w:r>
      <w:r>
        <w:rPr>
          <w:color w:val="auto"/>
          <w:vertAlign w:val="superscript"/>
        </w:rPr>
        <w:t>3</w:t>
      </w:r>
      <w:r>
        <w:rPr>
          <w:color w:val="auto"/>
        </w:rPr>
        <w:t>，贮矿量Q=309.07t。原矿仓排矿采用一台GZT980×2500电振棒条给矿机。</w:t>
      </w:r>
    </w:p>
    <w:p>
      <w:pPr>
        <w:pStyle w:val="88"/>
        <w:spacing w:line="360" w:lineRule="auto"/>
        <w:rPr>
          <w:color w:val="auto"/>
        </w:rPr>
      </w:pPr>
      <w:r>
        <w:rPr>
          <w:color w:val="auto"/>
        </w:rPr>
        <w:t xml:space="preserve">    粉矿仓采用圆形矿仓，有效容积V＝144.13m</w:t>
      </w:r>
      <w:r>
        <w:rPr>
          <w:color w:val="auto"/>
          <w:vertAlign w:val="superscript"/>
        </w:rPr>
        <w:t>3</w:t>
      </w:r>
      <w:r>
        <w:rPr>
          <w:color w:val="auto"/>
        </w:rPr>
        <w:t>，贮矿量Q=230.60t。粉矿仓排矿采用2台GZ400×900电振给料机。</w:t>
      </w:r>
    </w:p>
    <w:p>
      <w:pPr>
        <w:pStyle w:val="88"/>
        <w:spacing w:line="360" w:lineRule="auto"/>
        <w:rPr>
          <w:color w:val="auto"/>
        </w:rPr>
      </w:pPr>
      <w:r>
        <w:rPr>
          <w:color w:val="auto"/>
        </w:rPr>
        <w:t xml:space="preserve">    成品堆场分为铜精矿堆场和硫精矿堆场。位于选矿车间西部，面积均为260m</w:t>
      </w:r>
      <w:r>
        <w:rPr>
          <w:color w:val="auto"/>
          <w:vertAlign w:val="superscript"/>
        </w:rPr>
        <w:t>2</w:t>
      </w:r>
      <w:r>
        <w:rPr>
          <w:color w:val="auto"/>
        </w:rPr>
        <w:t>。</w:t>
      </w:r>
    </w:p>
    <w:p>
      <w:pPr>
        <w:pStyle w:val="88"/>
        <w:spacing w:line="360" w:lineRule="auto"/>
        <w:rPr>
          <w:color w:val="auto"/>
        </w:rPr>
      </w:pPr>
      <w:bookmarkStart w:id="285" w:name="_Toc320561144"/>
      <w:bookmarkStart w:id="286" w:name="_Toc128457588"/>
      <w:r>
        <w:rPr>
          <w:color w:val="auto"/>
        </w:rPr>
        <w:t xml:space="preserve">   </w:t>
      </w:r>
      <w:bookmarkEnd w:id="285"/>
      <w:bookmarkEnd w:id="286"/>
      <w:r>
        <w:rPr>
          <w:color w:val="auto"/>
        </w:rPr>
        <w:t xml:space="preserve"> 选厂平面布置图见附图4。</w:t>
      </w:r>
      <w:bookmarkStart w:id="287" w:name="_Toc420663645"/>
      <w:bookmarkStart w:id="288" w:name="_Toc407217325"/>
      <w:bookmarkStart w:id="289" w:name="_Toc406504173"/>
      <w:bookmarkStart w:id="290" w:name="_Toc407153459"/>
      <w:bookmarkStart w:id="291" w:name="_Toc370112116"/>
    </w:p>
    <w:p>
      <w:pPr>
        <w:pStyle w:val="74"/>
      </w:pPr>
      <w:bookmarkStart w:id="292" w:name="_Toc470358675"/>
      <w:r>
        <w:t>2.2.4主要经济技术指标</w:t>
      </w:r>
      <w:bookmarkEnd w:id="287"/>
      <w:bookmarkEnd w:id="288"/>
      <w:bookmarkEnd w:id="289"/>
      <w:bookmarkEnd w:id="290"/>
      <w:bookmarkEnd w:id="291"/>
      <w:bookmarkEnd w:id="292"/>
      <w:r>
        <w:tab/>
      </w:r>
    </w:p>
    <w:p>
      <w:pPr>
        <w:spacing w:line="360" w:lineRule="auto"/>
        <w:ind w:firstLine="487" w:firstLineChars="203"/>
        <w:rPr>
          <w:sz w:val="24"/>
        </w:rPr>
      </w:pPr>
      <w:r>
        <w:rPr>
          <w:sz w:val="24"/>
        </w:rPr>
        <w:t>主要技术经济指标见下表2.2-16。</w:t>
      </w:r>
    </w:p>
    <w:p>
      <w:pPr>
        <w:jc w:val="left"/>
        <w:rPr>
          <w:rFonts w:eastAsia="黑体"/>
          <w:spacing w:val="-4"/>
          <w:sz w:val="22"/>
          <w:szCs w:val="22"/>
        </w:rPr>
      </w:pPr>
      <w:r>
        <w:rPr>
          <w:rFonts w:eastAsia="黑体"/>
          <w:spacing w:val="2"/>
          <w:sz w:val="22"/>
        </w:rPr>
        <w:t xml:space="preserve">   </w:t>
      </w:r>
      <w:r>
        <w:rPr>
          <w:rFonts w:eastAsia="黑体"/>
          <w:spacing w:val="2"/>
          <w:sz w:val="22"/>
          <w:szCs w:val="22"/>
        </w:rPr>
        <w:t xml:space="preserve"> 表2.2-16               </w:t>
      </w:r>
      <w:bookmarkStart w:id="293" w:name="_Toc407153461"/>
      <w:bookmarkStart w:id="294" w:name="_Toc420663647"/>
      <w:bookmarkStart w:id="295" w:name="_Toc407217327"/>
      <w:bookmarkStart w:id="296" w:name="_Toc406504175"/>
      <w:bookmarkStart w:id="297" w:name="_Toc370112118"/>
      <w:r>
        <w:rPr>
          <w:rFonts w:eastAsia="黑体"/>
          <w:spacing w:val="2"/>
          <w:sz w:val="22"/>
          <w:szCs w:val="22"/>
        </w:rPr>
        <w:t xml:space="preserve"> </w:t>
      </w:r>
      <w:r>
        <w:rPr>
          <w:rFonts w:eastAsia="黑体"/>
          <w:spacing w:val="-4"/>
          <w:sz w:val="22"/>
          <w:szCs w:val="22"/>
        </w:rPr>
        <w:t>扩建项目技术经济指标</w:t>
      </w:r>
    </w:p>
    <w:tbl>
      <w:tblPr>
        <w:tblStyle w:val="54"/>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192"/>
        <w:gridCol w:w="1100"/>
        <w:gridCol w:w="3253"/>
        <w:gridCol w:w="1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blHeader/>
          <w:jc w:val="center"/>
        </w:trPr>
        <w:tc>
          <w:tcPr>
            <w:tcW w:w="648" w:type="dxa"/>
            <w:vAlign w:val="center"/>
          </w:tcPr>
          <w:p>
            <w:pPr>
              <w:spacing w:line="230" w:lineRule="exact"/>
              <w:jc w:val="center"/>
              <w:rPr>
                <w:szCs w:val="21"/>
              </w:rPr>
            </w:pPr>
            <w:r>
              <w:rPr>
                <w:szCs w:val="21"/>
              </w:rPr>
              <w:t>序号</w:t>
            </w:r>
          </w:p>
        </w:tc>
        <w:tc>
          <w:tcPr>
            <w:tcW w:w="2192" w:type="dxa"/>
            <w:vAlign w:val="center"/>
          </w:tcPr>
          <w:p>
            <w:pPr>
              <w:spacing w:line="230" w:lineRule="exact"/>
              <w:jc w:val="center"/>
              <w:rPr>
                <w:szCs w:val="21"/>
              </w:rPr>
            </w:pPr>
            <w:r>
              <w:rPr>
                <w:szCs w:val="21"/>
              </w:rPr>
              <w:t>名   称</w:t>
            </w:r>
          </w:p>
        </w:tc>
        <w:tc>
          <w:tcPr>
            <w:tcW w:w="1100" w:type="dxa"/>
            <w:vAlign w:val="center"/>
          </w:tcPr>
          <w:p>
            <w:pPr>
              <w:spacing w:line="230" w:lineRule="exact"/>
              <w:jc w:val="center"/>
              <w:rPr>
                <w:szCs w:val="21"/>
              </w:rPr>
            </w:pPr>
            <w:r>
              <w:rPr>
                <w:szCs w:val="21"/>
              </w:rPr>
              <w:t>单位</w:t>
            </w:r>
          </w:p>
        </w:tc>
        <w:tc>
          <w:tcPr>
            <w:tcW w:w="3253" w:type="dxa"/>
            <w:vAlign w:val="center"/>
          </w:tcPr>
          <w:p>
            <w:pPr>
              <w:spacing w:line="230" w:lineRule="exact"/>
              <w:jc w:val="center"/>
              <w:rPr>
                <w:szCs w:val="21"/>
              </w:rPr>
            </w:pPr>
            <w:r>
              <w:rPr>
                <w:szCs w:val="21"/>
              </w:rPr>
              <w:t>指 标</w:t>
            </w:r>
          </w:p>
        </w:tc>
        <w:tc>
          <w:tcPr>
            <w:tcW w:w="1335" w:type="dxa"/>
            <w:vAlign w:val="center"/>
          </w:tcPr>
          <w:p>
            <w:pPr>
              <w:spacing w:line="230" w:lineRule="exact"/>
              <w:jc w:val="center"/>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一</w:t>
            </w:r>
          </w:p>
        </w:tc>
        <w:tc>
          <w:tcPr>
            <w:tcW w:w="2192" w:type="dxa"/>
            <w:vAlign w:val="center"/>
          </w:tcPr>
          <w:p>
            <w:pPr>
              <w:spacing w:line="230" w:lineRule="exact"/>
              <w:jc w:val="center"/>
              <w:rPr>
                <w:szCs w:val="21"/>
              </w:rPr>
            </w:pPr>
            <w:r>
              <w:rPr>
                <w:szCs w:val="21"/>
              </w:rPr>
              <w:t>采矿</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1</w:t>
            </w:r>
          </w:p>
        </w:tc>
        <w:tc>
          <w:tcPr>
            <w:tcW w:w="2192" w:type="dxa"/>
            <w:vAlign w:val="center"/>
          </w:tcPr>
          <w:p>
            <w:pPr>
              <w:spacing w:line="230" w:lineRule="exact"/>
              <w:jc w:val="center"/>
              <w:rPr>
                <w:szCs w:val="21"/>
              </w:rPr>
            </w:pPr>
            <w:r>
              <w:rPr>
                <w:szCs w:val="21"/>
              </w:rPr>
              <w:t>矿床地质勘查程度</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r>
              <w:rPr>
                <w:szCs w:val="21"/>
              </w:rPr>
              <w:t>详 查</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2</w:t>
            </w:r>
          </w:p>
        </w:tc>
        <w:tc>
          <w:tcPr>
            <w:tcW w:w="2192" w:type="dxa"/>
            <w:vAlign w:val="center"/>
          </w:tcPr>
          <w:p>
            <w:pPr>
              <w:spacing w:line="230" w:lineRule="exact"/>
              <w:jc w:val="center"/>
              <w:rPr>
                <w:szCs w:val="21"/>
              </w:rPr>
            </w:pPr>
            <w:r>
              <w:rPr>
                <w:szCs w:val="21"/>
              </w:rPr>
              <w:t>资源储量</w:t>
            </w:r>
          </w:p>
        </w:tc>
        <w:tc>
          <w:tcPr>
            <w:tcW w:w="1100" w:type="dxa"/>
            <w:vAlign w:val="center"/>
          </w:tcPr>
          <w:p>
            <w:pPr>
              <w:spacing w:line="230" w:lineRule="exact"/>
              <w:jc w:val="center"/>
              <w:rPr>
                <w:szCs w:val="21"/>
              </w:rPr>
            </w:pPr>
            <w:r>
              <w:rPr>
                <w:szCs w:val="21"/>
              </w:rPr>
              <w:t>万t</w:t>
            </w:r>
          </w:p>
        </w:tc>
        <w:tc>
          <w:tcPr>
            <w:tcW w:w="3253" w:type="dxa"/>
            <w:vAlign w:val="center"/>
          </w:tcPr>
          <w:p>
            <w:pPr>
              <w:spacing w:line="230" w:lineRule="exact"/>
              <w:jc w:val="center"/>
              <w:rPr>
                <w:szCs w:val="21"/>
              </w:rPr>
            </w:pPr>
            <w:r>
              <w:rPr>
                <w:szCs w:val="21"/>
              </w:rPr>
              <w:t>4269.7</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3</w:t>
            </w:r>
          </w:p>
        </w:tc>
        <w:tc>
          <w:tcPr>
            <w:tcW w:w="2192" w:type="dxa"/>
            <w:vAlign w:val="center"/>
          </w:tcPr>
          <w:p>
            <w:pPr>
              <w:spacing w:line="230" w:lineRule="exact"/>
              <w:jc w:val="center"/>
              <w:rPr>
                <w:szCs w:val="21"/>
              </w:rPr>
            </w:pPr>
            <w:r>
              <w:rPr>
                <w:szCs w:val="21"/>
              </w:rPr>
              <w:t>设计利用储量</w:t>
            </w:r>
          </w:p>
        </w:tc>
        <w:tc>
          <w:tcPr>
            <w:tcW w:w="1100" w:type="dxa"/>
            <w:vAlign w:val="center"/>
          </w:tcPr>
          <w:p>
            <w:pPr>
              <w:spacing w:line="230" w:lineRule="exact"/>
              <w:jc w:val="center"/>
              <w:rPr>
                <w:szCs w:val="21"/>
              </w:rPr>
            </w:pPr>
            <w:r>
              <w:rPr>
                <w:szCs w:val="21"/>
              </w:rPr>
              <w:t>万t</w:t>
            </w:r>
          </w:p>
        </w:tc>
        <w:tc>
          <w:tcPr>
            <w:tcW w:w="3253" w:type="dxa"/>
            <w:vAlign w:val="center"/>
          </w:tcPr>
          <w:p>
            <w:pPr>
              <w:spacing w:line="230" w:lineRule="exact"/>
              <w:jc w:val="center"/>
              <w:rPr>
                <w:szCs w:val="21"/>
              </w:rPr>
            </w:pPr>
            <w:r>
              <w:rPr>
                <w:szCs w:val="21"/>
              </w:rPr>
              <w:t>4100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4</w:t>
            </w:r>
          </w:p>
        </w:tc>
        <w:tc>
          <w:tcPr>
            <w:tcW w:w="2192" w:type="dxa"/>
            <w:vAlign w:val="center"/>
          </w:tcPr>
          <w:p>
            <w:pPr>
              <w:spacing w:line="230" w:lineRule="exact"/>
              <w:jc w:val="center"/>
              <w:rPr>
                <w:szCs w:val="21"/>
              </w:rPr>
            </w:pPr>
            <w:r>
              <w:rPr>
                <w:szCs w:val="21"/>
              </w:rPr>
              <w:t>矿山设计规模</w:t>
            </w:r>
          </w:p>
        </w:tc>
        <w:tc>
          <w:tcPr>
            <w:tcW w:w="1100" w:type="dxa"/>
            <w:vAlign w:val="center"/>
          </w:tcPr>
          <w:p>
            <w:pPr>
              <w:spacing w:line="230" w:lineRule="exact"/>
              <w:jc w:val="center"/>
              <w:rPr>
                <w:szCs w:val="21"/>
              </w:rPr>
            </w:pPr>
            <w:r>
              <w:rPr>
                <w:szCs w:val="21"/>
              </w:rPr>
              <w:t>万t/a</w:t>
            </w:r>
          </w:p>
        </w:tc>
        <w:tc>
          <w:tcPr>
            <w:tcW w:w="3253" w:type="dxa"/>
            <w:vAlign w:val="center"/>
          </w:tcPr>
          <w:p>
            <w:pPr>
              <w:spacing w:line="230" w:lineRule="exact"/>
              <w:jc w:val="center"/>
              <w:rPr>
                <w:szCs w:val="21"/>
              </w:rPr>
            </w:pPr>
            <w:r>
              <w:rPr>
                <w:szCs w:val="21"/>
              </w:rPr>
              <w:t>50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5</w:t>
            </w:r>
          </w:p>
        </w:tc>
        <w:tc>
          <w:tcPr>
            <w:tcW w:w="2192" w:type="dxa"/>
            <w:vAlign w:val="center"/>
          </w:tcPr>
          <w:p>
            <w:pPr>
              <w:spacing w:line="230" w:lineRule="exact"/>
              <w:jc w:val="center"/>
              <w:rPr>
                <w:szCs w:val="21"/>
              </w:rPr>
            </w:pPr>
            <w:r>
              <w:rPr>
                <w:szCs w:val="21"/>
              </w:rPr>
              <w:t>矿山服务年限</w:t>
            </w:r>
          </w:p>
        </w:tc>
        <w:tc>
          <w:tcPr>
            <w:tcW w:w="1100" w:type="dxa"/>
            <w:vAlign w:val="center"/>
          </w:tcPr>
          <w:p>
            <w:pPr>
              <w:spacing w:line="230" w:lineRule="exact"/>
              <w:jc w:val="center"/>
              <w:rPr>
                <w:szCs w:val="21"/>
              </w:rPr>
            </w:pPr>
            <w:r>
              <w:rPr>
                <w:szCs w:val="21"/>
              </w:rPr>
              <w:t>年</w:t>
            </w:r>
          </w:p>
        </w:tc>
        <w:tc>
          <w:tcPr>
            <w:tcW w:w="3253" w:type="dxa"/>
            <w:vAlign w:val="center"/>
          </w:tcPr>
          <w:p>
            <w:pPr>
              <w:spacing w:line="230" w:lineRule="exact"/>
              <w:jc w:val="center"/>
              <w:rPr>
                <w:szCs w:val="21"/>
              </w:rPr>
            </w:pPr>
            <w:r>
              <w:rPr>
                <w:szCs w:val="21"/>
              </w:rPr>
              <w:t>80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6</w:t>
            </w:r>
          </w:p>
        </w:tc>
        <w:tc>
          <w:tcPr>
            <w:tcW w:w="2192" w:type="dxa"/>
            <w:vAlign w:val="center"/>
          </w:tcPr>
          <w:p>
            <w:pPr>
              <w:spacing w:line="230" w:lineRule="exact"/>
              <w:jc w:val="center"/>
              <w:rPr>
                <w:szCs w:val="21"/>
              </w:rPr>
            </w:pPr>
            <w:r>
              <w:rPr>
                <w:szCs w:val="21"/>
              </w:rPr>
              <w:t>基建期</w:t>
            </w:r>
          </w:p>
        </w:tc>
        <w:tc>
          <w:tcPr>
            <w:tcW w:w="1100" w:type="dxa"/>
            <w:vAlign w:val="center"/>
          </w:tcPr>
          <w:p>
            <w:pPr>
              <w:spacing w:line="230" w:lineRule="exact"/>
              <w:jc w:val="center"/>
              <w:rPr>
                <w:szCs w:val="21"/>
              </w:rPr>
            </w:pPr>
            <w:r>
              <w:rPr>
                <w:szCs w:val="21"/>
              </w:rPr>
              <w:t>年</w:t>
            </w:r>
          </w:p>
        </w:tc>
        <w:tc>
          <w:tcPr>
            <w:tcW w:w="3253" w:type="dxa"/>
            <w:vAlign w:val="center"/>
          </w:tcPr>
          <w:p>
            <w:pPr>
              <w:spacing w:line="230" w:lineRule="exact"/>
              <w:jc w:val="center"/>
              <w:rPr>
                <w:szCs w:val="21"/>
              </w:rPr>
            </w:pPr>
            <w:r>
              <w:rPr>
                <w:szCs w:val="21"/>
              </w:rPr>
              <w:t>1.0</w:t>
            </w:r>
          </w:p>
        </w:tc>
        <w:tc>
          <w:tcPr>
            <w:tcW w:w="1335" w:type="dxa"/>
            <w:vAlign w:val="center"/>
          </w:tcPr>
          <w:p>
            <w:pPr>
              <w:spacing w:line="230" w:lineRule="exact"/>
              <w:jc w:val="center"/>
              <w:rPr>
                <w:spacing w:val="-1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48" w:type="dxa"/>
            <w:vAlign w:val="center"/>
          </w:tcPr>
          <w:p>
            <w:pPr>
              <w:spacing w:line="230" w:lineRule="exact"/>
              <w:jc w:val="center"/>
              <w:rPr>
                <w:szCs w:val="21"/>
              </w:rPr>
            </w:pPr>
            <w:r>
              <w:rPr>
                <w:szCs w:val="21"/>
              </w:rPr>
              <w:t>7</w:t>
            </w:r>
          </w:p>
        </w:tc>
        <w:tc>
          <w:tcPr>
            <w:tcW w:w="2192" w:type="dxa"/>
            <w:vAlign w:val="center"/>
          </w:tcPr>
          <w:p>
            <w:pPr>
              <w:spacing w:line="230" w:lineRule="exact"/>
              <w:jc w:val="center"/>
              <w:rPr>
                <w:szCs w:val="21"/>
              </w:rPr>
            </w:pPr>
            <w:r>
              <w:rPr>
                <w:szCs w:val="21"/>
              </w:rPr>
              <w:t>开拓方案</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r>
              <w:rPr>
                <w:szCs w:val="21"/>
              </w:rPr>
              <w:t>“竖井+斜井”开拓</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8</w:t>
            </w:r>
          </w:p>
        </w:tc>
        <w:tc>
          <w:tcPr>
            <w:tcW w:w="2192" w:type="dxa"/>
            <w:vAlign w:val="center"/>
          </w:tcPr>
          <w:p>
            <w:pPr>
              <w:spacing w:line="230" w:lineRule="exact"/>
              <w:jc w:val="center"/>
              <w:rPr>
                <w:szCs w:val="21"/>
              </w:rPr>
            </w:pPr>
            <w:r>
              <w:rPr>
                <w:szCs w:val="21"/>
              </w:rPr>
              <w:t>采矿损失率</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15</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9</w:t>
            </w:r>
          </w:p>
        </w:tc>
        <w:tc>
          <w:tcPr>
            <w:tcW w:w="2192" w:type="dxa"/>
            <w:vAlign w:val="center"/>
          </w:tcPr>
          <w:p>
            <w:pPr>
              <w:spacing w:line="230" w:lineRule="exact"/>
              <w:jc w:val="center"/>
              <w:rPr>
                <w:szCs w:val="21"/>
              </w:rPr>
            </w:pPr>
            <w:r>
              <w:rPr>
                <w:szCs w:val="21"/>
              </w:rPr>
              <w:t>采矿贫化率</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10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10</w:t>
            </w:r>
          </w:p>
        </w:tc>
        <w:tc>
          <w:tcPr>
            <w:tcW w:w="2192" w:type="dxa"/>
            <w:vAlign w:val="center"/>
          </w:tcPr>
          <w:p>
            <w:pPr>
              <w:spacing w:line="230" w:lineRule="exact"/>
              <w:jc w:val="center"/>
              <w:rPr>
                <w:szCs w:val="21"/>
              </w:rPr>
            </w:pPr>
            <w:r>
              <w:rPr>
                <w:szCs w:val="21"/>
              </w:rPr>
              <w:t>劳动定员</w:t>
            </w:r>
          </w:p>
        </w:tc>
        <w:tc>
          <w:tcPr>
            <w:tcW w:w="1100" w:type="dxa"/>
            <w:vAlign w:val="center"/>
          </w:tcPr>
          <w:p>
            <w:pPr>
              <w:spacing w:line="230" w:lineRule="exact"/>
              <w:jc w:val="center"/>
              <w:rPr>
                <w:szCs w:val="21"/>
              </w:rPr>
            </w:pPr>
            <w:r>
              <w:rPr>
                <w:szCs w:val="21"/>
              </w:rPr>
              <w:t>人</w:t>
            </w:r>
          </w:p>
        </w:tc>
        <w:tc>
          <w:tcPr>
            <w:tcW w:w="3253" w:type="dxa"/>
            <w:vAlign w:val="center"/>
          </w:tcPr>
          <w:p>
            <w:pPr>
              <w:spacing w:line="230" w:lineRule="exact"/>
              <w:jc w:val="center"/>
              <w:rPr>
                <w:szCs w:val="21"/>
              </w:rPr>
            </w:pPr>
            <w:r>
              <w:rPr>
                <w:szCs w:val="21"/>
              </w:rPr>
              <w:t>50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11</w:t>
            </w:r>
          </w:p>
        </w:tc>
        <w:tc>
          <w:tcPr>
            <w:tcW w:w="2192" w:type="dxa"/>
            <w:vAlign w:val="center"/>
          </w:tcPr>
          <w:p>
            <w:pPr>
              <w:spacing w:line="230" w:lineRule="exact"/>
              <w:jc w:val="center"/>
              <w:rPr>
                <w:szCs w:val="21"/>
              </w:rPr>
            </w:pPr>
            <w:r>
              <w:rPr>
                <w:szCs w:val="21"/>
              </w:rPr>
              <w:t>劳动生产率</w:t>
            </w:r>
          </w:p>
        </w:tc>
        <w:tc>
          <w:tcPr>
            <w:tcW w:w="1100" w:type="dxa"/>
            <w:vAlign w:val="center"/>
          </w:tcPr>
          <w:p>
            <w:pPr>
              <w:spacing w:line="230" w:lineRule="exact"/>
              <w:jc w:val="center"/>
              <w:rPr>
                <w:szCs w:val="21"/>
              </w:rPr>
            </w:pPr>
            <w:r>
              <w:rPr>
                <w:szCs w:val="21"/>
              </w:rPr>
              <w:t>t/人·a</w:t>
            </w:r>
          </w:p>
        </w:tc>
        <w:tc>
          <w:tcPr>
            <w:tcW w:w="3253" w:type="dxa"/>
            <w:vAlign w:val="center"/>
          </w:tcPr>
          <w:p>
            <w:pPr>
              <w:spacing w:line="230" w:lineRule="exact"/>
              <w:jc w:val="center"/>
              <w:rPr>
                <w:szCs w:val="21"/>
              </w:rPr>
            </w:pPr>
            <w:r>
              <w:rPr>
                <w:szCs w:val="21"/>
              </w:rPr>
              <w:t>3086</w:t>
            </w:r>
          </w:p>
        </w:tc>
        <w:tc>
          <w:tcPr>
            <w:tcW w:w="1335" w:type="dxa"/>
            <w:vAlign w:val="center"/>
          </w:tcPr>
          <w:p>
            <w:pPr>
              <w:spacing w:line="230" w:lineRule="exact"/>
              <w:jc w:val="center"/>
              <w:rPr>
                <w:szCs w:val="21"/>
              </w:rPr>
            </w:pPr>
            <w:r>
              <w:rPr>
                <w:szCs w:val="21"/>
              </w:rPr>
              <w:t>全 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二</w:t>
            </w:r>
          </w:p>
        </w:tc>
        <w:tc>
          <w:tcPr>
            <w:tcW w:w="2192" w:type="dxa"/>
            <w:vAlign w:val="center"/>
          </w:tcPr>
          <w:p>
            <w:pPr>
              <w:spacing w:line="230" w:lineRule="exact"/>
              <w:jc w:val="center"/>
              <w:rPr>
                <w:szCs w:val="21"/>
              </w:rPr>
            </w:pPr>
            <w:r>
              <w:rPr>
                <w:szCs w:val="21"/>
              </w:rPr>
              <w:t>500t/d选矿</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1</w:t>
            </w:r>
          </w:p>
        </w:tc>
        <w:tc>
          <w:tcPr>
            <w:tcW w:w="2192" w:type="dxa"/>
            <w:vAlign w:val="center"/>
          </w:tcPr>
          <w:p>
            <w:pPr>
              <w:spacing w:line="230" w:lineRule="exact"/>
              <w:jc w:val="center"/>
              <w:rPr>
                <w:szCs w:val="21"/>
              </w:rPr>
            </w:pPr>
            <w:r>
              <w:rPr>
                <w:szCs w:val="21"/>
              </w:rPr>
              <w:t>劳动定员及工作制度</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1.1</w:t>
            </w:r>
          </w:p>
        </w:tc>
        <w:tc>
          <w:tcPr>
            <w:tcW w:w="2192" w:type="dxa"/>
            <w:vAlign w:val="center"/>
          </w:tcPr>
          <w:p>
            <w:pPr>
              <w:spacing w:line="230" w:lineRule="exact"/>
              <w:jc w:val="center"/>
              <w:rPr>
                <w:szCs w:val="21"/>
              </w:rPr>
            </w:pPr>
            <w:r>
              <w:rPr>
                <w:szCs w:val="21"/>
              </w:rPr>
              <w:t>劳动定员</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r>
              <w:rPr>
                <w:szCs w:val="21"/>
              </w:rPr>
              <w:t>50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1.2</w:t>
            </w:r>
          </w:p>
        </w:tc>
        <w:tc>
          <w:tcPr>
            <w:tcW w:w="2192" w:type="dxa"/>
            <w:vAlign w:val="center"/>
          </w:tcPr>
          <w:p>
            <w:pPr>
              <w:spacing w:line="230" w:lineRule="exact"/>
              <w:jc w:val="center"/>
              <w:rPr>
                <w:szCs w:val="21"/>
              </w:rPr>
            </w:pPr>
            <w:r>
              <w:rPr>
                <w:szCs w:val="21"/>
              </w:rPr>
              <w:t>年工作日</w:t>
            </w:r>
          </w:p>
        </w:tc>
        <w:tc>
          <w:tcPr>
            <w:tcW w:w="1100" w:type="dxa"/>
            <w:vAlign w:val="center"/>
          </w:tcPr>
          <w:p>
            <w:pPr>
              <w:spacing w:line="230" w:lineRule="exact"/>
              <w:jc w:val="center"/>
              <w:rPr>
                <w:szCs w:val="21"/>
              </w:rPr>
            </w:pPr>
            <w:r>
              <w:rPr>
                <w:szCs w:val="21"/>
              </w:rPr>
              <w:t>d/a</w:t>
            </w:r>
          </w:p>
        </w:tc>
        <w:tc>
          <w:tcPr>
            <w:tcW w:w="3253" w:type="dxa"/>
            <w:vAlign w:val="center"/>
          </w:tcPr>
          <w:p>
            <w:pPr>
              <w:spacing w:line="230" w:lineRule="exact"/>
              <w:jc w:val="center"/>
              <w:rPr>
                <w:szCs w:val="21"/>
              </w:rPr>
            </w:pPr>
            <w:r>
              <w:rPr>
                <w:szCs w:val="21"/>
              </w:rPr>
              <w:t>300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2</w:t>
            </w:r>
          </w:p>
        </w:tc>
        <w:tc>
          <w:tcPr>
            <w:tcW w:w="2192" w:type="dxa"/>
            <w:vAlign w:val="center"/>
          </w:tcPr>
          <w:p>
            <w:pPr>
              <w:spacing w:line="230" w:lineRule="exact"/>
              <w:jc w:val="center"/>
              <w:rPr>
                <w:szCs w:val="21"/>
              </w:rPr>
            </w:pPr>
            <w:r>
              <w:rPr>
                <w:szCs w:val="21"/>
              </w:rPr>
              <w:t>选矿厂生产规模</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2.1</w:t>
            </w:r>
          </w:p>
        </w:tc>
        <w:tc>
          <w:tcPr>
            <w:tcW w:w="2192" w:type="dxa"/>
            <w:vAlign w:val="center"/>
          </w:tcPr>
          <w:p>
            <w:pPr>
              <w:spacing w:line="230" w:lineRule="exact"/>
              <w:jc w:val="center"/>
              <w:rPr>
                <w:szCs w:val="21"/>
              </w:rPr>
            </w:pPr>
            <w:r>
              <w:rPr>
                <w:szCs w:val="21"/>
              </w:rPr>
              <w:t>日规模</w:t>
            </w:r>
          </w:p>
        </w:tc>
        <w:tc>
          <w:tcPr>
            <w:tcW w:w="1100" w:type="dxa"/>
            <w:vAlign w:val="center"/>
          </w:tcPr>
          <w:p>
            <w:pPr>
              <w:spacing w:line="230" w:lineRule="exact"/>
              <w:jc w:val="center"/>
              <w:rPr>
                <w:szCs w:val="21"/>
              </w:rPr>
            </w:pPr>
            <w:r>
              <w:rPr>
                <w:szCs w:val="21"/>
              </w:rPr>
              <w:t>t/d</w:t>
            </w:r>
          </w:p>
        </w:tc>
        <w:tc>
          <w:tcPr>
            <w:tcW w:w="3253" w:type="dxa"/>
            <w:vAlign w:val="center"/>
          </w:tcPr>
          <w:p>
            <w:pPr>
              <w:spacing w:line="230" w:lineRule="exact"/>
              <w:jc w:val="center"/>
              <w:rPr>
                <w:szCs w:val="21"/>
              </w:rPr>
            </w:pPr>
            <w:r>
              <w:rPr>
                <w:szCs w:val="21"/>
              </w:rPr>
              <w:t>500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2.2</w:t>
            </w:r>
          </w:p>
        </w:tc>
        <w:tc>
          <w:tcPr>
            <w:tcW w:w="2192" w:type="dxa"/>
            <w:vAlign w:val="center"/>
          </w:tcPr>
          <w:p>
            <w:pPr>
              <w:spacing w:line="230" w:lineRule="exact"/>
              <w:jc w:val="center"/>
              <w:rPr>
                <w:szCs w:val="21"/>
              </w:rPr>
            </w:pPr>
            <w:r>
              <w:rPr>
                <w:szCs w:val="21"/>
              </w:rPr>
              <w:t>年规模</w:t>
            </w:r>
          </w:p>
        </w:tc>
        <w:tc>
          <w:tcPr>
            <w:tcW w:w="1100" w:type="dxa"/>
            <w:vAlign w:val="center"/>
          </w:tcPr>
          <w:p>
            <w:pPr>
              <w:spacing w:line="230" w:lineRule="exact"/>
              <w:jc w:val="center"/>
              <w:rPr>
                <w:szCs w:val="21"/>
              </w:rPr>
            </w:pPr>
            <w:r>
              <w:rPr>
                <w:szCs w:val="21"/>
              </w:rPr>
              <w:t>t/a</w:t>
            </w:r>
          </w:p>
        </w:tc>
        <w:tc>
          <w:tcPr>
            <w:tcW w:w="3253" w:type="dxa"/>
            <w:vAlign w:val="center"/>
          </w:tcPr>
          <w:p>
            <w:pPr>
              <w:spacing w:line="230" w:lineRule="exact"/>
              <w:jc w:val="center"/>
              <w:rPr>
                <w:szCs w:val="21"/>
              </w:rPr>
            </w:pPr>
            <w:r>
              <w:rPr>
                <w:szCs w:val="21"/>
              </w:rPr>
              <w:t>15.0×10</w:t>
            </w:r>
            <w:r>
              <w:rPr>
                <w:szCs w:val="21"/>
                <w:vertAlign w:val="superscript"/>
              </w:rPr>
              <w:t>4</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3</w:t>
            </w:r>
          </w:p>
        </w:tc>
        <w:tc>
          <w:tcPr>
            <w:tcW w:w="2192" w:type="dxa"/>
            <w:vAlign w:val="center"/>
          </w:tcPr>
          <w:p>
            <w:pPr>
              <w:spacing w:line="230" w:lineRule="exact"/>
              <w:jc w:val="center"/>
              <w:rPr>
                <w:szCs w:val="21"/>
              </w:rPr>
            </w:pPr>
            <w:r>
              <w:rPr>
                <w:szCs w:val="21"/>
              </w:rPr>
              <w:t>原矿入选品位</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3.1</w:t>
            </w:r>
          </w:p>
        </w:tc>
        <w:tc>
          <w:tcPr>
            <w:tcW w:w="2192" w:type="dxa"/>
            <w:vAlign w:val="center"/>
          </w:tcPr>
          <w:p>
            <w:pPr>
              <w:spacing w:line="230" w:lineRule="exact"/>
              <w:jc w:val="center"/>
              <w:rPr>
                <w:szCs w:val="21"/>
              </w:rPr>
            </w:pPr>
            <w:r>
              <w:rPr>
                <w:szCs w:val="21"/>
              </w:rPr>
              <w:t>铜</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0.29</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3.2</w:t>
            </w:r>
          </w:p>
        </w:tc>
        <w:tc>
          <w:tcPr>
            <w:tcW w:w="2192" w:type="dxa"/>
            <w:vAlign w:val="center"/>
          </w:tcPr>
          <w:p>
            <w:pPr>
              <w:spacing w:line="230" w:lineRule="exact"/>
              <w:jc w:val="center"/>
              <w:rPr>
                <w:szCs w:val="21"/>
              </w:rPr>
            </w:pPr>
            <w:r>
              <w:rPr>
                <w:szCs w:val="21"/>
              </w:rPr>
              <w:t>硫</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30.81</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4</w:t>
            </w:r>
          </w:p>
        </w:tc>
        <w:tc>
          <w:tcPr>
            <w:tcW w:w="2192" w:type="dxa"/>
            <w:vAlign w:val="center"/>
          </w:tcPr>
          <w:p>
            <w:pPr>
              <w:spacing w:line="230" w:lineRule="exact"/>
              <w:jc w:val="center"/>
              <w:rPr>
                <w:szCs w:val="21"/>
              </w:rPr>
            </w:pPr>
            <w:r>
              <w:rPr>
                <w:szCs w:val="21"/>
              </w:rPr>
              <w:t>精矿品位</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4.1</w:t>
            </w:r>
          </w:p>
        </w:tc>
        <w:tc>
          <w:tcPr>
            <w:tcW w:w="2192" w:type="dxa"/>
            <w:vAlign w:val="center"/>
          </w:tcPr>
          <w:p>
            <w:pPr>
              <w:spacing w:line="230" w:lineRule="exact"/>
              <w:jc w:val="center"/>
              <w:rPr>
                <w:szCs w:val="21"/>
              </w:rPr>
            </w:pPr>
            <w:r>
              <w:rPr>
                <w:szCs w:val="21"/>
              </w:rPr>
              <w:t>铜精矿</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11.50</w:t>
            </w:r>
          </w:p>
        </w:tc>
        <w:tc>
          <w:tcPr>
            <w:tcW w:w="1335" w:type="dxa"/>
            <w:vAlign w:val="center"/>
          </w:tcPr>
          <w:p>
            <w:pPr>
              <w:spacing w:line="230" w:lineRule="exact"/>
              <w:jc w:val="center"/>
              <w:rPr>
                <w:szCs w:val="21"/>
              </w:rPr>
            </w:pPr>
            <w:r>
              <w:rPr>
                <w:szCs w:val="21"/>
              </w:rPr>
              <w:t>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p>
        </w:tc>
        <w:tc>
          <w:tcPr>
            <w:tcW w:w="2192" w:type="dxa"/>
            <w:vAlign w:val="center"/>
          </w:tcPr>
          <w:p>
            <w:pPr>
              <w:spacing w:line="230" w:lineRule="exact"/>
              <w:jc w:val="center"/>
              <w:rPr>
                <w:szCs w:val="21"/>
              </w:rPr>
            </w:pPr>
          </w:p>
        </w:tc>
        <w:tc>
          <w:tcPr>
            <w:tcW w:w="1100" w:type="dxa"/>
            <w:vAlign w:val="center"/>
          </w:tcPr>
          <w:p>
            <w:pPr>
              <w:spacing w:line="230" w:lineRule="exact"/>
              <w:jc w:val="center"/>
              <w:rPr>
                <w:szCs w:val="21"/>
              </w:rPr>
            </w:pPr>
            <w:r>
              <w:rPr>
                <w:szCs w:val="21"/>
              </w:rPr>
              <w:t>g/t</w:t>
            </w:r>
          </w:p>
        </w:tc>
        <w:tc>
          <w:tcPr>
            <w:tcW w:w="3253" w:type="dxa"/>
            <w:vAlign w:val="center"/>
          </w:tcPr>
          <w:p>
            <w:pPr>
              <w:spacing w:line="230" w:lineRule="exact"/>
              <w:jc w:val="center"/>
              <w:rPr>
                <w:szCs w:val="21"/>
              </w:rPr>
            </w:pPr>
            <w:r>
              <w:rPr>
                <w:szCs w:val="21"/>
              </w:rPr>
              <w:t>14.37</w:t>
            </w:r>
          </w:p>
        </w:tc>
        <w:tc>
          <w:tcPr>
            <w:tcW w:w="1335" w:type="dxa"/>
            <w:vAlign w:val="center"/>
          </w:tcPr>
          <w:p>
            <w:pPr>
              <w:spacing w:line="230" w:lineRule="exact"/>
              <w:jc w:val="center"/>
              <w:rPr>
                <w:szCs w:val="21"/>
              </w:rPr>
            </w:pPr>
            <w:r>
              <w:rPr>
                <w:szCs w:val="21"/>
              </w:rPr>
              <w:t>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p>
        </w:tc>
        <w:tc>
          <w:tcPr>
            <w:tcW w:w="2192" w:type="dxa"/>
            <w:vAlign w:val="center"/>
          </w:tcPr>
          <w:p>
            <w:pPr>
              <w:spacing w:line="230" w:lineRule="exact"/>
              <w:jc w:val="center"/>
              <w:rPr>
                <w:szCs w:val="21"/>
              </w:rPr>
            </w:pPr>
          </w:p>
        </w:tc>
        <w:tc>
          <w:tcPr>
            <w:tcW w:w="1100" w:type="dxa"/>
            <w:vAlign w:val="center"/>
          </w:tcPr>
          <w:p>
            <w:pPr>
              <w:spacing w:line="230" w:lineRule="exact"/>
              <w:jc w:val="center"/>
              <w:rPr>
                <w:szCs w:val="21"/>
              </w:rPr>
            </w:pPr>
            <w:r>
              <w:rPr>
                <w:szCs w:val="21"/>
              </w:rPr>
              <w:t>g/t</w:t>
            </w:r>
          </w:p>
        </w:tc>
        <w:tc>
          <w:tcPr>
            <w:tcW w:w="3253" w:type="dxa"/>
            <w:vAlign w:val="center"/>
          </w:tcPr>
          <w:p>
            <w:pPr>
              <w:spacing w:line="230" w:lineRule="exact"/>
              <w:jc w:val="center"/>
              <w:rPr>
                <w:szCs w:val="21"/>
              </w:rPr>
            </w:pPr>
            <w:r>
              <w:rPr>
                <w:szCs w:val="21"/>
              </w:rPr>
              <w:t>171.55</w:t>
            </w:r>
          </w:p>
        </w:tc>
        <w:tc>
          <w:tcPr>
            <w:tcW w:w="1335" w:type="dxa"/>
            <w:vAlign w:val="center"/>
          </w:tcPr>
          <w:p>
            <w:pPr>
              <w:spacing w:line="230" w:lineRule="exact"/>
              <w:jc w:val="center"/>
              <w:rPr>
                <w:szCs w:val="21"/>
              </w:rPr>
            </w:pPr>
            <w:r>
              <w:rPr>
                <w:szCs w:val="21"/>
              </w:rPr>
              <w:t>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4.2</w:t>
            </w:r>
          </w:p>
        </w:tc>
        <w:tc>
          <w:tcPr>
            <w:tcW w:w="2192" w:type="dxa"/>
            <w:vAlign w:val="center"/>
          </w:tcPr>
          <w:p>
            <w:pPr>
              <w:spacing w:line="230" w:lineRule="exact"/>
              <w:jc w:val="center"/>
              <w:rPr>
                <w:szCs w:val="21"/>
              </w:rPr>
            </w:pPr>
            <w:r>
              <w:rPr>
                <w:szCs w:val="21"/>
              </w:rPr>
              <w:t>硫精矿</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47.60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5</w:t>
            </w:r>
          </w:p>
        </w:tc>
        <w:tc>
          <w:tcPr>
            <w:tcW w:w="2192" w:type="dxa"/>
            <w:vAlign w:val="center"/>
          </w:tcPr>
          <w:p>
            <w:pPr>
              <w:spacing w:line="230" w:lineRule="exact"/>
              <w:jc w:val="center"/>
              <w:rPr>
                <w:szCs w:val="21"/>
              </w:rPr>
            </w:pPr>
            <w:r>
              <w:rPr>
                <w:szCs w:val="21"/>
              </w:rPr>
              <w:t>尾矿品位</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5.1</w:t>
            </w:r>
          </w:p>
        </w:tc>
        <w:tc>
          <w:tcPr>
            <w:tcW w:w="2192" w:type="dxa"/>
            <w:vAlign w:val="center"/>
          </w:tcPr>
          <w:p>
            <w:pPr>
              <w:spacing w:line="230" w:lineRule="exact"/>
              <w:jc w:val="center"/>
              <w:rPr>
                <w:szCs w:val="21"/>
              </w:rPr>
            </w:pPr>
            <w:r>
              <w:rPr>
                <w:szCs w:val="21"/>
              </w:rPr>
              <w:t>铜</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0.15</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5.2</w:t>
            </w:r>
          </w:p>
        </w:tc>
        <w:tc>
          <w:tcPr>
            <w:tcW w:w="2192" w:type="dxa"/>
            <w:vAlign w:val="center"/>
          </w:tcPr>
          <w:p>
            <w:pPr>
              <w:spacing w:line="230" w:lineRule="exact"/>
              <w:jc w:val="center"/>
              <w:rPr>
                <w:szCs w:val="21"/>
              </w:rPr>
            </w:pPr>
            <w:r>
              <w:rPr>
                <w:szCs w:val="21"/>
              </w:rPr>
              <w:t>金</w:t>
            </w:r>
          </w:p>
        </w:tc>
        <w:tc>
          <w:tcPr>
            <w:tcW w:w="1100" w:type="dxa"/>
            <w:vAlign w:val="center"/>
          </w:tcPr>
          <w:p>
            <w:pPr>
              <w:spacing w:line="230" w:lineRule="exact"/>
              <w:jc w:val="center"/>
              <w:rPr>
                <w:szCs w:val="21"/>
              </w:rPr>
            </w:pPr>
            <w:r>
              <w:rPr>
                <w:szCs w:val="21"/>
              </w:rPr>
              <w:t>g/t</w:t>
            </w:r>
          </w:p>
        </w:tc>
        <w:tc>
          <w:tcPr>
            <w:tcW w:w="3253" w:type="dxa"/>
            <w:vAlign w:val="center"/>
          </w:tcPr>
          <w:p>
            <w:pPr>
              <w:spacing w:line="230" w:lineRule="exact"/>
              <w:jc w:val="center"/>
              <w:rPr>
                <w:szCs w:val="21"/>
              </w:rPr>
            </w:pPr>
            <w:r>
              <w:rPr>
                <w:szCs w:val="21"/>
              </w:rPr>
              <w:t>0.24</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6</w:t>
            </w:r>
          </w:p>
        </w:tc>
        <w:tc>
          <w:tcPr>
            <w:tcW w:w="2192" w:type="dxa"/>
            <w:vAlign w:val="center"/>
          </w:tcPr>
          <w:p>
            <w:pPr>
              <w:spacing w:line="230" w:lineRule="exact"/>
              <w:jc w:val="center"/>
              <w:rPr>
                <w:szCs w:val="21"/>
              </w:rPr>
            </w:pPr>
            <w:r>
              <w:rPr>
                <w:szCs w:val="21"/>
              </w:rPr>
              <w:t>精矿回收率</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6.1</w:t>
            </w:r>
          </w:p>
        </w:tc>
        <w:tc>
          <w:tcPr>
            <w:tcW w:w="2192" w:type="dxa"/>
            <w:vAlign w:val="center"/>
          </w:tcPr>
          <w:p>
            <w:pPr>
              <w:spacing w:line="230" w:lineRule="exact"/>
              <w:jc w:val="center"/>
              <w:rPr>
                <w:szCs w:val="21"/>
              </w:rPr>
            </w:pPr>
            <w:r>
              <w:rPr>
                <w:szCs w:val="21"/>
              </w:rPr>
              <w:t>铜</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80.00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6.2</w:t>
            </w:r>
          </w:p>
        </w:tc>
        <w:tc>
          <w:tcPr>
            <w:tcW w:w="2192" w:type="dxa"/>
            <w:vAlign w:val="center"/>
          </w:tcPr>
          <w:p>
            <w:pPr>
              <w:spacing w:line="230" w:lineRule="exact"/>
              <w:jc w:val="center"/>
              <w:rPr>
                <w:szCs w:val="21"/>
              </w:rPr>
            </w:pPr>
            <w:r>
              <w:rPr>
                <w:szCs w:val="21"/>
              </w:rPr>
              <w:t>硫</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87.50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7</w:t>
            </w:r>
          </w:p>
        </w:tc>
        <w:tc>
          <w:tcPr>
            <w:tcW w:w="2192" w:type="dxa"/>
            <w:vAlign w:val="center"/>
          </w:tcPr>
          <w:p>
            <w:pPr>
              <w:spacing w:line="230" w:lineRule="exact"/>
              <w:jc w:val="center"/>
              <w:rPr>
                <w:szCs w:val="21"/>
              </w:rPr>
            </w:pPr>
            <w:r>
              <w:rPr>
                <w:szCs w:val="21"/>
              </w:rPr>
              <w:t>精矿产量</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7.1</w:t>
            </w:r>
          </w:p>
        </w:tc>
        <w:tc>
          <w:tcPr>
            <w:tcW w:w="2192" w:type="dxa"/>
            <w:vAlign w:val="center"/>
          </w:tcPr>
          <w:p>
            <w:pPr>
              <w:spacing w:line="230" w:lineRule="exact"/>
              <w:jc w:val="center"/>
              <w:rPr>
                <w:szCs w:val="21"/>
              </w:rPr>
            </w:pPr>
            <w:r>
              <w:rPr>
                <w:szCs w:val="21"/>
              </w:rPr>
              <w:t>铜精矿产量</w:t>
            </w:r>
          </w:p>
        </w:tc>
        <w:tc>
          <w:tcPr>
            <w:tcW w:w="1100" w:type="dxa"/>
            <w:vAlign w:val="center"/>
          </w:tcPr>
          <w:p>
            <w:pPr>
              <w:spacing w:line="230" w:lineRule="exact"/>
              <w:jc w:val="center"/>
              <w:rPr>
                <w:szCs w:val="21"/>
              </w:rPr>
            </w:pPr>
            <w:r>
              <w:rPr>
                <w:szCs w:val="21"/>
              </w:rPr>
              <w:t>t/a</w:t>
            </w:r>
          </w:p>
        </w:tc>
        <w:tc>
          <w:tcPr>
            <w:tcW w:w="3253" w:type="dxa"/>
            <w:vAlign w:val="center"/>
          </w:tcPr>
          <w:p>
            <w:pPr>
              <w:spacing w:line="230" w:lineRule="exact"/>
              <w:jc w:val="center"/>
              <w:rPr>
                <w:szCs w:val="21"/>
              </w:rPr>
            </w:pPr>
            <w:r>
              <w:rPr>
                <w:szCs w:val="21"/>
              </w:rPr>
              <w:t>4975</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7.2</w:t>
            </w:r>
          </w:p>
        </w:tc>
        <w:tc>
          <w:tcPr>
            <w:tcW w:w="2192" w:type="dxa"/>
            <w:vAlign w:val="center"/>
          </w:tcPr>
          <w:p>
            <w:pPr>
              <w:spacing w:line="230" w:lineRule="exact"/>
              <w:jc w:val="center"/>
              <w:rPr>
                <w:szCs w:val="21"/>
              </w:rPr>
            </w:pPr>
            <w:r>
              <w:rPr>
                <w:szCs w:val="21"/>
              </w:rPr>
              <w:t>硫精矿产量</w:t>
            </w:r>
          </w:p>
        </w:tc>
        <w:tc>
          <w:tcPr>
            <w:tcW w:w="1100" w:type="dxa"/>
            <w:vAlign w:val="center"/>
          </w:tcPr>
          <w:p>
            <w:pPr>
              <w:spacing w:line="230" w:lineRule="exact"/>
              <w:jc w:val="center"/>
              <w:rPr>
                <w:szCs w:val="21"/>
              </w:rPr>
            </w:pPr>
            <w:r>
              <w:rPr>
                <w:szCs w:val="21"/>
              </w:rPr>
              <w:t>t/a</w:t>
            </w:r>
          </w:p>
        </w:tc>
        <w:tc>
          <w:tcPr>
            <w:tcW w:w="3253" w:type="dxa"/>
            <w:vAlign w:val="center"/>
          </w:tcPr>
          <w:p>
            <w:pPr>
              <w:spacing w:line="230" w:lineRule="exact"/>
              <w:jc w:val="center"/>
              <w:rPr>
                <w:szCs w:val="21"/>
              </w:rPr>
            </w:pPr>
            <w:r>
              <w:rPr>
                <w:szCs w:val="21"/>
              </w:rPr>
              <w:t>141600</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8</w:t>
            </w:r>
          </w:p>
        </w:tc>
        <w:tc>
          <w:tcPr>
            <w:tcW w:w="2192" w:type="dxa"/>
            <w:vAlign w:val="center"/>
          </w:tcPr>
          <w:p>
            <w:pPr>
              <w:spacing w:line="230" w:lineRule="exact"/>
              <w:jc w:val="center"/>
              <w:rPr>
                <w:szCs w:val="21"/>
              </w:rPr>
            </w:pPr>
            <w:r>
              <w:rPr>
                <w:szCs w:val="21"/>
              </w:rPr>
              <w:t>精矿产出率</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8.1</w:t>
            </w:r>
          </w:p>
        </w:tc>
        <w:tc>
          <w:tcPr>
            <w:tcW w:w="2192" w:type="dxa"/>
            <w:vAlign w:val="center"/>
          </w:tcPr>
          <w:p>
            <w:pPr>
              <w:spacing w:line="230" w:lineRule="exact"/>
              <w:jc w:val="center"/>
              <w:rPr>
                <w:szCs w:val="21"/>
              </w:rPr>
            </w:pPr>
            <w:r>
              <w:rPr>
                <w:szCs w:val="21"/>
              </w:rPr>
              <w:t>铜精矿精矿产出率</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1.99</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8.2</w:t>
            </w:r>
          </w:p>
        </w:tc>
        <w:tc>
          <w:tcPr>
            <w:tcW w:w="2192" w:type="dxa"/>
            <w:vAlign w:val="center"/>
          </w:tcPr>
          <w:p>
            <w:pPr>
              <w:spacing w:line="230" w:lineRule="exact"/>
              <w:jc w:val="center"/>
              <w:rPr>
                <w:szCs w:val="21"/>
              </w:rPr>
            </w:pPr>
            <w:r>
              <w:rPr>
                <w:szCs w:val="21"/>
              </w:rPr>
              <w:t>硫精矿精矿产出率</w:t>
            </w:r>
          </w:p>
        </w:tc>
        <w:tc>
          <w:tcPr>
            <w:tcW w:w="1100" w:type="dxa"/>
            <w:vAlign w:val="center"/>
          </w:tcPr>
          <w:p>
            <w:pPr>
              <w:spacing w:line="230" w:lineRule="exact"/>
              <w:jc w:val="center"/>
              <w:rPr>
                <w:szCs w:val="21"/>
              </w:rPr>
            </w:pPr>
            <w:r>
              <w:rPr>
                <w:szCs w:val="21"/>
              </w:rPr>
              <w:t>%</w:t>
            </w:r>
          </w:p>
        </w:tc>
        <w:tc>
          <w:tcPr>
            <w:tcW w:w="3253" w:type="dxa"/>
            <w:vAlign w:val="center"/>
          </w:tcPr>
          <w:p>
            <w:pPr>
              <w:spacing w:line="230" w:lineRule="exact"/>
              <w:jc w:val="center"/>
              <w:rPr>
                <w:szCs w:val="21"/>
              </w:rPr>
            </w:pPr>
            <w:r>
              <w:rPr>
                <w:szCs w:val="21"/>
              </w:rPr>
              <w:t>56.64</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三</w:t>
            </w:r>
          </w:p>
        </w:tc>
        <w:tc>
          <w:tcPr>
            <w:tcW w:w="2192" w:type="dxa"/>
            <w:vAlign w:val="center"/>
          </w:tcPr>
          <w:p>
            <w:pPr>
              <w:spacing w:line="230" w:lineRule="exact"/>
              <w:jc w:val="center"/>
              <w:rPr>
                <w:szCs w:val="21"/>
              </w:rPr>
            </w:pPr>
            <w:r>
              <w:rPr>
                <w:szCs w:val="21"/>
              </w:rPr>
              <w:t>经济指标</w:t>
            </w:r>
          </w:p>
        </w:tc>
        <w:tc>
          <w:tcPr>
            <w:tcW w:w="1100" w:type="dxa"/>
            <w:vAlign w:val="center"/>
          </w:tcPr>
          <w:p>
            <w:pPr>
              <w:spacing w:line="230" w:lineRule="exact"/>
              <w:jc w:val="center"/>
              <w:rPr>
                <w:szCs w:val="21"/>
              </w:rPr>
            </w:pPr>
          </w:p>
        </w:tc>
        <w:tc>
          <w:tcPr>
            <w:tcW w:w="3253" w:type="dxa"/>
            <w:vAlign w:val="center"/>
          </w:tcPr>
          <w:p>
            <w:pPr>
              <w:spacing w:line="230" w:lineRule="exact"/>
              <w:jc w:val="center"/>
              <w:rPr>
                <w:szCs w:val="21"/>
              </w:rPr>
            </w:pP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1</w:t>
            </w:r>
          </w:p>
        </w:tc>
        <w:tc>
          <w:tcPr>
            <w:tcW w:w="2192" w:type="dxa"/>
            <w:vAlign w:val="center"/>
          </w:tcPr>
          <w:p>
            <w:pPr>
              <w:spacing w:line="230" w:lineRule="exact"/>
              <w:jc w:val="center"/>
              <w:rPr>
                <w:szCs w:val="21"/>
              </w:rPr>
            </w:pPr>
            <w:r>
              <w:rPr>
                <w:szCs w:val="21"/>
              </w:rPr>
              <w:t>估算投资</w:t>
            </w:r>
          </w:p>
        </w:tc>
        <w:tc>
          <w:tcPr>
            <w:tcW w:w="1100" w:type="dxa"/>
            <w:vAlign w:val="center"/>
          </w:tcPr>
          <w:p>
            <w:pPr>
              <w:spacing w:line="230" w:lineRule="exact"/>
              <w:jc w:val="center"/>
              <w:rPr>
                <w:szCs w:val="21"/>
              </w:rPr>
            </w:pPr>
            <w:r>
              <w:rPr>
                <w:szCs w:val="21"/>
              </w:rPr>
              <w:t>万元</w:t>
            </w:r>
          </w:p>
        </w:tc>
        <w:tc>
          <w:tcPr>
            <w:tcW w:w="3253" w:type="dxa"/>
            <w:vAlign w:val="center"/>
          </w:tcPr>
          <w:p>
            <w:pPr>
              <w:spacing w:line="230" w:lineRule="exact"/>
              <w:jc w:val="center"/>
              <w:rPr>
                <w:szCs w:val="21"/>
              </w:rPr>
            </w:pPr>
            <w:r>
              <w:rPr>
                <w:szCs w:val="21"/>
              </w:rPr>
              <w:t>46446.09</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2</w:t>
            </w:r>
          </w:p>
        </w:tc>
        <w:tc>
          <w:tcPr>
            <w:tcW w:w="2192" w:type="dxa"/>
            <w:vAlign w:val="center"/>
          </w:tcPr>
          <w:p>
            <w:pPr>
              <w:spacing w:line="230" w:lineRule="exact"/>
              <w:jc w:val="center"/>
              <w:rPr>
                <w:szCs w:val="21"/>
              </w:rPr>
            </w:pPr>
            <w:r>
              <w:rPr>
                <w:szCs w:val="21"/>
              </w:rPr>
              <w:t>销售收入</w:t>
            </w:r>
          </w:p>
        </w:tc>
        <w:tc>
          <w:tcPr>
            <w:tcW w:w="1100" w:type="dxa"/>
            <w:vAlign w:val="center"/>
          </w:tcPr>
          <w:p>
            <w:pPr>
              <w:spacing w:line="230" w:lineRule="exact"/>
              <w:jc w:val="center"/>
              <w:rPr>
                <w:szCs w:val="21"/>
              </w:rPr>
            </w:pPr>
            <w:r>
              <w:rPr>
                <w:szCs w:val="21"/>
              </w:rPr>
              <w:t>万元/年</w:t>
            </w:r>
          </w:p>
        </w:tc>
        <w:tc>
          <w:tcPr>
            <w:tcW w:w="3253" w:type="dxa"/>
            <w:vAlign w:val="center"/>
          </w:tcPr>
          <w:p>
            <w:pPr>
              <w:spacing w:line="230" w:lineRule="exact"/>
              <w:jc w:val="center"/>
              <w:rPr>
                <w:szCs w:val="21"/>
              </w:rPr>
            </w:pPr>
            <w:r>
              <w:rPr>
                <w:szCs w:val="21"/>
              </w:rPr>
              <w:t>26310.1</w:t>
            </w:r>
          </w:p>
        </w:tc>
        <w:tc>
          <w:tcPr>
            <w:tcW w:w="1335" w:type="dxa"/>
            <w:vAlign w:val="center"/>
          </w:tcPr>
          <w:p>
            <w:pPr>
              <w:spacing w:line="23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48" w:type="dxa"/>
            <w:vAlign w:val="center"/>
          </w:tcPr>
          <w:p>
            <w:pPr>
              <w:spacing w:line="230" w:lineRule="exact"/>
              <w:jc w:val="center"/>
              <w:rPr>
                <w:szCs w:val="21"/>
              </w:rPr>
            </w:pPr>
            <w:r>
              <w:rPr>
                <w:szCs w:val="21"/>
              </w:rPr>
              <w:t>3</w:t>
            </w:r>
          </w:p>
        </w:tc>
        <w:tc>
          <w:tcPr>
            <w:tcW w:w="2192" w:type="dxa"/>
            <w:vAlign w:val="center"/>
          </w:tcPr>
          <w:p>
            <w:pPr>
              <w:spacing w:line="230" w:lineRule="exact"/>
              <w:jc w:val="center"/>
              <w:rPr>
                <w:szCs w:val="21"/>
              </w:rPr>
            </w:pPr>
            <w:r>
              <w:rPr>
                <w:szCs w:val="21"/>
              </w:rPr>
              <w:t>净利润</w:t>
            </w:r>
          </w:p>
        </w:tc>
        <w:tc>
          <w:tcPr>
            <w:tcW w:w="1100" w:type="dxa"/>
            <w:vAlign w:val="center"/>
          </w:tcPr>
          <w:p>
            <w:pPr>
              <w:spacing w:line="230" w:lineRule="exact"/>
              <w:jc w:val="center"/>
              <w:rPr>
                <w:szCs w:val="21"/>
              </w:rPr>
            </w:pPr>
            <w:r>
              <w:rPr>
                <w:szCs w:val="21"/>
              </w:rPr>
              <w:t>万元/年</w:t>
            </w:r>
          </w:p>
        </w:tc>
        <w:tc>
          <w:tcPr>
            <w:tcW w:w="3253" w:type="dxa"/>
            <w:vAlign w:val="center"/>
          </w:tcPr>
          <w:p>
            <w:pPr>
              <w:spacing w:line="230" w:lineRule="exact"/>
              <w:jc w:val="center"/>
              <w:rPr>
                <w:szCs w:val="21"/>
              </w:rPr>
            </w:pPr>
            <w:r>
              <w:rPr>
                <w:szCs w:val="21"/>
              </w:rPr>
              <w:t>10603</w:t>
            </w:r>
          </w:p>
        </w:tc>
        <w:tc>
          <w:tcPr>
            <w:tcW w:w="1335" w:type="dxa"/>
            <w:vAlign w:val="center"/>
          </w:tcPr>
          <w:p>
            <w:pPr>
              <w:spacing w:line="230" w:lineRule="exact"/>
              <w:jc w:val="center"/>
              <w:rPr>
                <w:szCs w:val="21"/>
              </w:rPr>
            </w:pPr>
          </w:p>
        </w:tc>
      </w:tr>
    </w:tbl>
    <w:p>
      <w:pPr>
        <w:pStyle w:val="74"/>
        <w:spacing w:beforeLines="50"/>
      </w:pPr>
      <w:bookmarkStart w:id="298" w:name="_Toc470358676"/>
      <w:r>
        <w:t>2.2.5劳动定员和工作制度</w:t>
      </w:r>
      <w:bookmarkEnd w:id="298"/>
    </w:p>
    <w:p>
      <w:pPr>
        <w:pStyle w:val="88"/>
        <w:spacing w:line="360" w:lineRule="auto"/>
        <w:rPr>
          <w:color w:val="auto"/>
        </w:rPr>
      </w:pPr>
      <w:r>
        <w:rPr>
          <w:color w:val="auto"/>
        </w:rPr>
        <w:t xml:space="preserve">    扩建项目劳动定员100人，其中矿山50人，采矿50人。企业年度生产日取定为300d，其余为停产检修设备时间。主生产车间的工作制度实行日3班、每班8h连续作业。各职能部门均实行8h工作制。</w:t>
      </w:r>
    </w:p>
    <w:p>
      <w:pPr>
        <w:pStyle w:val="88"/>
        <w:spacing w:line="360" w:lineRule="auto"/>
        <w:rPr>
          <w:color w:val="auto"/>
        </w:rPr>
      </w:pPr>
    </w:p>
    <w:p>
      <w:pPr>
        <w:pStyle w:val="88"/>
        <w:spacing w:line="360" w:lineRule="auto"/>
        <w:rPr>
          <w:color w:val="auto"/>
        </w:rPr>
      </w:pPr>
    </w:p>
    <w:p>
      <w:pPr>
        <w:pStyle w:val="88"/>
        <w:spacing w:line="360" w:lineRule="auto"/>
        <w:rPr>
          <w:color w:val="auto"/>
        </w:rPr>
      </w:pPr>
    </w:p>
    <w:p>
      <w:pPr>
        <w:pStyle w:val="88"/>
        <w:spacing w:line="360" w:lineRule="auto"/>
        <w:rPr>
          <w:color w:val="auto"/>
        </w:rPr>
      </w:pPr>
    </w:p>
    <w:p>
      <w:pPr>
        <w:pStyle w:val="88"/>
        <w:spacing w:line="360" w:lineRule="auto"/>
        <w:rPr>
          <w:color w:val="auto"/>
        </w:rPr>
      </w:pPr>
    </w:p>
    <w:bookmarkEnd w:id="293"/>
    <w:bookmarkEnd w:id="294"/>
    <w:bookmarkEnd w:id="295"/>
    <w:bookmarkEnd w:id="296"/>
    <w:bookmarkEnd w:id="297"/>
    <w:p>
      <w:pPr>
        <w:spacing w:line="360" w:lineRule="auto"/>
        <w:ind w:firstLine="525" w:firstLineChars="250"/>
      </w:pPr>
      <w:bookmarkStart w:id="299" w:name="_Toc420663650"/>
      <w:bookmarkStart w:id="300" w:name="_Toc370112126"/>
      <w:bookmarkStart w:id="301" w:name="_Toc407153467"/>
      <w:bookmarkStart w:id="302" w:name="_Toc406504185"/>
      <w:bookmarkStart w:id="303" w:name="_Toc407217333"/>
      <w:bookmarkStart w:id="304" w:name="_Toc173284080"/>
      <w:bookmarkStart w:id="305" w:name="_Toc370112121"/>
      <w:bookmarkStart w:id="306" w:name="_Toc173147931"/>
    </w:p>
    <w:p/>
    <w:p/>
    <w:p/>
    <w:p/>
    <w:p/>
    <w:p/>
    <w:p/>
    <w:p/>
    <w:p/>
    <w:p>
      <w:pPr>
        <w:tabs>
          <w:tab w:val="left" w:pos="1766"/>
        </w:tabs>
        <w:sectPr>
          <w:headerReference r:id="rId10" w:type="default"/>
          <w:footerReference r:id="rId11" w:type="default"/>
          <w:pgSz w:w="11906" w:h="16838"/>
          <w:pgMar w:top="1440" w:right="1797" w:bottom="1440" w:left="1797" w:header="851" w:footer="992" w:gutter="0"/>
          <w:cols w:space="425" w:num="1"/>
          <w:docGrid w:linePitch="312" w:charSpace="0"/>
        </w:sectPr>
      </w:pPr>
      <w:r>
        <w:tab/>
      </w:r>
    </w:p>
    <w:p>
      <w:pPr>
        <w:pStyle w:val="79"/>
        <w:spacing w:after="240"/>
        <w:rPr>
          <w:sz w:val="24"/>
        </w:rPr>
      </w:pPr>
      <w:bookmarkStart w:id="307" w:name="_Toc488578904"/>
      <w:bookmarkStart w:id="308" w:name="_Toc470358679"/>
      <w:r>
        <w:t>第三章  环境影响报告书回顾</w:t>
      </w:r>
      <w:bookmarkEnd w:id="299"/>
      <w:bookmarkEnd w:id="300"/>
      <w:bookmarkEnd w:id="301"/>
      <w:bookmarkEnd w:id="302"/>
      <w:bookmarkEnd w:id="303"/>
      <w:bookmarkEnd w:id="307"/>
      <w:bookmarkEnd w:id="308"/>
    </w:p>
    <w:p>
      <w:pPr>
        <w:pStyle w:val="3"/>
        <w:spacing w:before="0" w:after="0"/>
        <w:rPr>
          <w:rFonts w:ascii="Times New Roman" w:hAnsi="Times New Roman"/>
        </w:rPr>
      </w:pPr>
      <w:bookmarkStart w:id="309" w:name="_Toc420663651"/>
      <w:bookmarkStart w:id="310" w:name="_Toc470358680"/>
      <w:bookmarkStart w:id="311" w:name="_Toc407217334"/>
      <w:bookmarkStart w:id="312" w:name="_Toc407153468"/>
      <w:bookmarkStart w:id="313" w:name="_Toc488578905"/>
      <w:bookmarkStart w:id="314" w:name="_Toc406504186"/>
      <w:bookmarkStart w:id="315" w:name="_Toc370112127"/>
      <w:r>
        <w:rPr>
          <w:rFonts w:ascii="Times New Roman" w:hAnsi="Times New Roman"/>
        </w:rPr>
        <w:t>3.1 环境影响评价结论</w:t>
      </w:r>
      <w:bookmarkEnd w:id="309"/>
      <w:bookmarkEnd w:id="310"/>
      <w:bookmarkEnd w:id="311"/>
      <w:bookmarkEnd w:id="312"/>
      <w:bookmarkEnd w:id="313"/>
      <w:bookmarkEnd w:id="314"/>
      <w:bookmarkEnd w:id="315"/>
    </w:p>
    <w:p>
      <w:pPr>
        <w:autoSpaceDE w:val="0"/>
        <w:autoSpaceDN w:val="0"/>
        <w:spacing w:line="360" w:lineRule="auto"/>
        <w:ind w:firstLine="600" w:firstLineChars="250"/>
        <w:rPr>
          <w:sz w:val="24"/>
        </w:rPr>
      </w:pPr>
      <w:r>
        <w:rPr>
          <w:rFonts w:eastAsia="汉鼎简书宋"/>
          <w:sz w:val="24"/>
        </w:rPr>
        <w:t>灵宝金源晨光有色矿冶有限公司于2012年6月委托山东省煤田地质规划勘察研究院编制《灵宝金源晨光有色矿冶有限公司银家沟硫铁矿综合回收扩建工程项目环境影响报告书》，</w:t>
      </w:r>
      <w:r>
        <w:rPr>
          <w:sz w:val="24"/>
        </w:rPr>
        <w:t>2013年5月31日以[2013]250号对《灵宝金源晨光有色矿冶有限公司银家沟硫铁矿综合回收扩建工程项目环境影响报告书》进行了批复</w:t>
      </w:r>
      <w:r>
        <w:rPr>
          <w:rFonts w:eastAsia="汉鼎简书宋"/>
          <w:sz w:val="24"/>
        </w:rPr>
        <w:t>。</w:t>
      </w:r>
      <w:r>
        <w:rPr>
          <w:sz w:val="24"/>
        </w:rPr>
        <w:t>目前工程已全面建设完成，处于试生产状态。</w:t>
      </w:r>
    </w:p>
    <w:p>
      <w:pPr>
        <w:spacing w:line="360" w:lineRule="auto"/>
        <w:ind w:firstLine="480" w:firstLineChars="200"/>
        <w:rPr>
          <w:sz w:val="24"/>
        </w:rPr>
      </w:pPr>
      <w:r>
        <w:rPr>
          <w:sz w:val="24"/>
        </w:rPr>
        <w:t>该报告书根据环境保护法律法规，通过对本采矿项目工程的认真分析和评价，得出了相应的评价结论。</w:t>
      </w:r>
    </w:p>
    <w:p>
      <w:pPr>
        <w:pStyle w:val="10"/>
        <w:spacing w:line="360" w:lineRule="auto"/>
        <w:rPr>
          <w:rFonts w:ascii="Times New Roman" w:hAnsi="Times New Roman"/>
        </w:rPr>
      </w:pPr>
      <w:bookmarkStart w:id="316" w:name="_Toc420663652"/>
      <w:bookmarkStart w:id="317" w:name="_Toc406504187"/>
      <w:bookmarkStart w:id="318" w:name="_Toc407153469"/>
      <w:bookmarkStart w:id="319" w:name="_Toc407217335"/>
      <w:r>
        <w:rPr>
          <w:rFonts w:ascii="Times New Roman" w:hAnsi="Times New Roman"/>
        </w:rPr>
        <w:t>3.1.1产业政策符合性结论</w:t>
      </w:r>
      <w:bookmarkEnd w:id="316"/>
      <w:bookmarkEnd w:id="317"/>
      <w:bookmarkEnd w:id="318"/>
      <w:bookmarkEnd w:id="319"/>
    </w:p>
    <w:p>
      <w:pPr>
        <w:spacing w:beforeLines="50" w:line="360" w:lineRule="auto"/>
        <w:ind w:firstLine="480" w:firstLineChars="200"/>
        <w:rPr>
          <w:sz w:val="24"/>
        </w:rPr>
      </w:pPr>
      <w:bookmarkStart w:id="320" w:name="_Toc407217336"/>
      <w:bookmarkStart w:id="321" w:name="_Toc420663653"/>
      <w:bookmarkStart w:id="322" w:name="_Toc230236244"/>
      <w:bookmarkStart w:id="323" w:name="_Toc406504188"/>
      <w:bookmarkStart w:id="324" w:name="_Toc407153470"/>
      <w:bookmarkStart w:id="325" w:name="_Toc230234617"/>
      <w:r>
        <w:rPr>
          <w:sz w:val="24"/>
        </w:rPr>
        <w:t>本项目属于非金属采选类项目，主要生产设备和工艺不在《产业结构调整指导目录(2011年本》（2013年修订）中鼓励、限制、淘汰类范围内，属允许建设项目。对照工信部《高耗能落后机电设备（产品）淘汰目录（第一批）》公告（工节［2009］第67号）、《高耗能落后机电设备（产品）淘汰目录（第二批）》（2012年第14号）、《高耗能落后机电设备（产品）淘汰目录（第三批）》、（2014年第16号）《高耗能落后机电设备（产品）淘汰目录（第四批）》（2016年3月14日）。本项目符合国家产业政策。</w:t>
      </w:r>
    </w:p>
    <w:p>
      <w:pPr>
        <w:pStyle w:val="10"/>
        <w:spacing w:line="360" w:lineRule="auto"/>
        <w:rPr>
          <w:rFonts w:ascii="Times New Roman" w:hAnsi="Times New Roman"/>
        </w:rPr>
      </w:pPr>
      <w:r>
        <w:rPr>
          <w:rFonts w:ascii="Times New Roman" w:hAnsi="Times New Roman"/>
        </w:rPr>
        <w:t>3.1.2 选址合理性分析</w:t>
      </w:r>
      <w:bookmarkEnd w:id="320"/>
      <w:bookmarkEnd w:id="321"/>
      <w:bookmarkEnd w:id="322"/>
      <w:bookmarkEnd w:id="323"/>
      <w:bookmarkEnd w:id="324"/>
      <w:bookmarkEnd w:id="325"/>
    </w:p>
    <w:p>
      <w:pPr>
        <w:pStyle w:val="132"/>
        <w:ind w:firstLine="480"/>
        <w:rPr>
          <w:rFonts w:ascii="Times New Roman" w:hAnsi="Times New Roman" w:cs="Times New Roman"/>
        </w:rPr>
      </w:pPr>
      <w:bookmarkStart w:id="326" w:name="_Toc230234618"/>
      <w:bookmarkStart w:id="327" w:name="_Toc407153471"/>
      <w:bookmarkStart w:id="328" w:name="_Toc406504189"/>
      <w:bookmarkStart w:id="329" w:name="_Toc230236245"/>
      <w:bookmarkStart w:id="330" w:name="_Toc407217337"/>
      <w:bookmarkStart w:id="331" w:name="_Toc420663654"/>
      <w:r>
        <w:rPr>
          <w:rFonts w:ascii="Times New Roman" w:hAnsi="Times New Roman" w:eastAsia="宋体" w:cs="Times New Roman"/>
          <w:szCs w:val="24"/>
        </w:rPr>
        <w:t>本项目位于灵宝市朱阳镇银家沟，占地为现状和规划中的采矿用地，不属于不存在自然保护区、风景名胜区，500m范围内没有工矿企业、大型水源地、水产基地、大型居民区、下游无全国和省重点保护名胜古迹。项目区地质条件良好，具有项目建设的有利地形地质条件。项目区域资源条件和交通条件优越。废石、尾矿为第Ⅰ类一般工业固体废物，废石堆场和尾矿库均选址符合《一般工业固体废物贮存、处置场污染控制标准》(GBl8599—2001)及修改单要求。</w:t>
      </w:r>
    </w:p>
    <w:p>
      <w:pPr>
        <w:pStyle w:val="10"/>
        <w:spacing w:line="360" w:lineRule="auto"/>
        <w:rPr>
          <w:rFonts w:ascii="Times New Roman" w:hAnsi="Times New Roman"/>
        </w:rPr>
      </w:pPr>
      <w:r>
        <w:rPr>
          <w:rFonts w:ascii="Times New Roman" w:hAnsi="Times New Roman"/>
        </w:rPr>
        <w:t>3.1.3 环境质量现状评价结论</w:t>
      </w:r>
      <w:bookmarkEnd w:id="326"/>
      <w:bookmarkEnd w:id="327"/>
      <w:bookmarkEnd w:id="328"/>
      <w:bookmarkEnd w:id="329"/>
      <w:bookmarkEnd w:id="330"/>
      <w:bookmarkEnd w:id="331"/>
    </w:p>
    <w:p>
      <w:pPr>
        <w:pStyle w:val="132"/>
        <w:ind w:firstLine="480"/>
        <w:rPr>
          <w:rFonts w:ascii="Times New Roman" w:hAnsi="Times New Roman" w:eastAsia="宋体" w:cs="Times New Roman"/>
          <w:szCs w:val="24"/>
        </w:rPr>
      </w:pPr>
      <w:bookmarkStart w:id="332" w:name="_Toc180680658"/>
      <w:bookmarkStart w:id="333" w:name="_Toc181088982"/>
      <w:bookmarkStart w:id="334" w:name="_Toc181089388"/>
      <w:bookmarkStart w:id="335" w:name="_Toc181090667"/>
      <w:bookmarkStart w:id="336" w:name="_Toc187038867"/>
      <w:bookmarkStart w:id="337" w:name="_Toc183091616"/>
      <w:bookmarkStart w:id="338" w:name="_Toc211245928"/>
      <w:bookmarkStart w:id="339" w:name="_Toc206608574"/>
      <w:bookmarkStart w:id="340" w:name="_Toc420663655"/>
      <w:bookmarkStart w:id="341" w:name="_Toc407153472"/>
      <w:bookmarkStart w:id="342" w:name="_Toc407217338"/>
      <w:bookmarkStart w:id="343" w:name="_Toc230234619"/>
      <w:bookmarkStart w:id="344" w:name="_Toc230236246"/>
      <w:bookmarkStart w:id="345" w:name="_Toc406504190"/>
      <w:r>
        <w:rPr>
          <w:rFonts w:ascii="Times New Roman" w:hAnsi="Times New Roman" w:eastAsia="宋体" w:cs="Times New Roman"/>
          <w:szCs w:val="24"/>
        </w:rPr>
        <w:t>1、环境空气质量现状</w:t>
      </w:r>
      <w:bookmarkEnd w:id="332"/>
      <w:bookmarkEnd w:id="333"/>
      <w:bookmarkEnd w:id="334"/>
      <w:bookmarkEnd w:id="335"/>
      <w:bookmarkEnd w:id="336"/>
      <w:bookmarkEnd w:id="337"/>
    </w:p>
    <w:p>
      <w:pPr>
        <w:spacing w:line="360" w:lineRule="auto"/>
        <w:ind w:firstLine="480" w:firstLineChars="200"/>
        <w:rPr>
          <w:sz w:val="24"/>
        </w:rPr>
      </w:pPr>
      <w:r>
        <w:rPr>
          <w:sz w:val="24"/>
        </w:rPr>
        <w:t>该评价区域内所监测的3个点位中，TSP、NO</w:t>
      </w:r>
      <w:r>
        <w:rPr>
          <w:sz w:val="24"/>
          <w:vertAlign w:val="subscript"/>
        </w:rPr>
        <w:t>2</w:t>
      </w:r>
      <w:r>
        <w:rPr>
          <w:sz w:val="24"/>
        </w:rPr>
        <w:t>、SO</w:t>
      </w:r>
      <w:r>
        <w:rPr>
          <w:sz w:val="24"/>
          <w:vertAlign w:val="subscript"/>
        </w:rPr>
        <w:t>2</w:t>
      </w:r>
      <w:r>
        <w:rPr>
          <w:sz w:val="24"/>
        </w:rPr>
        <w:t>日平均浓度、1小时平均浓度和TSP日平均浓度均达到了《环境空气质量标准》(GB3095-1996)二级标准要求，达标率100%。</w:t>
      </w:r>
    </w:p>
    <w:p>
      <w:pPr>
        <w:pStyle w:val="132"/>
        <w:ind w:firstLine="480"/>
        <w:rPr>
          <w:rFonts w:ascii="Times New Roman" w:hAnsi="Times New Roman" w:eastAsia="宋体" w:cs="Times New Roman"/>
          <w:szCs w:val="24"/>
        </w:rPr>
      </w:pPr>
      <w:bookmarkStart w:id="346" w:name="_Toc180680659"/>
      <w:bookmarkStart w:id="347" w:name="_Toc187038868"/>
      <w:bookmarkStart w:id="348" w:name="_Toc181088983"/>
      <w:bookmarkStart w:id="349" w:name="_Toc183091617"/>
      <w:bookmarkStart w:id="350" w:name="_Toc181090668"/>
      <w:bookmarkStart w:id="351" w:name="_Toc181089389"/>
      <w:r>
        <w:rPr>
          <w:rFonts w:ascii="Times New Roman" w:hAnsi="Times New Roman" w:eastAsia="宋体" w:cs="Times New Roman"/>
          <w:szCs w:val="24"/>
        </w:rPr>
        <w:t>2、地表水环境质量现状</w:t>
      </w:r>
      <w:bookmarkEnd w:id="346"/>
      <w:bookmarkEnd w:id="347"/>
      <w:bookmarkEnd w:id="348"/>
      <w:bookmarkEnd w:id="349"/>
      <w:bookmarkEnd w:id="350"/>
      <w:bookmarkEnd w:id="351"/>
    </w:p>
    <w:p>
      <w:pPr>
        <w:pStyle w:val="133"/>
        <w:ind w:firstLine="480"/>
        <w:rPr>
          <w:rFonts w:ascii="Times New Roman" w:hAnsi="Times New Roman" w:eastAsia="宋体" w:cs="Times New Roman"/>
          <w:szCs w:val="24"/>
        </w:rPr>
      </w:pPr>
      <w:r>
        <w:rPr>
          <w:rFonts w:ascii="Times New Roman" w:hAnsi="Times New Roman" w:eastAsia="宋体" w:cs="Times New Roman"/>
          <w:szCs w:val="24"/>
        </w:rPr>
        <w:t>在所监测的8个断面16项监测指标中，各项因子指标中均能满足《地表水环境质量标准》（GB3838-2002）中Ⅲ类标准要求，说明区域地表水现状水质较好。达到了水环境功能区划的要求。</w:t>
      </w:r>
    </w:p>
    <w:p>
      <w:pPr>
        <w:pStyle w:val="132"/>
        <w:ind w:firstLine="480"/>
        <w:rPr>
          <w:rFonts w:ascii="Times New Roman" w:hAnsi="Times New Roman" w:eastAsia="宋体" w:cs="Times New Roman"/>
          <w:szCs w:val="24"/>
        </w:rPr>
      </w:pPr>
      <w:r>
        <w:rPr>
          <w:rFonts w:ascii="Times New Roman" w:hAnsi="Times New Roman" w:eastAsia="宋体" w:cs="Times New Roman"/>
          <w:szCs w:val="24"/>
        </w:rPr>
        <w:t>3、地下水环境质量现状</w:t>
      </w:r>
    </w:p>
    <w:p>
      <w:pPr>
        <w:pStyle w:val="133"/>
        <w:ind w:firstLine="480"/>
        <w:rPr>
          <w:rFonts w:ascii="Times New Roman" w:hAnsi="Times New Roman" w:eastAsia="宋体" w:cs="Times New Roman"/>
          <w:szCs w:val="24"/>
        </w:rPr>
      </w:pPr>
      <w:r>
        <w:rPr>
          <w:rFonts w:ascii="Times New Roman" w:hAnsi="Times New Roman" w:eastAsia="宋体" w:cs="Times New Roman"/>
          <w:szCs w:val="24"/>
        </w:rPr>
        <w:t>在所监测的5个点位中各项因子指标中均能满足《地下水环境质量标准》（GB/T14848-93）</w:t>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 3 \* ROMAN </w:instrText>
      </w:r>
      <w:r>
        <w:rPr>
          <w:rFonts w:ascii="Times New Roman" w:hAnsi="Times New Roman" w:eastAsia="宋体" w:cs="Times New Roman"/>
          <w:szCs w:val="24"/>
        </w:rPr>
        <w:fldChar w:fldCharType="separate"/>
      </w:r>
      <w:r>
        <w:rPr>
          <w:rFonts w:ascii="Times New Roman" w:hAnsi="Times New Roman" w:eastAsia="宋体" w:cs="Times New Roman"/>
          <w:szCs w:val="24"/>
        </w:rPr>
        <w:t>III</w:t>
      </w:r>
      <w:r>
        <w:rPr>
          <w:rFonts w:ascii="Times New Roman" w:hAnsi="Times New Roman" w:eastAsia="宋体" w:cs="Times New Roman"/>
          <w:szCs w:val="24"/>
        </w:rPr>
        <w:fldChar w:fldCharType="end"/>
      </w:r>
      <w:r>
        <w:rPr>
          <w:rFonts w:ascii="Times New Roman" w:hAnsi="Times New Roman" w:eastAsia="宋体" w:cs="Times New Roman"/>
          <w:szCs w:val="24"/>
        </w:rPr>
        <w:t>类标准的要求，表明地下水水质良好。</w:t>
      </w:r>
    </w:p>
    <w:p>
      <w:pPr>
        <w:pStyle w:val="132"/>
        <w:ind w:firstLine="480"/>
        <w:rPr>
          <w:rFonts w:ascii="Times New Roman" w:hAnsi="Times New Roman" w:eastAsia="宋体" w:cs="Times New Roman"/>
          <w:szCs w:val="24"/>
        </w:rPr>
      </w:pPr>
      <w:r>
        <w:rPr>
          <w:rFonts w:ascii="Times New Roman" w:hAnsi="Times New Roman" w:eastAsia="宋体" w:cs="Times New Roman"/>
          <w:szCs w:val="24"/>
        </w:rPr>
        <w:t>4、声环境质量现状</w:t>
      </w:r>
    </w:p>
    <w:p>
      <w:pPr>
        <w:pStyle w:val="132"/>
        <w:ind w:firstLine="480"/>
        <w:rPr>
          <w:rFonts w:ascii="Times New Roman" w:hAnsi="Times New Roman" w:eastAsia="宋体" w:cs="Times New Roman"/>
          <w:szCs w:val="24"/>
        </w:rPr>
      </w:pPr>
      <w:r>
        <w:rPr>
          <w:rFonts w:ascii="Times New Roman" w:hAnsi="Times New Roman" w:eastAsia="宋体" w:cs="Times New Roman"/>
          <w:szCs w:val="24"/>
        </w:rPr>
        <w:t>该评价区域内所监测的5个点位中，各个监测点无论昼间还是夜间其等效声级值均能满足评价标准《声环境质量标准》（GB3096-2008）中相应的限值要求，说明该评价区域声环境背景值较低。</w:t>
      </w:r>
    </w:p>
    <w:p>
      <w:pPr>
        <w:pStyle w:val="132"/>
        <w:ind w:firstLine="480"/>
        <w:rPr>
          <w:rFonts w:ascii="Times New Roman" w:hAnsi="Times New Roman" w:eastAsia="宋体" w:cs="Times New Roman"/>
          <w:szCs w:val="24"/>
        </w:rPr>
      </w:pPr>
      <w:r>
        <w:rPr>
          <w:rFonts w:ascii="Times New Roman" w:hAnsi="Times New Roman" w:eastAsia="宋体" w:cs="Times New Roman"/>
          <w:szCs w:val="24"/>
        </w:rPr>
        <w:t>5、生态现状</w:t>
      </w:r>
    </w:p>
    <w:p>
      <w:pPr>
        <w:pStyle w:val="132"/>
        <w:ind w:firstLine="480"/>
        <w:rPr>
          <w:rFonts w:ascii="Times New Roman" w:hAnsi="Times New Roman" w:eastAsia="宋体" w:cs="Times New Roman"/>
          <w:szCs w:val="24"/>
        </w:rPr>
      </w:pPr>
      <w:r>
        <w:rPr>
          <w:rFonts w:ascii="Times New Roman" w:hAnsi="Times New Roman" w:eastAsia="宋体" w:cs="Times New Roman"/>
          <w:szCs w:val="24"/>
        </w:rPr>
        <w:t>评价区域以农业和林业生态系统为主，评价区内没有特别的生态系统或生态环境敏感保护目标。</w:t>
      </w:r>
    </w:p>
    <w:p>
      <w:pPr>
        <w:pStyle w:val="10"/>
        <w:spacing w:line="360" w:lineRule="auto"/>
        <w:rPr>
          <w:rFonts w:ascii="Times New Roman" w:hAnsi="Times New Roman"/>
        </w:rPr>
      </w:pPr>
      <w:r>
        <w:rPr>
          <w:rFonts w:ascii="Times New Roman" w:hAnsi="Times New Roman"/>
        </w:rPr>
        <w:t>3.1.</w:t>
      </w:r>
      <w:bookmarkEnd w:id="338"/>
      <w:bookmarkEnd w:id="339"/>
      <w:r>
        <w:rPr>
          <w:rFonts w:ascii="Times New Roman" w:hAnsi="Times New Roman"/>
        </w:rPr>
        <w:t>4 影响预测评价结论</w:t>
      </w:r>
      <w:bookmarkEnd w:id="340"/>
      <w:bookmarkEnd w:id="341"/>
      <w:bookmarkEnd w:id="342"/>
      <w:bookmarkEnd w:id="343"/>
      <w:bookmarkEnd w:id="344"/>
      <w:bookmarkEnd w:id="345"/>
    </w:p>
    <w:p>
      <w:pPr>
        <w:pStyle w:val="5"/>
        <w:rPr>
          <w:rFonts w:ascii="Times New Roman" w:hAnsi="Times New Roman"/>
        </w:rPr>
      </w:pPr>
      <w:r>
        <w:rPr>
          <w:rFonts w:ascii="Times New Roman" w:hAnsi="Times New Roman"/>
        </w:rPr>
        <w:t>3.1.4.1建设期影响分析</w:t>
      </w:r>
    </w:p>
    <w:p>
      <w:pPr>
        <w:spacing w:line="360" w:lineRule="auto"/>
        <w:ind w:firstLine="480" w:firstLineChars="200"/>
        <w:rPr>
          <w:sz w:val="24"/>
        </w:rPr>
      </w:pPr>
      <w:r>
        <w:rPr>
          <w:sz w:val="24"/>
        </w:rPr>
        <w:t>（1）建设期环境空气影响分析</w:t>
      </w:r>
    </w:p>
    <w:p>
      <w:pPr>
        <w:spacing w:line="360" w:lineRule="auto"/>
        <w:ind w:firstLine="480" w:firstLineChars="200"/>
        <w:rPr>
          <w:sz w:val="24"/>
        </w:rPr>
      </w:pPr>
      <w:r>
        <w:rPr>
          <w:sz w:val="24"/>
        </w:rPr>
        <w:t>建设期扬尘会导致局部地段降尘量增多，对施工现场周围的大气环境会产生一定的影响，这种影响是局部的、短期的，工程完成之后就会消失，但在建设期仍应采取洒水等措施减轻其对周围环境的影响。在采取了洒水降尘后，项目建设对环境空气不利影响较为有限。</w:t>
      </w:r>
    </w:p>
    <w:p>
      <w:pPr>
        <w:spacing w:line="360" w:lineRule="auto"/>
        <w:ind w:firstLine="480" w:firstLineChars="200"/>
        <w:rPr>
          <w:sz w:val="24"/>
        </w:rPr>
      </w:pPr>
      <w:r>
        <w:rPr>
          <w:sz w:val="24"/>
        </w:rPr>
        <w:t>（2）建设期声环境影响分析</w:t>
      </w:r>
    </w:p>
    <w:p>
      <w:pPr>
        <w:spacing w:line="360" w:lineRule="auto"/>
        <w:ind w:firstLine="480" w:firstLineChars="200"/>
        <w:rPr>
          <w:sz w:val="24"/>
        </w:rPr>
      </w:pPr>
      <w:r>
        <w:rPr>
          <w:sz w:val="24"/>
        </w:rPr>
        <w:t>建设期噪声影响是局部的和短期的，一般大型施工机械和作业区100m范围内，施工噪声可能会超出《建筑施工场界噪声限值》的标准，但由于附近植被较好，区域声环境不敏感，在工程施工完成后大型的噪声源消失，工程建设导致的不利影响会很快恢复。</w:t>
      </w:r>
    </w:p>
    <w:p>
      <w:pPr>
        <w:spacing w:line="360" w:lineRule="auto"/>
        <w:ind w:firstLine="480" w:firstLineChars="200"/>
        <w:rPr>
          <w:sz w:val="24"/>
        </w:rPr>
      </w:pPr>
      <w:r>
        <w:rPr>
          <w:sz w:val="24"/>
        </w:rPr>
        <w:t>（3）建设期水环境影响分析</w:t>
      </w:r>
    </w:p>
    <w:p>
      <w:pPr>
        <w:spacing w:line="360" w:lineRule="auto"/>
        <w:ind w:firstLine="480" w:firstLineChars="200"/>
        <w:rPr>
          <w:sz w:val="24"/>
        </w:rPr>
      </w:pPr>
      <w:r>
        <w:rPr>
          <w:sz w:val="24"/>
        </w:rPr>
        <w:t>建设期混凝土拌和站产生的碱性废水主要污染物为SS，该废水经过截流水沟收集和沉淀后可以回用混凝土拌和站，不会对外环境产生污染。建设期生活污水。主要污染物为SS、COD及氨氮。利用项目区现有水冲厕所收集后排入尾矿库，絮凝处理后回用于选矿，不外排，对矿区地表水环境影响不大。</w:t>
      </w:r>
    </w:p>
    <w:p>
      <w:pPr>
        <w:spacing w:line="360" w:lineRule="auto"/>
        <w:ind w:firstLine="480" w:firstLineChars="200"/>
        <w:rPr>
          <w:sz w:val="24"/>
        </w:rPr>
      </w:pPr>
      <w:r>
        <w:rPr>
          <w:sz w:val="24"/>
        </w:rPr>
        <w:t>（4）建设期固废影响分析</w:t>
      </w:r>
    </w:p>
    <w:p>
      <w:pPr>
        <w:spacing w:line="360" w:lineRule="auto"/>
        <w:ind w:firstLine="392"/>
        <w:rPr>
          <w:sz w:val="24"/>
        </w:rPr>
      </w:pPr>
      <w:r>
        <w:rPr>
          <w:sz w:val="24"/>
        </w:rPr>
        <w:t>扩建项目建设期矿井开拓产生弃土石于现有主井口下方的废石堆场，废石堆场服务期满后进行生态恢复；而少量生活垃圾委托环卫部门处理，本项目固废不外排，因此施工固废对环境影响较小。</w:t>
      </w:r>
    </w:p>
    <w:p>
      <w:pPr>
        <w:spacing w:line="360" w:lineRule="auto"/>
        <w:ind w:firstLine="480" w:firstLineChars="200"/>
        <w:rPr>
          <w:sz w:val="24"/>
        </w:rPr>
      </w:pPr>
      <w:r>
        <w:rPr>
          <w:sz w:val="24"/>
        </w:rPr>
        <w:t>（5）建设期生态环境影响分析</w:t>
      </w:r>
    </w:p>
    <w:p>
      <w:pPr>
        <w:spacing w:line="360" w:lineRule="auto"/>
        <w:ind w:firstLine="480" w:firstLineChars="200"/>
        <w:rPr>
          <w:sz w:val="24"/>
        </w:rPr>
      </w:pPr>
      <w:r>
        <w:rPr>
          <w:sz w:val="24"/>
        </w:rPr>
        <w:t>施工会造成一定的生物损失及水土流失，此外建筑材料的临时堆放也对水土流失造成一定影响，项目区考虑一定的绿化工程，再加上项目区占地面积不大，因此实际对生态的不利影响时间较短，影响不大。</w:t>
      </w:r>
    </w:p>
    <w:p>
      <w:pPr>
        <w:pStyle w:val="5"/>
        <w:rPr>
          <w:rFonts w:ascii="Times New Roman" w:hAnsi="Times New Roman"/>
        </w:rPr>
      </w:pPr>
      <w:r>
        <w:rPr>
          <w:rFonts w:ascii="Times New Roman" w:hAnsi="Times New Roman"/>
        </w:rPr>
        <w:t>3.1.4.2运营期影响分析</w:t>
      </w:r>
    </w:p>
    <w:p>
      <w:pPr>
        <w:spacing w:line="360" w:lineRule="auto"/>
        <w:ind w:firstLine="480" w:firstLineChars="200"/>
        <w:rPr>
          <w:sz w:val="24"/>
        </w:rPr>
      </w:pPr>
      <w:r>
        <w:rPr>
          <w:sz w:val="24"/>
        </w:rPr>
        <w:t>（1）运营期环境空气影响分析</w:t>
      </w:r>
    </w:p>
    <w:p>
      <w:pPr>
        <w:pStyle w:val="131"/>
        <w:rPr>
          <w:rFonts w:ascii="Times New Roman" w:hAnsi="Times New Roman"/>
        </w:rPr>
      </w:pPr>
      <w:r>
        <w:rPr>
          <w:rFonts w:ascii="Times New Roman" w:hAnsi="Times New Roman"/>
        </w:rPr>
        <w:t>①采矿</w:t>
      </w:r>
    </w:p>
    <w:p>
      <w:pPr>
        <w:pStyle w:val="131"/>
        <w:rPr>
          <w:rFonts w:ascii="Times New Roman" w:hAnsi="Times New Roman"/>
        </w:rPr>
      </w:pPr>
      <w:r>
        <w:rPr>
          <w:rFonts w:ascii="Times New Roman" w:hAnsi="Times New Roman"/>
        </w:rPr>
        <w:t>本项目采用</w:t>
      </w:r>
      <w:r>
        <w:rPr>
          <w:rFonts w:ascii="Times New Roman"/>
          <w:szCs w:val="20"/>
        </w:rPr>
        <w:t>为无底柱分段崩落法</w:t>
      </w:r>
      <w:r>
        <w:rPr>
          <w:rFonts w:hint="eastAsia" w:ascii="Times New Roman"/>
          <w:szCs w:val="20"/>
        </w:rPr>
        <w:t>，</w:t>
      </w:r>
      <w:r>
        <w:rPr>
          <w:rFonts w:ascii="Times New Roman"/>
          <w:szCs w:val="20"/>
        </w:rPr>
        <w:t>在矿体围岩稳固地段采用分段空场法。</w:t>
      </w:r>
      <w:r>
        <w:rPr>
          <w:rFonts w:ascii="Times New Roman" w:hAnsi="Times New Roman"/>
        </w:rPr>
        <w:t>地下凿岩、爆破、铲装、运输等工序产生的废气通过井下通风装置的运行，排至地面，粉尘浓度可控制在1mg/m</w:t>
      </w:r>
      <w:r>
        <w:rPr>
          <w:rFonts w:ascii="Times New Roman" w:hAnsi="Times New Roman"/>
          <w:vertAlign w:val="superscript"/>
        </w:rPr>
        <w:t>3</w:t>
      </w:r>
      <w:r>
        <w:rPr>
          <w:rFonts w:ascii="Times New Roman" w:hAnsi="Times New Roman"/>
        </w:rPr>
        <w:t>以内。通过上述抑尘除尘措施，预计该项目采场粉尘的无组织排放浓度能够达到《大气污染物综合排放标准》相关要求。同时其他污染物得到及时稀释和不断扩散，其浓度急剧降低，出风口CO、NO</w:t>
      </w:r>
      <w:r>
        <w:rPr>
          <w:rFonts w:ascii="Times New Roman" w:hAnsi="Times New Roman"/>
          <w:vertAlign w:val="subscript"/>
        </w:rPr>
        <w:t>x</w:t>
      </w:r>
      <w:r>
        <w:rPr>
          <w:rFonts w:ascii="Times New Roman" w:hAnsi="Times New Roman"/>
        </w:rPr>
        <w:t>浓度也能够满足《大气污染物综合排放标准》要求。</w:t>
      </w:r>
    </w:p>
    <w:p>
      <w:pPr>
        <w:pStyle w:val="131"/>
        <w:rPr>
          <w:rFonts w:ascii="Times New Roman" w:hAnsi="Times New Roman"/>
        </w:rPr>
      </w:pPr>
      <w:r>
        <w:rPr>
          <w:rFonts w:ascii="Times New Roman" w:hAnsi="Times New Roman"/>
        </w:rPr>
        <w:t>本工程配专人负责洒水装置，定时在废石堆场自动洒水，使矿石及废石表面含水率保持在7%，以控制风蚀扬尘，对环境空气的影响不大。</w:t>
      </w:r>
    </w:p>
    <w:p>
      <w:pPr>
        <w:pStyle w:val="131"/>
        <w:rPr>
          <w:rFonts w:ascii="Times New Roman" w:hAnsi="Times New Roman"/>
        </w:rPr>
      </w:pPr>
      <w:r>
        <w:rPr>
          <w:rFonts w:ascii="Times New Roman" w:hAnsi="Times New Roman"/>
        </w:rPr>
        <w:t>②选矿</w:t>
      </w:r>
    </w:p>
    <w:p>
      <w:pPr>
        <w:spacing w:line="360" w:lineRule="auto"/>
        <w:ind w:firstLine="480" w:firstLineChars="200"/>
        <w:rPr>
          <w:bCs/>
          <w:sz w:val="24"/>
        </w:rPr>
      </w:pPr>
      <w:r>
        <w:rPr>
          <w:sz w:val="24"/>
        </w:rPr>
        <w:t>扩建选矿运营期废气主要有选矿车间的破碎及筛分工序产生的含尘废气。本项目采取的控制措施为湿润物料表面控制粉尘产生量，建设集气系统在各个产尘点收集，然后引入袋式除尘器进行处理达标后排放。破碎工段含尘废气经布袋除尘器处理后，能够达到GB16297-1996《大气污染物综合排放标准》二级标准，</w:t>
      </w:r>
      <w:r>
        <w:rPr>
          <w:bCs/>
          <w:sz w:val="24"/>
        </w:rPr>
        <w:t>对环境空气的影响很小。</w:t>
      </w:r>
    </w:p>
    <w:p>
      <w:pPr>
        <w:spacing w:line="360" w:lineRule="auto"/>
        <w:ind w:firstLine="480" w:firstLineChars="200"/>
        <w:rPr>
          <w:sz w:val="24"/>
        </w:rPr>
      </w:pPr>
      <w:r>
        <w:rPr>
          <w:sz w:val="24"/>
        </w:rPr>
        <w:t>在项目正常生产过程进行的环境空气开采现状监测结果表明，评价区NO</w:t>
      </w:r>
      <w:r>
        <w:rPr>
          <w:sz w:val="24"/>
          <w:vertAlign w:val="subscript"/>
        </w:rPr>
        <w:t>2</w:t>
      </w:r>
      <w:r>
        <w:rPr>
          <w:sz w:val="24"/>
        </w:rPr>
        <w:t>、SO</w:t>
      </w:r>
      <w:r>
        <w:rPr>
          <w:sz w:val="24"/>
          <w:vertAlign w:val="subscript"/>
        </w:rPr>
        <w:t>2</w:t>
      </w:r>
      <w:r>
        <w:rPr>
          <w:sz w:val="24"/>
        </w:rPr>
        <w:t>日平均浓度、1小时平均浓度和TSP日平均浓度均达到了《环境空气质量标准》(GB3095-1996)二级标准要求，达标率100%。这表明，项目生产对环境空气质量影响不大。</w:t>
      </w:r>
    </w:p>
    <w:p>
      <w:pPr>
        <w:spacing w:line="360" w:lineRule="auto"/>
        <w:ind w:firstLine="480" w:firstLineChars="200"/>
        <w:rPr>
          <w:sz w:val="24"/>
        </w:rPr>
      </w:pPr>
      <w:r>
        <w:rPr>
          <w:sz w:val="24"/>
        </w:rPr>
        <w:t>（2）运营期地表水影响分析</w:t>
      </w:r>
    </w:p>
    <w:p>
      <w:pPr>
        <w:pStyle w:val="159"/>
        <w:adjustRightInd/>
        <w:snapToGrid/>
        <w:rPr>
          <w:rFonts w:ascii="Times New Roman" w:hAnsi="Times New Roman" w:eastAsia="宋体" w:cs="Times New Roman"/>
        </w:rPr>
      </w:pPr>
      <w:r>
        <w:rPr>
          <w:rFonts w:ascii="Times New Roman" w:hAnsi="Times New Roman" w:eastAsia="宋体" w:cs="Times New Roman"/>
        </w:rPr>
        <w:t>①采矿</w:t>
      </w:r>
    </w:p>
    <w:p>
      <w:pPr>
        <w:pStyle w:val="159"/>
        <w:adjustRightInd/>
        <w:snapToGrid/>
        <w:rPr>
          <w:rFonts w:ascii="Times New Roman" w:hAnsi="Times New Roman" w:eastAsia="宋体" w:cs="Times New Roman"/>
        </w:rPr>
      </w:pPr>
      <w:r>
        <w:rPr>
          <w:rFonts w:ascii="Times New Roman" w:hAnsi="Times New Roman" w:eastAsia="宋体" w:cs="Times New Roman"/>
        </w:rPr>
        <w:t>本项目采矿有地采涌水产生。本项目矿山开采过程中各中段正常涌水量为6400m</w:t>
      </w:r>
      <w:r>
        <w:rPr>
          <w:rFonts w:ascii="Times New Roman" w:hAnsi="Times New Roman" w:eastAsia="宋体" w:cs="Times New Roman"/>
          <w:vertAlign w:val="superscript"/>
        </w:rPr>
        <w:t>3</w:t>
      </w:r>
      <w:r>
        <w:rPr>
          <w:rFonts w:ascii="Times New Roman" w:hAnsi="Times New Roman" w:eastAsia="宋体" w:cs="Times New Roman"/>
        </w:rPr>
        <w:t>/d。矿坑涌水水质监测项目均满足《地表水环境质量标准》（Ⅱ类），直接作为采矿及选矿的生产生活用水、植被恢复及厂区绿化用水，剩余部分排至地表水体麻家河，由于排水已经达到了《地表水环境质量标准》（Ⅱ类），故排水不会对麻家河水质产生影响。</w:t>
      </w:r>
    </w:p>
    <w:p>
      <w:pPr>
        <w:pStyle w:val="159"/>
        <w:adjustRightInd/>
        <w:snapToGrid/>
        <w:rPr>
          <w:rFonts w:ascii="Times New Roman" w:hAnsi="Times New Roman" w:eastAsia="宋体" w:cs="Times New Roman"/>
        </w:rPr>
      </w:pPr>
      <w:r>
        <w:rPr>
          <w:rFonts w:ascii="Times New Roman" w:hAnsi="Times New Roman" w:eastAsia="宋体" w:cs="Times New Roman"/>
        </w:rPr>
        <w:t>②选矿</w:t>
      </w:r>
    </w:p>
    <w:p>
      <w:pPr>
        <w:pStyle w:val="159"/>
        <w:adjustRightInd/>
        <w:snapToGrid/>
        <w:rPr>
          <w:rFonts w:ascii="Times New Roman" w:hAnsi="Times New Roman" w:eastAsia="宋体" w:cs="Times New Roman"/>
        </w:rPr>
      </w:pPr>
      <w:r>
        <w:rPr>
          <w:rFonts w:ascii="Times New Roman" w:hAnsi="Times New Roman" w:eastAsia="宋体" w:cs="Times New Roman"/>
        </w:rPr>
        <w:t>由水平衡可知，1000t/d选矿工程废水主要在选矿工艺末端产生，主要是尾矿水和精矿浓缩脱水，合计2944t/d，尾矿库蒸发237t/d，下渗24t/d，进入水处理车间水量为2683t/d，处理过程中损耗109t/d。</w:t>
      </w:r>
    </w:p>
    <w:p>
      <w:pPr>
        <w:pStyle w:val="159"/>
        <w:adjustRightInd/>
        <w:snapToGrid/>
        <w:rPr>
          <w:rFonts w:ascii="Times New Roman" w:hAnsi="Times New Roman" w:eastAsia="宋体" w:cs="Times New Roman"/>
        </w:rPr>
      </w:pPr>
      <w:r>
        <w:rPr>
          <w:rFonts w:ascii="Times New Roman" w:hAnsi="Times New Roman" w:eastAsia="宋体" w:cs="Times New Roman"/>
        </w:rPr>
        <w:t>选矿废水与尾矿渣一并排入尾矿库。项目拟在已经建设的尾矿库澄清水絮凝处理车间的基础上建设废水回用系统，将处理后的尾矿库澄清水回用于选矿作业，达到不对外环境排放要求。项目区已设置有水冲厕所，厕所设置有化粪池，食堂污水与化粪池污水一并进入尾矿库，经尾矿库下游的絮凝处理车间处理后回用于选矿作业，不外排。</w:t>
      </w:r>
    </w:p>
    <w:p>
      <w:pPr>
        <w:spacing w:line="360" w:lineRule="auto"/>
        <w:ind w:firstLine="480" w:firstLineChars="200"/>
        <w:rPr>
          <w:sz w:val="24"/>
        </w:rPr>
      </w:pPr>
      <w:r>
        <w:rPr>
          <w:sz w:val="24"/>
        </w:rPr>
        <w:t>（3）运营期地下水影响分析</w:t>
      </w:r>
    </w:p>
    <w:p>
      <w:pPr>
        <w:spacing w:line="360" w:lineRule="auto"/>
        <w:ind w:firstLine="480" w:firstLineChars="200"/>
        <w:rPr>
          <w:sz w:val="24"/>
        </w:rPr>
      </w:pPr>
      <w:r>
        <w:rPr>
          <w:sz w:val="24"/>
        </w:rPr>
        <w:t>①地下水水位及流场影响</w:t>
      </w:r>
    </w:p>
    <w:p>
      <w:pPr>
        <w:spacing w:line="360" w:lineRule="auto"/>
        <w:ind w:firstLine="482" w:firstLineChars="200"/>
        <w:rPr>
          <w:b/>
          <w:sz w:val="24"/>
          <w:u w:val="single"/>
        </w:rPr>
      </w:pPr>
      <w:r>
        <w:rPr>
          <w:b/>
          <w:sz w:val="24"/>
          <w:u w:val="single"/>
        </w:rPr>
        <w:t>本项目采矿排水引发的环境水文地质问题主要是由于疏干排水造成下降和地下水流场的变化带来的地面沉降、地裂缝、岩溶塌陷等问题。本项目地表覆盖层主要是第四系，由亚沙土腐质层及乱石堆积物组成，分布于地势低洼之处、河流沟谷之中，且本项目区主要的隔水岩体为花岗斑岩及各类岩脉无粘性土层隔水层。因此，本项目水位在灰岩中波动，不会发生因采矿排水引发的地面沉降及地面裂缝。由于本项目岩溶发育区域不存在一定厚度的松散盖层，因此不具备发生岩溶塌陷的条件。另据现场调查，目前项目区未发生岩溶塌陷。</w:t>
      </w:r>
    </w:p>
    <w:p>
      <w:pPr>
        <w:spacing w:line="360" w:lineRule="auto"/>
        <w:ind w:firstLine="480" w:firstLineChars="200"/>
        <w:rPr>
          <w:sz w:val="24"/>
        </w:rPr>
      </w:pPr>
      <w:r>
        <w:rPr>
          <w:sz w:val="24"/>
        </w:rPr>
        <w:t>另外</w:t>
      </w:r>
      <w:r>
        <w:rPr>
          <w:rFonts w:hint="eastAsia"/>
          <w:sz w:val="24"/>
        </w:rPr>
        <w:t>，</w:t>
      </w:r>
      <w:r>
        <w:rPr>
          <w:sz w:val="24"/>
        </w:rPr>
        <w:t>本项目矿山开采过程中各中段正常涌水量为</w:t>
      </w:r>
      <w:r>
        <w:rPr>
          <w:rFonts w:hint="eastAsia"/>
          <w:sz w:val="24"/>
        </w:rPr>
        <w:t>6400</w:t>
      </w:r>
      <w:r>
        <w:rPr>
          <w:sz w:val="24"/>
        </w:rPr>
        <w:t>m3/</w:t>
      </w:r>
      <w:r>
        <w:rPr>
          <w:rFonts w:hint="eastAsia"/>
          <w:sz w:val="24"/>
        </w:rPr>
        <w:t>d</w:t>
      </w:r>
      <w:r>
        <w:rPr>
          <w:sz w:val="24"/>
        </w:rPr>
        <w:t>，采矿排水将造成地下水水位下降和地下水流场的变化，但由于地下水补给主要为降水补给，在采矿结束后一定时间内，地下水水位将会自然恢复。</w:t>
      </w:r>
    </w:p>
    <w:p>
      <w:pPr>
        <w:spacing w:line="360" w:lineRule="auto"/>
        <w:ind w:firstLine="480" w:firstLineChars="200"/>
        <w:rPr>
          <w:sz w:val="24"/>
        </w:rPr>
      </w:pPr>
      <w:r>
        <w:rPr>
          <w:sz w:val="24"/>
        </w:rPr>
        <w:t>评价区所属的朱阳镇范围内地下水允许开采量为2591.74万m3/a，除本项目外开采量为17.56万m3/a。本项目正常涌水量远小于本项目所在区域的允许开采水量，因此采矿排水不会破坏改变区域水资源均衡。</w:t>
      </w:r>
    </w:p>
    <w:p>
      <w:pPr>
        <w:spacing w:line="360" w:lineRule="auto"/>
        <w:ind w:firstLine="480" w:firstLineChars="200"/>
        <w:rPr>
          <w:sz w:val="24"/>
        </w:rPr>
      </w:pPr>
      <w:r>
        <w:rPr>
          <w:sz w:val="24"/>
        </w:rPr>
        <w:t>②对地下水水质影响</w:t>
      </w:r>
    </w:p>
    <w:p>
      <w:pPr>
        <w:tabs>
          <w:tab w:val="left" w:pos="993"/>
        </w:tabs>
        <w:autoSpaceDE w:val="0"/>
        <w:autoSpaceDN w:val="0"/>
        <w:spacing w:line="360" w:lineRule="auto"/>
        <w:ind w:firstLine="454"/>
        <w:rPr>
          <w:sz w:val="24"/>
          <w:lang w:val="zh-CN"/>
        </w:rPr>
      </w:pPr>
      <w:r>
        <w:rPr>
          <w:sz w:val="24"/>
        </w:rPr>
        <w:t>项目场地包气带防污性能为中等。</w:t>
      </w:r>
      <w:r>
        <w:rPr>
          <w:sz w:val="24"/>
          <w:lang w:val="zh-CN"/>
        </w:rPr>
        <w:t>预测结果</w:t>
      </w:r>
      <w:r>
        <w:rPr>
          <w:sz w:val="24"/>
        </w:rPr>
        <w:t>表6.2-18</w:t>
      </w:r>
      <w:r>
        <w:rPr>
          <w:sz w:val="24"/>
          <w:lang w:val="zh-CN"/>
        </w:rPr>
        <w:t>可见，各污染因子在地下水中运移1年后，经过地下水的对流弥散作用,达到标准要求时的运移距离：废石堆场Pb为200m；尾矿库COD</w:t>
      </w:r>
      <w:r>
        <w:rPr>
          <w:sz w:val="24"/>
          <w:vertAlign w:val="subscript"/>
          <w:lang w:val="zh-CN"/>
        </w:rPr>
        <w:t>Cr</w:t>
      </w:r>
      <w:r>
        <w:rPr>
          <w:sz w:val="24"/>
          <w:lang w:val="zh-CN"/>
        </w:rPr>
        <w:t>为150m，尾矿库</w:t>
      </w:r>
      <w:r>
        <w:rPr>
          <w:kern w:val="0"/>
          <w:sz w:val="24"/>
        </w:rPr>
        <w:t>Fe</w:t>
      </w:r>
      <w:r>
        <w:rPr>
          <w:sz w:val="24"/>
          <w:lang w:val="zh-CN"/>
        </w:rPr>
        <w:t>为50m；生活污水COD</w:t>
      </w:r>
      <w:r>
        <w:rPr>
          <w:sz w:val="24"/>
          <w:vertAlign w:val="subscript"/>
          <w:lang w:val="zh-CN"/>
        </w:rPr>
        <w:t>Cr</w:t>
      </w:r>
      <w:r>
        <w:rPr>
          <w:sz w:val="24"/>
          <w:lang w:val="zh-CN"/>
        </w:rPr>
        <w:t>为150m，生活污水氨氮为300m，项目扩建对地下水水质影响很小。离项目区最近的敏感点是尾矿库下游780m的黑山村前咀，且黑山村前咀及其他敏感点的生活用水来自于灵宝金源晨光有色矿冶有限公司银家沟硫铁矿出资建设的供水系统，该供水系统水源为村庄上游沟谷中出露的山泉，因此项目建设不会对敏感点产生影响。</w:t>
      </w:r>
    </w:p>
    <w:p>
      <w:pPr>
        <w:spacing w:line="360" w:lineRule="auto"/>
        <w:ind w:firstLine="480" w:firstLineChars="200"/>
        <w:rPr>
          <w:sz w:val="24"/>
        </w:rPr>
      </w:pPr>
      <w:r>
        <w:rPr>
          <w:sz w:val="24"/>
        </w:rPr>
        <w:t>③水文地质问题</w:t>
      </w:r>
    </w:p>
    <w:p>
      <w:pPr>
        <w:spacing w:line="360" w:lineRule="auto"/>
        <w:ind w:firstLine="480" w:firstLineChars="200"/>
        <w:rPr>
          <w:sz w:val="24"/>
        </w:rPr>
      </w:pPr>
      <w:r>
        <w:rPr>
          <w:sz w:val="24"/>
        </w:rPr>
        <w:t>本项目采矿排水引发的环境水文地质问题主要是由于疏干排水造成下降和地下水流场的变化带来的地面沉降、地裂缝、岩溶塌陷等问题。</w:t>
      </w:r>
    </w:p>
    <w:p>
      <w:pPr>
        <w:spacing w:line="360" w:lineRule="auto"/>
        <w:ind w:firstLine="480" w:firstLineChars="200"/>
        <w:rPr>
          <w:snapToGrid w:val="0"/>
          <w:kern w:val="0"/>
          <w:sz w:val="24"/>
        </w:rPr>
      </w:pPr>
      <w:r>
        <w:rPr>
          <w:sz w:val="24"/>
        </w:rPr>
        <w:t>本项目地表覆盖层主要是</w:t>
      </w:r>
      <w:r>
        <w:rPr>
          <w:snapToGrid w:val="0"/>
          <w:kern w:val="0"/>
          <w:sz w:val="24"/>
        </w:rPr>
        <w:t>第四系，由亚沙土腐质层及乱石堆积物组成，分布于地势低洼之处、河流沟谷之中，且本项目区</w:t>
      </w:r>
      <w:r>
        <w:rPr>
          <w:sz w:val="24"/>
        </w:rPr>
        <w:t>主要的隔水岩体为花岗斑岩及各类岩脉</w:t>
      </w:r>
      <w:r>
        <w:rPr>
          <w:snapToGrid w:val="0"/>
          <w:kern w:val="0"/>
          <w:sz w:val="24"/>
        </w:rPr>
        <w:t>无</w:t>
      </w:r>
      <w:r>
        <w:rPr>
          <w:sz w:val="24"/>
        </w:rPr>
        <w:t>粘性土层隔水层。因此，本项目水位在灰岩中波动，不会发生因采矿排水引发的地面沉降及地面裂缝。</w:t>
      </w:r>
    </w:p>
    <w:p>
      <w:pPr>
        <w:spacing w:line="360" w:lineRule="auto"/>
        <w:ind w:firstLine="480" w:firstLineChars="200"/>
        <w:rPr>
          <w:bCs/>
          <w:sz w:val="24"/>
        </w:rPr>
      </w:pPr>
      <w:r>
        <w:rPr>
          <w:bCs/>
          <w:sz w:val="24"/>
        </w:rPr>
        <w:t>由于</w:t>
      </w:r>
      <w:r>
        <w:rPr>
          <w:kern w:val="0"/>
          <w:sz w:val="24"/>
        </w:rPr>
        <w:t>本项目岩溶发育区域不存在一定厚度的松散盖层，因此</w:t>
      </w:r>
      <w:r>
        <w:rPr>
          <w:bCs/>
          <w:sz w:val="24"/>
        </w:rPr>
        <w:t>不具备发生</w:t>
      </w:r>
      <w:r>
        <w:rPr>
          <w:sz w:val="24"/>
        </w:rPr>
        <w:t>岩溶塌陷的条件。另据现场调查</w:t>
      </w:r>
      <w:r>
        <w:rPr>
          <w:bCs/>
          <w:sz w:val="24"/>
        </w:rPr>
        <w:t>，目前项目区未发生岩溶塌陷。</w:t>
      </w:r>
    </w:p>
    <w:p>
      <w:pPr>
        <w:spacing w:line="360" w:lineRule="auto"/>
        <w:ind w:firstLine="480" w:firstLineChars="200"/>
        <w:rPr>
          <w:bCs/>
          <w:sz w:val="24"/>
        </w:rPr>
      </w:pPr>
      <w:r>
        <w:rPr>
          <w:bCs/>
          <w:sz w:val="24"/>
        </w:rPr>
        <w:t>因此项目采矿排水引发</w:t>
      </w:r>
      <w:r>
        <w:rPr>
          <w:sz w:val="24"/>
        </w:rPr>
        <w:t>地面沉降、地裂缝、岩溶塌陷等问题可能性小。</w:t>
      </w:r>
    </w:p>
    <w:p>
      <w:pPr>
        <w:spacing w:line="360" w:lineRule="auto"/>
        <w:ind w:firstLine="480" w:firstLineChars="200"/>
        <w:rPr>
          <w:sz w:val="24"/>
        </w:rPr>
      </w:pPr>
      <w:r>
        <w:rPr>
          <w:sz w:val="24"/>
        </w:rPr>
        <w:t>（4）运营期声影响分析</w:t>
      </w:r>
    </w:p>
    <w:p>
      <w:pPr>
        <w:spacing w:line="360" w:lineRule="auto"/>
        <w:ind w:firstLine="488" w:firstLineChars="200"/>
        <w:rPr>
          <w:sz w:val="24"/>
        </w:rPr>
      </w:pPr>
      <w:r>
        <w:rPr>
          <w:spacing w:val="2"/>
          <w:sz w:val="24"/>
        </w:rPr>
        <w:t>由预测结果可知，在项目扩建后各厂界昼夜噪声均满足《工业企业厂界环境噪声排放标准》</w:t>
      </w:r>
      <w:r>
        <w:rPr>
          <w:sz w:val="24"/>
        </w:rPr>
        <w:t>2</w:t>
      </w:r>
      <w:r>
        <w:rPr>
          <w:spacing w:val="2"/>
          <w:sz w:val="24"/>
        </w:rPr>
        <w:t>类标准限值要求。扩建项目对周围声环境影响不大。</w:t>
      </w:r>
    </w:p>
    <w:p>
      <w:pPr>
        <w:spacing w:line="360" w:lineRule="auto"/>
        <w:ind w:firstLine="480" w:firstLineChars="200"/>
        <w:rPr>
          <w:sz w:val="24"/>
        </w:rPr>
      </w:pPr>
      <w:r>
        <w:rPr>
          <w:sz w:val="24"/>
        </w:rPr>
        <w:t>（5）运营期固废影响分析</w:t>
      </w:r>
    </w:p>
    <w:p>
      <w:pPr>
        <w:spacing w:line="360" w:lineRule="auto"/>
        <w:ind w:firstLine="480" w:firstLineChars="200"/>
        <w:rPr>
          <w:sz w:val="24"/>
        </w:rPr>
      </w:pPr>
      <w:r>
        <w:rPr>
          <w:sz w:val="24"/>
        </w:rPr>
        <w:t>本项目固废主要是废石、尾矿、生活垃圾及球磨工段的球磨机、圆振筛年使用钢球、衬板、筛网，破碎过程虽然会发生物料散落从而产生固废，但是由于各个阶段的物料就近回用于生产，因此实际可以忽略。废石回填地面塌陷区，多余集中堆存在废石堆场，尾矿集中堆存，服务期满后覆土绿化恢复生态；钢球、衬板、筛网，可外售；生活垃圾设置垃圾桶，所有生活垃圾均委托当地环卫部门清运，不对外环境排放。</w:t>
      </w:r>
    </w:p>
    <w:p>
      <w:pPr>
        <w:spacing w:line="360" w:lineRule="auto"/>
        <w:ind w:firstLine="480" w:firstLineChars="200"/>
        <w:rPr>
          <w:sz w:val="24"/>
        </w:rPr>
      </w:pPr>
      <w:r>
        <w:rPr>
          <w:sz w:val="24"/>
        </w:rPr>
        <w:t>因此运营期固废影响不大。</w:t>
      </w:r>
    </w:p>
    <w:p>
      <w:pPr>
        <w:spacing w:line="360" w:lineRule="auto"/>
        <w:ind w:firstLine="480" w:firstLineChars="200"/>
        <w:rPr>
          <w:sz w:val="24"/>
        </w:rPr>
      </w:pPr>
      <w:r>
        <w:rPr>
          <w:sz w:val="24"/>
        </w:rPr>
        <w:t>（6）运营期生态影响分析</w:t>
      </w:r>
    </w:p>
    <w:p>
      <w:pPr>
        <w:pStyle w:val="131"/>
        <w:rPr>
          <w:rFonts w:ascii="Times New Roman" w:hAnsi="Times New Roman"/>
        </w:rPr>
      </w:pPr>
      <w:r>
        <w:rPr>
          <w:rFonts w:ascii="Times New Roman" w:hAnsi="Times New Roman"/>
        </w:rPr>
        <w:t>项目占地对区域内动植物、生物多样性的影响很小，对水土流失影响较大。运营期矿石的地下开采将产生地表移动、变形，但对地形地貌、地表建筑、道路等影响程度较小。闭矿期生态恢复工程完成后，矿区生态系统将得到有效修复。</w:t>
      </w:r>
    </w:p>
    <w:p/>
    <w:p>
      <w:pPr>
        <w:pStyle w:val="74"/>
      </w:pPr>
      <w:bookmarkStart w:id="352" w:name="_Toc470358681"/>
      <w:bookmarkStart w:id="353" w:name="_Toc202650549"/>
      <w:bookmarkStart w:id="354" w:name="_Toc211245931"/>
      <w:bookmarkStart w:id="355" w:name="_Toc230236248"/>
      <w:bookmarkStart w:id="356" w:name="_Toc200441251"/>
      <w:bookmarkStart w:id="357" w:name="_Toc230234621"/>
      <w:bookmarkStart w:id="358" w:name="_Toc206608577"/>
      <w:bookmarkStart w:id="359" w:name="_Toc200438230"/>
      <w:bookmarkStart w:id="360" w:name="_Toc407217339"/>
      <w:bookmarkStart w:id="361" w:name="_Toc406504191"/>
      <w:bookmarkStart w:id="362" w:name="_Toc407153473"/>
      <w:bookmarkStart w:id="363" w:name="_Toc420663656"/>
      <w:r>
        <w:rPr>
          <w:kern w:val="0"/>
        </w:rPr>
        <w:t>3.1.5</w:t>
      </w:r>
      <w:r>
        <w:t>水土保持方案</w:t>
      </w:r>
      <w:bookmarkEnd w:id="352"/>
    </w:p>
    <w:p>
      <w:pPr>
        <w:spacing w:line="360" w:lineRule="auto"/>
        <w:ind w:firstLine="480" w:firstLineChars="200"/>
        <w:rPr>
          <w:sz w:val="24"/>
        </w:rPr>
      </w:pPr>
      <w:r>
        <w:rPr>
          <w:sz w:val="24"/>
        </w:rPr>
        <w:t>工程建设如不采取水土保持措施，会新增水土流失量44070t。工程运行期是水土流失最为严重的时期，预计本工程水土流失达到44840t，若不进行防护和治理，会破坏周围生态环境，导致环境的恶化。</w:t>
      </w:r>
    </w:p>
    <w:p>
      <w:pPr>
        <w:spacing w:line="360" w:lineRule="auto"/>
        <w:ind w:firstLine="480" w:firstLineChars="200"/>
        <w:rPr>
          <w:sz w:val="24"/>
        </w:rPr>
      </w:pPr>
      <w:r>
        <w:rPr>
          <w:sz w:val="24"/>
        </w:rPr>
        <w:t>水土保持方案总投资348.72万元，其中工程措施投资226.26万元，植物措施投资26.31万元，临时措施投资12.53万元，水土保存工程监理费3万元，水土保存监测费10.65万元，水土保存设施补偿费34.33万元。</w:t>
      </w:r>
    </w:p>
    <w:p>
      <w:pPr>
        <w:pStyle w:val="10"/>
        <w:spacing w:line="360" w:lineRule="auto"/>
        <w:rPr>
          <w:rFonts w:ascii="Times New Roman" w:hAnsi="Times New Roman"/>
          <w:kern w:val="0"/>
        </w:rPr>
      </w:pPr>
      <w:r>
        <w:rPr>
          <w:rFonts w:ascii="Times New Roman" w:hAnsi="Times New Roman"/>
          <w:kern w:val="0"/>
        </w:rPr>
        <w:t>3.1.6环境风险评价结论</w:t>
      </w:r>
    </w:p>
    <w:p>
      <w:pPr>
        <w:spacing w:line="360" w:lineRule="auto"/>
        <w:ind w:firstLine="480" w:firstLineChars="200"/>
        <w:rPr>
          <w:sz w:val="24"/>
        </w:rPr>
      </w:pPr>
      <w:r>
        <w:rPr>
          <w:sz w:val="24"/>
        </w:rPr>
        <w:t>本项目最大环境风险为尾矿库溃坝事故。本项目尾矿库下游500m内无居民点。尾矿库工程为为山谷型尾矿库，初期坝采用透水堆石坝、后期坝采用尾矿冲积法堆积子坝。排水、排洪系统库外采用拦洪坝-排水隧洞方案，初期坝堆石体上游设反滤层和保护层，且后期坝内部设置多排排渗管的排渗工艺等均属国内常见的、成熟的工程类型和工艺等，本项目在采取了该项目的安全评价报告书中的措施和本评价提出的防范对策措施，能够有效消除或减缓环境风险，对外环境的风险影响控制到最小。</w:t>
      </w:r>
    </w:p>
    <w:p>
      <w:pPr>
        <w:pStyle w:val="10"/>
        <w:spacing w:line="360" w:lineRule="auto"/>
        <w:rPr>
          <w:rFonts w:ascii="Times New Roman" w:hAnsi="Times New Roman"/>
        </w:rPr>
      </w:pPr>
      <w:r>
        <w:rPr>
          <w:rFonts w:ascii="Times New Roman" w:hAnsi="Times New Roman"/>
        </w:rPr>
        <w:t>3.1.</w:t>
      </w:r>
      <w:bookmarkEnd w:id="353"/>
      <w:bookmarkEnd w:id="354"/>
      <w:bookmarkEnd w:id="355"/>
      <w:bookmarkEnd w:id="356"/>
      <w:bookmarkEnd w:id="357"/>
      <w:bookmarkEnd w:id="358"/>
      <w:bookmarkEnd w:id="359"/>
      <w:bookmarkStart w:id="364" w:name="_Toc230234622"/>
      <w:bookmarkStart w:id="365" w:name="_Toc206608578"/>
      <w:bookmarkStart w:id="366" w:name="_Toc200441252"/>
      <w:bookmarkStart w:id="367" w:name="_Toc200438231"/>
      <w:bookmarkStart w:id="368" w:name="_Toc211245932"/>
      <w:bookmarkStart w:id="369" w:name="_Toc202650550"/>
      <w:bookmarkStart w:id="370" w:name="_Toc230236249"/>
      <w:r>
        <w:rPr>
          <w:rFonts w:ascii="Times New Roman" w:hAnsi="Times New Roman"/>
        </w:rPr>
        <w:t>7总量控制</w:t>
      </w:r>
      <w:bookmarkEnd w:id="360"/>
      <w:bookmarkEnd w:id="361"/>
      <w:bookmarkEnd w:id="362"/>
      <w:bookmarkEnd w:id="363"/>
      <w:bookmarkEnd w:id="364"/>
      <w:bookmarkEnd w:id="365"/>
      <w:bookmarkEnd w:id="366"/>
      <w:bookmarkEnd w:id="367"/>
      <w:bookmarkEnd w:id="368"/>
      <w:bookmarkEnd w:id="369"/>
      <w:bookmarkEnd w:id="370"/>
    </w:p>
    <w:p>
      <w:pPr>
        <w:spacing w:line="360" w:lineRule="auto"/>
        <w:ind w:firstLine="480" w:firstLineChars="200"/>
        <w:rPr>
          <w:sz w:val="24"/>
        </w:rPr>
      </w:pPr>
      <w:bookmarkStart w:id="371" w:name="_Toc230234623"/>
      <w:bookmarkStart w:id="372" w:name="_Toc202650551"/>
      <w:bookmarkStart w:id="373" w:name="_Toc206608579"/>
      <w:bookmarkStart w:id="374" w:name="_Toc407217340"/>
      <w:bookmarkStart w:id="375" w:name="_Toc420663657"/>
      <w:bookmarkStart w:id="376" w:name="_Toc200438232"/>
      <w:bookmarkStart w:id="377" w:name="_Toc230236250"/>
      <w:bookmarkStart w:id="378" w:name="_Toc200441253"/>
      <w:bookmarkStart w:id="379" w:name="_Toc211245933"/>
      <w:bookmarkStart w:id="380" w:name="_Toc407153474"/>
      <w:bookmarkStart w:id="381" w:name="_Toc406504192"/>
      <w:r>
        <w:rPr>
          <w:sz w:val="24"/>
        </w:rPr>
        <w:t>综合考虑工程项目特征和排污特点、根据本项目的实际情况、工程所采取的污染防治措施、净化效率及所在区域环境质量和当地环境管理部门的要求，本项目不设总量控制指标。</w:t>
      </w:r>
    </w:p>
    <w:p>
      <w:pPr>
        <w:pStyle w:val="10"/>
        <w:spacing w:line="360" w:lineRule="auto"/>
        <w:rPr>
          <w:rFonts w:ascii="Times New Roman" w:hAnsi="Times New Roman"/>
        </w:rPr>
      </w:pPr>
      <w:r>
        <w:rPr>
          <w:rFonts w:ascii="Times New Roman" w:hAnsi="Times New Roman"/>
        </w:rPr>
        <w:t>3.1.8 清洁生产</w:t>
      </w:r>
      <w:bookmarkEnd w:id="371"/>
      <w:bookmarkEnd w:id="372"/>
      <w:bookmarkEnd w:id="373"/>
      <w:bookmarkEnd w:id="374"/>
      <w:bookmarkEnd w:id="375"/>
      <w:bookmarkEnd w:id="376"/>
      <w:bookmarkEnd w:id="377"/>
      <w:bookmarkEnd w:id="378"/>
      <w:bookmarkEnd w:id="379"/>
      <w:bookmarkEnd w:id="380"/>
      <w:bookmarkEnd w:id="381"/>
    </w:p>
    <w:p>
      <w:pPr>
        <w:spacing w:line="360" w:lineRule="auto"/>
        <w:ind w:firstLine="480" w:firstLineChars="200"/>
        <w:rPr>
          <w:sz w:val="24"/>
        </w:rPr>
      </w:pPr>
      <w:bookmarkStart w:id="382" w:name="_Toc230234624"/>
      <w:bookmarkStart w:id="383" w:name="_Toc420663658"/>
      <w:bookmarkStart w:id="384" w:name="_Toc407153475"/>
      <w:bookmarkStart w:id="385" w:name="_Toc407217341"/>
      <w:bookmarkStart w:id="386" w:name="_Toc406504193"/>
      <w:bookmarkStart w:id="387" w:name="_Toc230236251"/>
      <w:bookmarkStart w:id="388" w:name="_Toc200441254"/>
      <w:bookmarkStart w:id="389" w:name="_Toc202650552"/>
      <w:bookmarkStart w:id="390" w:name="_Toc211245934"/>
      <w:bookmarkStart w:id="391" w:name="_Toc200438233"/>
      <w:bookmarkStart w:id="392" w:name="_Toc206608580"/>
      <w:r>
        <w:rPr>
          <w:sz w:val="24"/>
        </w:rPr>
        <w:t>依据《清洁生产技术要求——铁矿采选业（发布稿）》中地下开采类相关清洁生产指标分析，本项目采矿各指标均满足清洁生产二级标准的要求，即项目采矿达到了清洁生产国内清洁生产先进水平的要求；选矿部分清洁生产指标参考了《灵宝金源晨光有色矿冶有限公司硫铁矿分公司清洁生产审核报告》中提出的国内硫铁采选业清洁生产水平指标表，选矿工程清洁生产指标中的工艺装备要求指标、污染物产生指标满足清洁生产三级标准的要求，资源能源利用指标、环境管理要求指标满足清洁生产二级标准的要求，废物回收利用指标满足清洁生产一级标准的要求。整体选矿工程满足清洁生产三级标准的要求。因此环评建议企业在破碎筛分中采用国内先进的</w:t>
      </w:r>
      <w:r>
        <w:rPr>
          <w:kern w:val="0"/>
          <w:sz w:val="24"/>
        </w:rPr>
        <w:t>处理量较大、效率较高的超细破碎机等破碎设备，配有除尘净化设施；在磨矿</w:t>
      </w:r>
      <w:r>
        <w:rPr>
          <w:sz w:val="24"/>
        </w:rPr>
        <w:t>中</w:t>
      </w:r>
      <w:r>
        <w:rPr>
          <w:kern w:val="0"/>
          <w:sz w:val="24"/>
        </w:rPr>
        <w:t>采用国内先进的处理量较大、能耗较低、效率较高的筒式磨矿机、高压辊磨机等磨矿设备；在分级</w:t>
      </w:r>
      <w:r>
        <w:rPr>
          <w:sz w:val="24"/>
        </w:rPr>
        <w:t>中</w:t>
      </w:r>
      <w:r>
        <w:rPr>
          <w:kern w:val="0"/>
          <w:sz w:val="24"/>
        </w:rPr>
        <w:t>采用国内先进的分级效率较高的电磁振动筛、高频细筛等分级设备，从而使</w:t>
      </w:r>
      <w:r>
        <w:rPr>
          <w:sz w:val="24"/>
        </w:rPr>
        <w:t>工艺装备的清洁生产水平提高到二级，同时更为先进的工艺设备可减少污染物的产生，可以使整个项目的清洁生产水平提高到二级，使之达到清洁生产的要求。</w:t>
      </w:r>
    </w:p>
    <w:bookmarkEnd w:id="382"/>
    <w:bookmarkEnd w:id="383"/>
    <w:bookmarkEnd w:id="384"/>
    <w:bookmarkEnd w:id="385"/>
    <w:bookmarkEnd w:id="386"/>
    <w:bookmarkEnd w:id="387"/>
    <w:p>
      <w:pPr>
        <w:pStyle w:val="10"/>
        <w:spacing w:line="360" w:lineRule="auto"/>
        <w:rPr>
          <w:rFonts w:ascii="Times New Roman" w:hAnsi="Times New Roman"/>
        </w:rPr>
      </w:pPr>
      <w:bookmarkStart w:id="393" w:name="_Toc407217342"/>
      <w:bookmarkStart w:id="394" w:name="_Toc230236252"/>
      <w:bookmarkStart w:id="395" w:name="_Toc420663659"/>
      <w:bookmarkStart w:id="396" w:name="_Toc230234625"/>
      <w:bookmarkStart w:id="397" w:name="_Toc407153476"/>
      <w:bookmarkStart w:id="398" w:name="_Toc406504194"/>
      <w:r>
        <w:rPr>
          <w:rFonts w:ascii="Times New Roman" w:hAnsi="Times New Roman"/>
        </w:rPr>
        <w:t>3.1.9公众参与</w:t>
      </w:r>
      <w:bookmarkEnd w:id="388"/>
      <w:bookmarkEnd w:id="389"/>
      <w:bookmarkEnd w:id="390"/>
      <w:bookmarkEnd w:id="391"/>
      <w:bookmarkEnd w:id="392"/>
      <w:bookmarkEnd w:id="393"/>
      <w:bookmarkEnd w:id="394"/>
      <w:bookmarkEnd w:id="395"/>
      <w:bookmarkEnd w:id="396"/>
      <w:bookmarkEnd w:id="397"/>
      <w:bookmarkEnd w:id="398"/>
    </w:p>
    <w:p>
      <w:pPr>
        <w:pStyle w:val="159"/>
        <w:rPr>
          <w:rFonts w:ascii="Times New Roman" w:hAnsi="Times New Roman" w:eastAsia="宋体" w:cs="Times New Roman"/>
        </w:rPr>
      </w:pPr>
      <w:bookmarkStart w:id="399" w:name="_Toc406504198"/>
      <w:bookmarkStart w:id="400" w:name="_Toc420663662"/>
      <w:bookmarkStart w:id="401" w:name="_Toc407153480"/>
      <w:bookmarkStart w:id="402" w:name="_Toc407217346"/>
      <w:bookmarkStart w:id="403" w:name="_Toc202650553"/>
      <w:bookmarkStart w:id="404" w:name="_Toc200438234"/>
      <w:bookmarkStart w:id="405" w:name="_Toc169518608"/>
      <w:bookmarkStart w:id="406" w:name="_Toc206608581"/>
      <w:bookmarkStart w:id="407" w:name="_Toc200441255"/>
      <w:bookmarkStart w:id="408" w:name="_Toc211245935"/>
      <w:r>
        <w:rPr>
          <w:rFonts w:ascii="Times New Roman" w:hAnsi="Times New Roman" w:eastAsia="宋体" w:cs="Times New Roman"/>
        </w:rPr>
        <w:t>本项目公众参与的形式分为信息公示公开、召开座谈会、发放调查表等形式。其中发放</w:t>
      </w:r>
      <w:r>
        <w:rPr>
          <w:rFonts w:ascii="Times New Roman" w:hAnsi="Times New Roman" w:eastAsia="宋体" w:cs="Times New Roman"/>
          <w:kern w:val="0"/>
        </w:rPr>
        <w:t>调查表份数为200份，</w:t>
      </w:r>
      <w:r>
        <w:rPr>
          <w:rFonts w:ascii="Times New Roman" w:hAnsi="Times New Roman" w:eastAsia="宋体" w:cs="Times New Roman"/>
        </w:rPr>
        <w:t>收回200份。由于本项目职工多为当地村民，项目区居民对项目比较了解，认为项目对当地经济发展和居民生活水平的提高有一定促进作用，对项目表示支持。但被调查人员绝大部分人关心项目建设对环境造成的影响，同时希望项目建设环保先行，能将项目区及周围生态环境建设好，能妥善解决项目建设运营带来的社会问题，公众参与调查反馈的意见在本报告书中均得到采纳，建设单位进行了有关承诺。</w:t>
      </w:r>
    </w:p>
    <w:p>
      <w:pPr>
        <w:pStyle w:val="10"/>
        <w:spacing w:line="360" w:lineRule="auto"/>
        <w:rPr>
          <w:rFonts w:ascii="Times New Roman" w:hAnsi="Times New Roman"/>
        </w:rPr>
      </w:pPr>
      <w:r>
        <w:rPr>
          <w:rFonts w:ascii="Times New Roman" w:hAnsi="Times New Roman"/>
        </w:rPr>
        <w:t>3.1.11评价总体结论</w:t>
      </w:r>
      <w:bookmarkEnd w:id="399"/>
      <w:bookmarkEnd w:id="400"/>
      <w:bookmarkEnd w:id="401"/>
      <w:bookmarkEnd w:id="402"/>
    </w:p>
    <w:p>
      <w:pPr>
        <w:pStyle w:val="131"/>
        <w:rPr>
          <w:rFonts w:ascii="Times New Roman" w:hAnsi="Times New Roman"/>
        </w:rPr>
      </w:pPr>
      <w:bookmarkStart w:id="409" w:name="_Toc406504199"/>
      <w:bookmarkStart w:id="410" w:name="_Toc230234627"/>
      <w:bookmarkStart w:id="411" w:name="_Toc407217347"/>
      <w:bookmarkStart w:id="412" w:name="_Toc370112128"/>
      <w:bookmarkStart w:id="413" w:name="_Toc420663663"/>
      <w:bookmarkStart w:id="414" w:name="_Toc230236254"/>
      <w:bookmarkStart w:id="415" w:name="_Toc407153481"/>
      <w:r>
        <w:rPr>
          <w:rFonts w:ascii="Times New Roman" w:hAnsi="Times New Roman"/>
        </w:rPr>
        <w:t>本项目的建设将加快朱阳镇的社会经济发展，促进当地的经济繁荣，给当地带来巨大的社会经济效益。本项目符合国家产业政策，项目不在自然保护区范围内，符合城市发展规划，且其建设得到周围居民的支持。拟采取的各项清洁生产措施经济上合理、技术上可行；拟采取的各项污染防止措施可使工程对环境污染控制在最低程度。</w:t>
      </w:r>
    </w:p>
    <w:p>
      <w:pPr>
        <w:pStyle w:val="131"/>
        <w:rPr>
          <w:rFonts w:ascii="Times New Roman" w:hAnsi="Times New Roman"/>
        </w:rPr>
      </w:pPr>
      <w:r>
        <w:rPr>
          <w:rFonts w:ascii="Times New Roman" w:hAnsi="Times New Roman"/>
        </w:rPr>
        <w:t>综上，在按照环评提出的各项建议和要求完成的前提下，本项目从环境保护的角度评价是可行的。</w:t>
      </w:r>
    </w:p>
    <w:p>
      <w:pPr>
        <w:pStyle w:val="74"/>
      </w:pPr>
      <w:bookmarkStart w:id="416" w:name="_Toc470358682"/>
      <w:bookmarkStart w:id="417" w:name="_Toc470359049"/>
      <w:r>
        <w:t>3.1..12 建议</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spacing w:line="360" w:lineRule="auto"/>
        <w:ind w:firstLine="480" w:firstLineChars="200"/>
        <w:rPr>
          <w:sz w:val="24"/>
        </w:rPr>
      </w:pPr>
      <w:bookmarkStart w:id="418" w:name="_Toc407217348"/>
      <w:bookmarkStart w:id="419" w:name="_Toc406504200"/>
      <w:bookmarkStart w:id="420" w:name="_Toc420663664"/>
      <w:bookmarkStart w:id="421" w:name="_Toc407153482"/>
      <w:bookmarkStart w:id="422" w:name="_Toc370112129"/>
      <w:r>
        <w:rPr>
          <w:sz w:val="24"/>
        </w:rPr>
        <w:t>1、鉴于该项目目前存在有主要水环境、大气环境及生态环境等问题，因此评价建议建设单位按照环评要求做好所存在的环境问题的整改工作。同时建议建设单位在今后的项目实施的过程中，环保措施先行。</w:t>
      </w:r>
    </w:p>
    <w:p>
      <w:pPr>
        <w:spacing w:line="360" w:lineRule="auto"/>
        <w:ind w:firstLine="480" w:firstLineChars="200"/>
        <w:rPr>
          <w:sz w:val="24"/>
        </w:rPr>
      </w:pPr>
      <w:r>
        <w:rPr>
          <w:sz w:val="24"/>
        </w:rPr>
        <w:t>2、建议加强尾矿综合利用研究。</w:t>
      </w:r>
    </w:p>
    <w:p>
      <w:pPr>
        <w:spacing w:line="360" w:lineRule="auto"/>
        <w:ind w:firstLine="480" w:firstLineChars="200"/>
        <w:rPr>
          <w:sz w:val="24"/>
        </w:rPr>
      </w:pPr>
      <w:r>
        <w:rPr>
          <w:sz w:val="24"/>
        </w:rPr>
        <w:t>3、建议建设单位强化对职工的环保教育。</w:t>
      </w:r>
    </w:p>
    <w:p>
      <w:pPr>
        <w:spacing w:line="360" w:lineRule="auto"/>
        <w:ind w:firstLine="480" w:firstLineChars="200"/>
        <w:rPr>
          <w:sz w:val="24"/>
        </w:rPr>
      </w:pPr>
      <w:r>
        <w:rPr>
          <w:sz w:val="24"/>
        </w:rPr>
        <w:t>4、建议建设单位与当地政府及规划等管理部门协商，在本项目尾矿库下游500m范围内不得新建住宅及其他设施。</w:t>
      </w:r>
    </w:p>
    <w:p>
      <w:pPr>
        <w:spacing w:line="360" w:lineRule="auto"/>
        <w:ind w:firstLine="480" w:firstLineChars="200"/>
        <w:rPr>
          <w:sz w:val="24"/>
        </w:rPr>
      </w:pPr>
      <w:r>
        <w:rPr>
          <w:sz w:val="24"/>
        </w:rPr>
        <w:t>5、加强对矿坑涌水的水质监测，发现水质不满足《地表水环境质量标准》（GB3838-2002）</w:t>
      </w: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类标准立即停止外排。</w:t>
      </w:r>
    </w:p>
    <w:p>
      <w:pPr>
        <w:pStyle w:val="3"/>
        <w:spacing w:before="0" w:after="0"/>
        <w:rPr>
          <w:rFonts w:ascii="Times New Roman" w:hAnsi="Times New Roman"/>
        </w:rPr>
      </w:pPr>
      <w:bookmarkStart w:id="423" w:name="_Toc470358683"/>
      <w:bookmarkStart w:id="424" w:name="_Toc488578906"/>
      <w:r>
        <w:rPr>
          <w:rFonts w:ascii="Times New Roman" w:hAnsi="Times New Roman"/>
        </w:rPr>
        <w:t>3.2 环境影响报告书批复</w:t>
      </w:r>
      <w:bookmarkEnd w:id="418"/>
      <w:bookmarkEnd w:id="419"/>
      <w:bookmarkEnd w:id="420"/>
      <w:bookmarkEnd w:id="421"/>
      <w:bookmarkEnd w:id="422"/>
      <w:r>
        <w:rPr>
          <w:rFonts w:ascii="Times New Roman" w:hAnsi="Times New Roman"/>
        </w:rPr>
        <w:t>内容</w:t>
      </w:r>
      <w:bookmarkEnd w:id="423"/>
      <w:bookmarkEnd w:id="424"/>
    </w:p>
    <w:p>
      <w:pPr>
        <w:spacing w:line="360" w:lineRule="auto"/>
        <w:jc w:val="left"/>
        <w:rPr>
          <w:sz w:val="24"/>
        </w:rPr>
      </w:pPr>
      <w:r>
        <w:rPr>
          <w:sz w:val="24"/>
        </w:rPr>
        <w:t>灵宝金源晨光有色矿冶有限公司：</w:t>
      </w:r>
    </w:p>
    <w:p>
      <w:pPr>
        <w:spacing w:line="360" w:lineRule="auto"/>
        <w:jc w:val="left"/>
        <w:rPr>
          <w:sz w:val="24"/>
        </w:rPr>
      </w:pPr>
      <w:r>
        <w:rPr>
          <w:sz w:val="24"/>
        </w:rPr>
        <w:t xml:space="preserve">    你公司报送的由山东省煤田地质规划勘察研究院编制的《灵宝金源晨光有色矿冶有限公司银家沟硫铁矿综合回收扩建工程项目环境影响报告书》(报批版)(以下简称《报告书》)、河南省环境工程评估中心技术评估报告（豫环评估书[2013]137号）、三门峡市环保局初审意见（三环建函[2013]24号）等有关材料收悉，项目位于灵宝市朱阳镇银家沟，保留原有采矿工业场地、650t/d选矿生产线及尾矿库，新建南风井及南风井工业场地、1000t/d铜硫浮选生产线、地下矿体开采系统、主井至新建选厂运矿轨道、尾矿库坝下1600立方米事故池、尾矿库输送及回水管线等。矿山设计利用储量4100万吨，开采规模50万吨/年，服务年限80年。配套银家沟总库容尾矿库总库容261.3万立方米（已堆放91万立方米尾矿），剩余服务年限13.2年。项目总投资46446万元，其中环保投资693万元。遵照《中华人民共和国环境影响评价法》的规定，经审核，该项目建设内容符合国家产业政策，我厅同意《报告书》提出的各项环境保护措施及建议。请你公司切实按《报告书》和本批复要求，落实该项目环境保护投资与管理责任，注意做好以下工作：</w:t>
      </w:r>
    </w:p>
    <w:p>
      <w:pPr>
        <w:spacing w:line="360" w:lineRule="auto"/>
        <w:jc w:val="left"/>
        <w:rPr>
          <w:sz w:val="24"/>
        </w:rPr>
      </w:pPr>
      <w:r>
        <w:rPr>
          <w:sz w:val="24"/>
        </w:rPr>
        <w:t xml:space="preserve">    一、针对项目意见工程存在的环保问题，严格按照《报告书》要求，逐项落实整改，确保整改到位，重点是利用废石填充地面塌陷坑，并进行覆土、平整、绿化；废石堆场周边修建截排水沟和雨水收集池；破碎工段设置集气罩4个、袋式除尘器1台，筛分工段设置集气罩2个、袋式除尘器1台；新建精矿沉淀池，尾矿库东侧山坡设置截排水沟，实现雨污分流；建设尾矿库澄清水回用系统，包括选厂1500立方米高位水池、回水管路、泵房等。</w:t>
      </w:r>
    </w:p>
    <w:p>
      <w:pPr>
        <w:spacing w:line="360" w:lineRule="auto"/>
        <w:jc w:val="left"/>
        <w:rPr>
          <w:sz w:val="24"/>
        </w:rPr>
      </w:pPr>
      <w:r>
        <w:rPr>
          <w:sz w:val="24"/>
        </w:rPr>
        <w:t xml:space="preserve">    二、做好固废处置处理工作。项目设置一处废石场，基建期废石部分用于填充塌陷区，剩余部分全部堆存至废石场。营运期废石3万吨/年，全部堆存至废石场。项目尾矿12.4万吨/年全部排入银家沟尾矿库。废石场要委托有资质的单位进行设计与施工，按规范建设烂渣墙、截排水沟等防护措施。银家沟尾矿库设计与施工，按规范建设拦渣墙、截排水沟等措施。银家沟尾矿库闭库前，需完成接替尾矿库的初步设计和环评工作。</w:t>
      </w:r>
    </w:p>
    <w:p>
      <w:pPr>
        <w:spacing w:line="360" w:lineRule="auto"/>
        <w:rPr>
          <w:sz w:val="24"/>
        </w:rPr>
      </w:pPr>
      <w:r>
        <w:rPr>
          <w:sz w:val="24"/>
        </w:rPr>
        <w:t xml:space="preserve">     三、做好生产废水和生活污水的处理处置工作。项目首采期矿井涌水量约为6910～9121立方米/天，部分用于矿区生产生活及周边居民点供水，多余部分直接排放至麻家河。生活污水、选矿废水与尾矿渣一并排放至尾矿库，尾矿库澄清水经絮凝车间处理后返回选产高位水池用于选矿生产，尾矿库澄清水不外排，选厂设置120m立方米事故池，收集选厂事故状态下生产废水，尾矿库下游建设1600立方米事故池，并配套建设事故池与尾矿库之间的回水管路和备用发电系统，确保事故状态废水不外排。</w:t>
      </w:r>
    </w:p>
    <w:p>
      <w:pPr>
        <w:spacing w:line="360" w:lineRule="auto"/>
        <w:rPr>
          <w:sz w:val="24"/>
        </w:rPr>
      </w:pPr>
      <w:r>
        <w:rPr>
          <w:sz w:val="24"/>
        </w:rPr>
        <w:t xml:space="preserve">    四、做好矿山、选厂、尾矿库及运输道路的烟尘与噪声控制工作。对原矿堆场、废石场、尾矿库、运矿道路定时洒水抑尘；对运矿车辆采取苫盖篷布、禁鸣、限速、禁止夜间运输等综合防控措施，以降低或减轻粉尘及噪声对选厂、道路沿线等环境敏感点的不良影响。</w:t>
      </w:r>
    </w:p>
    <w:p>
      <w:pPr>
        <w:spacing w:line="360" w:lineRule="auto"/>
        <w:rPr>
          <w:sz w:val="24"/>
        </w:rPr>
      </w:pPr>
      <w:r>
        <w:rPr>
          <w:sz w:val="24"/>
        </w:rPr>
        <w:t xml:space="preserve">    五、做好生态保护及恢复工作。运营期间，及时对废石进行整治，对地表沉陷进行观测、监控，对出现的塌陷坑、裂缝及时回填，稳定后覆土绿化。服务期满后，应按照相关要求闭库，将项目工业场地、废石场、尾矿库、地面塌陷区恢复为灌草地。要按照水利行政主管部门核准的水土保持方案，落实水土保持措施，做好矿区的水土保持工作。</w:t>
      </w:r>
    </w:p>
    <w:p>
      <w:pPr>
        <w:spacing w:line="360" w:lineRule="auto"/>
        <w:rPr>
          <w:sz w:val="24"/>
        </w:rPr>
      </w:pPr>
      <w:r>
        <w:rPr>
          <w:sz w:val="24"/>
        </w:rPr>
        <w:t xml:space="preserve">    六、在建设施工期，应委托有换进工程监理资质的机构及人员进行全程监理，工程监理报告将作为批准试生产和竣工环保验收的依据之一。应建立健全环保责任制度，指定专人负责选厂的环保管理工作，建立尾矿库运行管理档案制度， 制定并实施矿区生态恢复计划和环境风险事故应急预案。</w:t>
      </w:r>
    </w:p>
    <w:p>
      <w:pPr>
        <w:spacing w:line="360" w:lineRule="auto"/>
        <w:rPr>
          <w:sz w:val="24"/>
        </w:rPr>
      </w:pPr>
      <w:r>
        <w:rPr>
          <w:sz w:val="24"/>
        </w:rPr>
        <w:t xml:space="preserve">   七、在项目建设和实施过程中，你公司要切实遵守环境保护“三同时”制度，自觉接受三门峡市级灵宝市环保部门的日常监督管理。项目建成后需及时依法申请试运行和环境保护竣工验收，未经我厅验收或验收不合格，不得正式投入生产。</w:t>
      </w:r>
    </w:p>
    <w:p>
      <w:pPr>
        <w:spacing w:line="360" w:lineRule="auto"/>
        <w:jc w:val="right"/>
        <w:rPr>
          <w:sz w:val="24"/>
        </w:rPr>
      </w:pPr>
      <w:r>
        <w:rPr>
          <w:sz w:val="24"/>
        </w:rPr>
        <w:t>河南省环境保护厅</w:t>
      </w:r>
    </w:p>
    <w:p>
      <w:pPr>
        <w:pStyle w:val="26"/>
        <w:spacing w:line="360" w:lineRule="auto"/>
        <w:ind w:right="105" w:firstLine="480" w:firstLineChars="200"/>
        <w:jc w:val="right"/>
        <w:rPr>
          <w:rFonts w:ascii="Times New Roman" w:hAnsi="Times New Roman"/>
          <w:sz w:val="24"/>
          <w:szCs w:val="24"/>
        </w:rPr>
      </w:pPr>
      <w:r>
        <w:rPr>
          <w:rFonts w:ascii="Times New Roman" w:hAnsi="Times New Roman"/>
          <w:sz w:val="24"/>
          <w:szCs w:val="24"/>
        </w:rPr>
        <w:t>2013年5月30日</w:t>
      </w:r>
    </w:p>
    <w:p>
      <w:pPr>
        <w:spacing w:line="360" w:lineRule="auto"/>
      </w:pPr>
    </w:p>
    <w:p>
      <w:pPr>
        <w:spacing w:line="360" w:lineRule="auto"/>
      </w:pPr>
    </w:p>
    <w:p>
      <w:pPr>
        <w:spacing w:line="360" w:lineRule="auto"/>
      </w:pPr>
    </w:p>
    <w:p/>
    <w:p/>
    <w:p/>
    <w:p/>
    <w:p/>
    <w:p/>
    <w:p/>
    <w:p/>
    <w:p>
      <w:pPr>
        <w:pStyle w:val="88"/>
        <w:rPr>
          <w:color w:val="auto"/>
        </w:rPr>
      </w:pPr>
      <w:r>
        <w:rPr>
          <w:color w:val="auto"/>
        </w:rPr>
        <w:tab/>
      </w:r>
    </w:p>
    <w:p/>
    <w:p>
      <w:pPr>
        <w:sectPr>
          <w:pgSz w:w="11906" w:h="16838"/>
          <w:pgMar w:top="1440" w:right="1797" w:bottom="1440" w:left="1797" w:header="851" w:footer="992" w:gutter="0"/>
          <w:cols w:space="425" w:num="1"/>
          <w:docGrid w:linePitch="312" w:charSpace="0"/>
        </w:sectPr>
      </w:pPr>
    </w:p>
    <w:p>
      <w:pPr>
        <w:pStyle w:val="79"/>
        <w:spacing w:after="240"/>
      </w:pPr>
      <w:bookmarkStart w:id="425" w:name="_Toc406504201"/>
      <w:bookmarkStart w:id="426" w:name="_Toc420663665"/>
      <w:bookmarkStart w:id="427" w:name="_Toc407153483"/>
      <w:bookmarkStart w:id="428" w:name="_Toc407217349"/>
      <w:bookmarkStart w:id="429" w:name="_Toc470358684"/>
      <w:bookmarkStart w:id="430" w:name="_Toc488578907"/>
      <w:r>
        <w:t>第四章  环保措施建设情况调查</w:t>
      </w:r>
      <w:bookmarkEnd w:id="304"/>
      <w:bookmarkEnd w:id="305"/>
      <w:bookmarkEnd w:id="306"/>
      <w:bookmarkEnd w:id="425"/>
      <w:bookmarkEnd w:id="426"/>
      <w:bookmarkEnd w:id="427"/>
      <w:bookmarkEnd w:id="428"/>
      <w:bookmarkEnd w:id="429"/>
      <w:bookmarkEnd w:id="430"/>
    </w:p>
    <w:p>
      <w:pPr>
        <w:pStyle w:val="26"/>
        <w:spacing w:line="360" w:lineRule="auto"/>
        <w:ind w:firstLine="480" w:firstLineChars="200"/>
        <w:rPr>
          <w:rFonts w:ascii="Times New Roman" w:hAnsi="Times New Roman"/>
          <w:b/>
          <w:bCs/>
          <w:sz w:val="24"/>
          <w:szCs w:val="24"/>
        </w:rPr>
      </w:pPr>
      <w:bookmarkStart w:id="431" w:name="_Toc173284084"/>
      <w:bookmarkStart w:id="432" w:name="_Toc173147935"/>
      <w:r>
        <w:rPr>
          <w:rFonts w:ascii="Times New Roman" w:hAnsi="Times New Roman"/>
          <w:sz w:val="24"/>
          <w:szCs w:val="24"/>
        </w:rPr>
        <w:t>本项目2016年6</w:t>
      </w:r>
      <w:r>
        <w:rPr>
          <w:rFonts w:ascii="Times New Roman" w:hAnsi="Times New Roman"/>
          <w:kern w:val="0"/>
          <w:sz w:val="24"/>
        </w:rPr>
        <w:t>月主体工程和配套的环境保护设施已按照设计方案和环境影响评价报告及省环保厅豫环审</w:t>
      </w:r>
      <w:r>
        <w:rPr>
          <w:rFonts w:ascii="Times New Roman" w:hAnsi="Times New Roman"/>
          <w:sz w:val="24"/>
          <w:szCs w:val="24"/>
        </w:rPr>
        <w:t>【2013】</w:t>
      </w:r>
      <w:r>
        <w:rPr>
          <w:rFonts w:ascii="Times New Roman" w:hAnsi="Times New Roman" w:eastAsia="汉鼎简书宋"/>
          <w:sz w:val="24"/>
        </w:rPr>
        <w:t>250号</w:t>
      </w:r>
      <w:r>
        <w:rPr>
          <w:rFonts w:ascii="Times New Roman" w:hAnsi="Times New Roman"/>
          <w:sz w:val="24"/>
          <w:szCs w:val="24"/>
        </w:rPr>
        <w:t>文批复中的要求建设完工。满足验收条件。</w:t>
      </w:r>
      <w:r>
        <w:rPr>
          <w:rFonts w:ascii="Times New Roman" w:hAnsi="Times New Roman"/>
          <w:kern w:val="0"/>
          <w:sz w:val="24"/>
        </w:rPr>
        <w:t>根据宁夏智诚安环科技发展股份有限公司编制的环境监理报告，</w:t>
      </w:r>
      <w:r>
        <w:rPr>
          <w:rFonts w:hint="eastAsia" w:ascii="Times New Roman" w:hAnsi="Times New Roman"/>
          <w:kern w:val="0"/>
          <w:sz w:val="24"/>
        </w:rPr>
        <w:t>对</w:t>
      </w:r>
      <w:r>
        <w:rPr>
          <w:rFonts w:ascii="Times New Roman" w:hAnsi="Times New Roman"/>
          <w:kern w:val="0"/>
          <w:sz w:val="24"/>
        </w:rPr>
        <w:t>施工期环保措施和隐蔽环保工程落实情况</w:t>
      </w:r>
      <w:r>
        <w:rPr>
          <w:rFonts w:hint="eastAsia" w:ascii="Times New Roman" w:hAnsi="Times New Roman"/>
          <w:kern w:val="0"/>
          <w:sz w:val="24"/>
        </w:rPr>
        <w:t>进行</w:t>
      </w:r>
      <w:r>
        <w:rPr>
          <w:rFonts w:ascii="Times New Roman" w:hAnsi="Times New Roman"/>
          <w:kern w:val="0"/>
          <w:sz w:val="24"/>
        </w:rPr>
        <w:t>判断</w:t>
      </w:r>
      <w:r>
        <w:rPr>
          <w:rFonts w:hint="eastAsia" w:ascii="Times New Roman" w:hAnsi="Times New Roman"/>
          <w:kern w:val="0"/>
          <w:sz w:val="24"/>
        </w:rPr>
        <w:t>。</w:t>
      </w:r>
    </w:p>
    <w:p>
      <w:pPr>
        <w:pStyle w:val="3"/>
        <w:spacing w:before="0" w:after="0"/>
        <w:rPr>
          <w:rFonts w:ascii="Times New Roman" w:hAnsi="Times New Roman"/>
        </w:rPr>
      </w:pPr>
      <w:bookmarkStart w:id="433" w:name="_Toc370112122"/>
      <w:bookmarkStart w:id="434" w:name="_Toc407153484"/>
      <w:bookmarkStart w:id="435" w:name="_Toc406504202"/>
      <w:bookmarkStart w:id="436" w:name="_Toc420663666"/>
      <w:bookmarkStart w:id="437" w:name="_Toc407217350"/>
      <w:bookmarkStart w:id="438" w:name="_Toc470358685"/>
      <w:bookmarkStart w:id="439" w:name="_Toc488578908"/>
      <w:r>
        <w:rPr>
          <w:rFonts w:ascii="Times New Roman" w:hAnsi="Times New Roman"/>
        </w:rPr>
        <w:t>4.1 环保措施落实情况</w:t>
      </w:r>
      <w:bookmarkEnd w:id="431"/>
      <w:bookmarkEnd w:id="432"/>
      <w:bookmarkEnd w:id="433"/>
      <w:bookmarkEnd w:id="434"/>
      <w:bookmarkEnd w:id="435"/>
      <w:bookmarkEnd w:id="436"/>
      <w:bookmarkEnd w:id="437"/>
      <w:bookmarkEnd w:id="438"/>
      <w:r>
        <w:rPr>
          <w:rFonts w:ascii="Times New Roman" w:hAnsi="Times New Roman"/>
        </w:rPr>
        <w:t>调查</w:t>
      </w:r>
      <w:bookmarkEnd w:id="439"/>
    </w:p>
    <w:p>
      <w:pPr>
        <w:pStyle w:val="74"/>
      </w:pPr>
      <w:r>
        <w:t>4.1.1矿建矿山环保措施建设情况调查</w:t>
      </w:r>
    </w:p>
    <w:p>
      <w:pPr>
        <w:pStyle w:val="5"/>
        <w:rPr>
          <w:rFonts w:ascii="Times New Roman" w:hAnsi="Times New Roman"/>
        </w:rPr>
      </w:pPr>
      <w:r>
        <w:rPr>
          <w:rFonts w:ascii="Times New Roman" w:hAnsi="Times New Roman"/>
        </w:rPr>
        <w:t>4.1.1.1扩建矿山空气污染防治措施调查</w:t>
      </w:r>
    </w:p>
    <w:p>
      <w:pPr>
        <w:pStyle w:val="107"/>
        <w:rPr>
          <w:rFonts w:eastAsia="宋体"/>
          <w:spacing w:val="2"/>
        </w:rPr>
      </w:pPr>
      <w:r>
        <w:rPr>
          <w:rFonts w:eastAsia="宋体"/>
          <w:spacing w:val="2"/>
        </w:rPr>
        <w:t xml:space="preserve">     矿山生产和辅助生产过程中对环境空气形成的污染可分为（</w:t>
      </w:r>
      <w:r>
        <w:rPr>
          <w:spacing w:val="2"/>
        </w:rPr>
        <w:t>1</w:t>
      </w:r>
      <w:r>
        <w:rPr>
          <w:rFonts w:eastAsia="宋体"/>
          <w:spacing w:val="2"/>
        </w:rPr>
        <w:t>）</w:t>
      </w:r>
      <w:r>
        <w:rPr>
          <w:rFonts w:eastAsia="宋体"/>
        </w:rPr>
        <w:t>凿岩、爆破废气；</w:t>
      </w:r>
      <w:r>
        <w:rPr>
          <w:rFonts w:eastAsia="宋体"/>
          <w:spacing w:val="2"/>
        </w:rPr>
        <w:t>（</w:t>
      </w:r>
      <w:r>
        <w:rPr>
          <w:spacing w:val="2"/>
        </w:rPr>
        <w:t>2</w:t>
      </w:r>
      <w:r>
        <w:rPr>
          <w:rFonts w:eastAsia="宋体"/>
          <w:spacing w:val="2"/>
        </w:rPr>
        <w:t>）工业场地、废石场等固定污染源的风蚀扬尘；（</w:t>
      </w:r>
      <w:r>
        <w:rPr>
          <w:spacing w:val="2"/>
        </w:rPr>
        <w:t>3</w:t>
      </w:r>
      <w:r>
        <w:rPr>
          <w:rFonts w:eastAsia="宋体"/>
          <w:spacing w:val="2"/>
        </w:rPr>
        <w:t>）矿石在装卸运输过程中的扬尘等。</w:t>
      </w:r>
    </w:p>
    <w:p>
      <w:pPr>
        <w:jc w:val="center"/>
        <w:rPr>
          <w:b/>
          <w:spacing w:val="2"/>
        </w:rPr>
      </w:pPr>
      <w:r>
        <w:object>
          <v:shape id="_x0000_i1027" o:spt="75" type="#_x0000_t75" style="height:183.75pt;width:422.2pt;" o:ole="t" filled="f" o:preferrelative="t" stroked="f" coordsize="21600,21600">
            <v:path/>
            <v:fill on="f" focussize="0,0"/>
            <v:stroke on="f" joinstyle="miter"/>
            <v:imagedata r:id="rId19" o:title=""/>
            <o:lock v:ext="edit" aspectratio="t"/>
            <w10:wrap type="none"/>
            <w10:anchorlock/>
          </v:shape>
          <o:OLEObject Type="Embed" ProgID="Visio.Drawing.11" ShapeID="_x0000_i1027" DrawAspect="Content" ObjectID="_1468075726" r:id="rId26">
            <o:LockedField>false</o:LockedField>
          </o:OLEObject>
        </w:object>
      </w:r>
      <w:r>
        <w:rPr>
          <w:b/>
        </w:rPr>
        <w:t xml:space="preserve">表4.1-1 </w:t>
      </w:r>
      <w:r>
        <w:rPr>
          <w:b/>
          <w:spacing w:val="2"/>
        </w:rPr>
        <w:t>采矿工艺及产污环节流程图</w:t>
      </w:r>
    </w:p>
    <w:p/>
    <w:p>
      <w:pPr>
        <w:pStyle w:val="109"/>
        <w:spacing w:line="360" w:lineRule="auto"/>
        <w:rPr>
          <w:sz w:val="24"/>
          <w:szCs w:val="24"/>
        </w:rPr>
      </w:pPr>
      <w:r>
        <w:t xml:space="preserve">    （1）</w:t>
      </w:r>
      <w:r>
        <w:rPr>
          <w:sz w:val="24"/>
          <w:szCs w:val="24"/>
        </w:rPr>
        <w:t>井下凿岩过程中产生的废气</w:t>
      </w:r>
    </w:p>
    <w:p>
      <w:pPr>
        <w:pStyle w:val="109"/>
        <w:spacing w:line="360" w:lineRule="auto"/>
        <w:ind w:firstLine="480" w:firstLineChars="200"/>
        <w:rPr>
          <w:sz w:val="24"/>
          <w:szCs w:val="24"/>
        </w:rPr>
      </w:pPr>
      <w:r>
        <w:rPr>
          <w:sz w:val="24"/>
          <w:szCs w:val="24"/>
        </w:rPr>
        <w:t>主要有粉尘以及爆破过程中释放的含CO等有害气体的爆破炮烟。矿井内各作业面粉尘产生浓度一般小于50mg/m</w:t>
      </w:r>
      <w:r>
        <w:rPr>
          <w:sz w:val="24"/>
          <w:szCs w:val="24"/>
          <w:vertAlign w:val="superscript"/>
        </w:rPr>
        <w:t>3</w:t>
      </w:r>
      <w:r>
        <w:rPr>
          <w:sz w:val="24"/>
          <w:szCs w:val="24"/>
        </w:rPr>
        <w:t>，工程采取湿式凿岩，采用主扇和井下辅扇集中抽出式通风方式，凿岩后采取加强通风，矿井主要入天井巷定期清洗岩壁，防止二次扬尘，并进行喷雾洒水措施抑制粉尘飞扬。</w:t>
      </w:r>
    </w:p>
    <w:p>
      <w:pPr>
        <w:pStyle w:val="109"/>
        <w:spacing w:line="360" w:lineRule="auto"/>
        <w:ind w:firstLine="480" w:firstLineChars="200"/>
        <w:rPr>
          <w:sz w:val="24"/>
          <w:szCs w:val="24"/>
        </w:rPr>
      </w:pPr>
      <w:r>
        <w:rPr>
          <w:sz w:val="24"/>
          <w:szCs w:val="24"/>
        </w:rPr>
        <w:t>地下凿岩、爆破、铲装、运输等工序产生的废气通过井下通风装置的运行，排至地面，粉尘浓度可控制在1mg/m</w:t>
      </w:r>
      <w:r>
        <w:rPr>
          <w:sz w:val="24"/>
          <w:szCs w:val="24"/>
          <w:vertAlign w:val="superscript"/>
        </w:rPr>
        <w:t>3</w:t>
      </w:r>
      <w:r>
        <w:rPr>
          <w:sz w:val="24"/>
          <w:szCs w:val="24"/>
        </w:rPr>
        <w:t>以内。通过上述抑尘除尘措施，预计该项目采场粉尘的无组织排放浓度能够达到《大气污染物综合排放标准》相关要求。同时其他污染物得到及时稀释和不断扩散，其浓度急剧降低，出风口CO浓度也能够满足《大气污染物综合排放标准》要求。本项目矿山工业场地周边200m无村庄，距离工业场地最近</w:t>
      </w:r>
      <w:r>
        <w:rPr>
          <w:spacing w:val="2"/>
          <w:sz w:val="24"/>
          <w:szCs w:val="24"/>
        </w:rPr>
        <w:t>对村庄均有山体阻隔，井下废气对周边村庄影响不大。</w:t>
      </w:r>
    </w:p>
    <w:p>
      <w:pPr>
        <w:pStyle w:val="26"/>
        <w:spacing w:line="360" w:lineRule="auto"/>
        <w:ind w:firstLine="480" w:firstLineChars="200"/>
        <w:jc w:val="left"/>
        <w:rPr>
          <w:rFonts w:ascii="Times New Roman" w:hAnsi="Times New Roman"/>
          <w:sz w:val="24"/>
        </w:rPr>
      </w:pPr>
      <w:r>
        <w:rPr>
          <w:rFonts w:ascii="Times New Roman" w:hAnsi="Times New Roman"/>
          <w:sz w:val="24"/>
        </w:rPr>
        <w:t>（2）工业场地粉尘</w:t>
      </w:r>
    </w:p>
    <w:p>
      <w:pPr>
        <w:pStyle w:val="26"/>
        <w:spacing w:line="360" w:lineRule="auto"/>
        <w:ind w:firstLine="480" w:firstLineChars="200"/>
        <w:rPr>
          <w:rFonts w:ascii="Times New Roman" w:hAnsi="Times New Roman"/>
          <w:sz w:val="24"/>
        </w:rPr>
      </w:pPr>
      <w:r>
        <w:rPr>
          <w:rFonts w:ascii="Times New Roman" w:hAnsi="Times New Roman"/>
          <w:sz w:val="24"/>
        </w:rPr>
        <w:t>①工业场地</w:t>
      </w:r>
    </w:p>
    <w:p>
      <w:pPr>
        <w:tabs>
          <w:tab w:val="left" w:pos="567"/>
          <w:tab w:val="left" w:pos="851"/>
          <w:tab w:val="left" w:pos="1134"/>
        </w:tabs>
        <w:spacing w:line="360" w:lineRule="auto"/>
        <w:ind w:firstLine="480" w:firstLineChars="200"/>
        <w:rPr>
          <w:sz w:val="24"/>
        </w:rPr>
      </w:pPr>
      <w:r>
        <w:rPr>
          <w:sz w:val="24"/>
        </w:rPr>
        <w:t>本项目工业场地矿石临时周转场矿石堆存量小，周边设置2m高挡墙，并配备洒水车定期洒水抑尘。根据灵宝市环境监测站2016年8月25～8月26日对工业场地上风向参照点和下风向监控点无组织扬尘监测结果可知，工业场地无组织粉尘周界最大浓度为0.151mg/m</w:t>
      </w:r>
      <w:r>
        <w:rPr>
          <w:sz w:val="24"/>
          <w:vertAlign w:val="superscript"/>
        </w:rPr>
        <w:t>3</w:t>
      </w:r>
      <w:r>
        <w:rPr>
          <w:sz w:val="24"/>
        </w:rPr>
        <w:t>，颗粒物排放浓度满足《大气污染物综合排放标准》表2周界外浓度最高点1.0mg/m</w:t>
      </w:r>
      <w:r>
        <w:rPr>
          <w:sz w:val="24"/>
          <w:vertAlign w:val="superscript"/>
        </w:rPr>
        <w:t>3</w:t>
      </w:r>
      <w:r>
        <w:rPr>
          <w:sz w:val="24"/>
        </w:rPr>
        <w:t>标准要求。</w:t>
      </w:r>
    </w:p>
    <w:p>
      <w:pPr>
        <w:pStyle w:val="26"/>
        <w:spacing w:line="360" w:lineRule="auto"/>
        <w:ind w:firstLine="480" w:firstLineChars="200"/>
        <w:jc w:val="left"/>
        <w:rPr>
          <w:rFonts w:ascii="Times New Roman" w:hAnsi="Times New Roman"/>
          <w:sz w:val="24"/>
        </w:rPr>
      </w:pPr>
      <w:r>
        <w:rPr>
          <w:rFonts w:ascii="Times New Roman" w:hAnsi="Times New Roman"/>
          <w:sz w:val="24"/>
        </w:rPr>
        <w:t>（3）废石场粉尘</w:t>
      </w:r>
    </w:p>
    <w:p>
      <w:pPr>
        <w:tabs>
          <w:tab w:val="left" w:pos="567"/>
          <w:tab w:val="left" w:pos="851"/>
          <w:tab w:val="left" w:pos="1134"/>
        </w:tabs>
        <w:spacing w:line="360" w:lineRule="auto"/>
        <w:ind w:firstLine="480" w:firstLineChars="200"/>
        <w:rPr>
          <w:sz w:val="24"/>
        </w:rPr>
      </w:pPr>
      <w:r>
        <w:rPr>
          <w:sz w:val="24"/>
        </w:rPr>
        <w:t>本项目废石场配备洒水车定期洒水抑尘。根据灵宝市环境监测站2016年8月25～8月26日对废石场上风向参照点和下风向监控点无组织扬尘监测结果可知，废石场无组织粉尘周界最大浓度为0.134mg/m</w:t>
      </w:r>
      <w:r>
        <w:rPr>
          <w:sz w:val="24"/>
          <w:vertAlign w:val="superscript"/>
        </w:rPr>
        <w:t>3</w:t>
      </w:r>
      <w:r>
        <w:rPr>
          <w:sz w:val="24"/>
        </w:rPr>
        <w:t>，颗粒物排放浓度满足《大气污染物综合排放标准》表2周界外浓度最高点1.0mg/m</w:t>
      </w:r>
      <w:r>
        <w:rPr>
          <w:sz w:val="24"/>
          <w:vertAlign w:val="superscript"/>
        </w:rPr>
        <w:t>3</w:t>
      </w:r>
      <w:r>
        <w:rPr>
          <w:sz w:val="24"/>
        </w:rPr>
        <w:t>标准要求。</w:t>
      </w:r>
    </w:p>
    <w:p>
      <w:pPr>
        <w:pStyle w:val="26"/>
        <w:spacing w:line="360" w:lineRule="auto"/>
        <w:ind w:firstLine="480" w:firstLineChars="200"/>
        <w:jc w:val="left"/>
        <w:rPr>
          <w:rFonts w:ascii="Times New Roman" w:hAnsi="Times New Roman"/>
          <w:sz w:val="24"/>
        </w:rPr>
      </w:pPr>
      <w:r>
        <w:rPr>
          <w:rFonts w:ascii="Times New Roman" w:hAnsi="Times New Roman"/>
          <w:sz w:val="24"/>
        </w:rPr>
        <w:t>（4）矿石装卸及运输扬尘</w:t>
      </w:r>
    </w:p>
    <w:p>
      <w:pPr>
        <w:spacing w:line="360" w:lineRule="auto"/>
        <w:ind w:firstLine="480" w:firstLineChars="200"/>
        <w:jc w:val="left"/>
        <w:rPr>
          <w:sz w:val="24"/>
        </w:rPr>
      </w:pPr>
      <w:r>
        <w:rPr>
          <w:sz w:val="24"/>
        </w:rPr>
        <w:t>矿石在装卸过程中不可避免会产生少量扬尘，特别是汽车运输道路产生的扬尘，其污染物主要是TSP。道路扬尘指聚积于道路表面的颗粒物，在外界风力或由于车辆的运动，使其离开稳定位置而进入环境空气。建设单位装矿石时不高于车厢、加盖帆布以控制矿石运输的扬尘污染。在运输路线上配置了专人及时清扫路面，并定时洒水防尘。在为了防治噪声影响，路面经常维护修补，汽车也经常维修保养，维持良好的车况，并由专人维护路面平整。</w:t>
      </w:r>
    </w:p>
    <w:p>
      <w:pPr>
        <w:pStyle w:val="5"/>
        <w:rPr>
          <w:rFonts w:ascii="Times New Roman" w:hAnsi="Times New Roman"/>
        </w:rPr>
      </w:pPr>
      <w:r>
        <w:rPr>
          <w:rFonts w:ascii="Times New Roman" w:hAnsi="Times New Roman"/>
        </w:rPr>
        <w:t>4.1.1.2扩建矿山废水污染防治措施调查</w:t>
      </w:r>
    </w:p>
    <w:p>
      <w:pPr>
        <w:pStyle w:val="107"/>
      </w:pPr>
      <w:r>
        <w:rPr>
          <w:rFonts w:eastAsia="宋体"/>
        </w:rPr>
        <w:t xml:space="preserve">   （1）生产废水</w:t>
      </w:r>
    </w:p>
    <w:p>
      <w:pPr>
        <w:pStyle w:val="26"/>
        <w:spacing w:line="360" w:lineRule="auto"/>
        <w:ind w:firstLine="480" w:firstLineChars="200"/>
        <w:rPr>
          <w:rFonts w:ascii="Times New Roman" w:hAnsi="Times New Roman"/>
          <w:sz w:val="24"/>
        </w:rPr>
      </w:pPr>
      <w:r>
        <w:rPr>
          <w:rFonts w:ascii="Times New Roman" w:hAnsi="Times New Roman"/>
          <w:sz w:val="24"/>
        </w:rPr>
        <w:pict>
          <v:line id="_x0000_s5441" o:spid="_x0000_s5441" o:spt="20" style="position:absolute;left:0pt;margin-left:153pt;margin-top:53pt;height:0pt;width:90pt;z-index:251722752;mso-width-relative:page;mso-height-relative:page;" stroked="f" coordsize="21600,21600">
            <v:path arrowok="t"/>
            <v:fill focussize="0,0"/>
            <v:stroke on="f"/>
            <v:imagedata o:title=""/>
            <o:lock v:ext="edit"/>
          </v:line>
        </w:pict>
      </w:r>
      <w:r>
        <w:rPr>
          <w:rFonts w:ascii="Times New Roman" w:hAnsi="Times New Roman"/>
          <w:sz w:val="24"/>
        </w:rPr>
        <w:t>采场水污染源主要为矿井排水，本项目主竖井为原东斜井改造而成，矿井涌水均通过原采矿项目主竖井排出地表，扩建项目建成后，根据实际生产情况，其地下涌水量并未发生明显变化。</w:t>
      </w:r>
    </w:p>
    <w:p>
      <w:pPr>
        <w:tabs>
          <w:tab w:val="left" w:pos="2450"/>
        </w:tabs>
        <w:spacing w:line="360" w:lineRule="auto"/>
        <w:ind w:firstLine="480" w:firstLineChars="200"/>
        <w:rPr>
          <w:sz w:val="24"/>
        </w:rPr>
      </w:pPr>
      <w:r>
        <w:rPr>
          <w:sz w:val="24"/>
        </w:rPr>
        <w:t>根据本次验收调查结果，本项目生产生活水源来自矿井涌水（266.7m</w:t>
      </w:r>
      <w:r>
        <w:rPr>
          <w:sz w:val="24"/>
          <w:vertAlign w:val="superscript"/>
        </w:rPr>
        <w:t>3</w:t>
      </w:r>
      <w:r>
        <w:rPr>
          <w:sz w:val="24"/>
        </w:rPr>
        <w:t>/h）。</w:t>
      </w:r>
    </w:p>
    <w:p>
      <w:pPr>
        <w:pStyle w:val="26"/>
        <w:spacing w:line="360" w:lineRule="auto"/>
        <w:ind w:firstLine="480" w:firstLineChars="200"/>
        <w:rPr>
          <w:rFonts w:ascii="Times New Roman" w:hAnsi="Times New Roman"/>
          <w:sz w:val="24"/>
        </w:rPr>
      </w:pPr>
      <w:r>
        <w:rPr>
          <w:rFonts w:ascii="Times New Roman" w:hAnsi="Times New Roman"/>
          <w:sz w:val="24"/>
        </w:rPr>
        <w:t>全场水量平衡见图</w:t>
      </w:r>
      <w:r>
        <w:rPr>
          <w:rFonts w:hint="eastAsia" w:ascii="Times New Roman" w:hAnsi="Times New Roman"/>
          <w:sz w:val="24"/>
        </w:rPr>
        <w:t>4.1</w:t>
      </w:r>
      <w:r>
        <w:rPr>
          <w:rFonts w:ascii="Times New Roman" w:hAnsi="Times New Roman"/>
          <w:sz w:val="24"/>
        </w:rPr>
        <w:t>-</w:t>
      </w:r>
      <w:r>
        <w:rPr>
          <w:rFonts w:hint="eastAsia" w:ascii="Times New Roman" w:hAnsi="Times New Roman"/>
          <w:sz w:val="24"/>
        </w:rPr>
        <w:t>1</w:t>
      </w:r>
      <w:r>
        <w:rPr>
          <w:rFonts w:ascii="Times New Roman" w:hAnsi="Times New Roman"/>
          <w:sz w:val="24"/>
        </w:rPr>
        <w:t>。</w:t>
      </w:r>
    </w:p>
    <w:p>
      <w:pPr>
        <w:pStyle w:val="26"/>
        <w:spacing w:line="360" w:lineRule="auto"/>
        <w:ind w:firstLine="480" w:firstLineChars="200"/>
        <w:rPr>
          <w:rFonts w:ascii="Times New Roman" w:hAnsi="Times New Roman"/>
          <w:sz w:val="24"/>
        </w:rPr>
      </w:pPr>
    </w:p>
    <w:p>
      <w:pPr>
        <w:pStyle w:val="26"/>
        <w:spacing w:line="360" w:lineRule="auto"/>
        <w:ind w:firstLine="480" w:firstLineChars="200"/>
        <w:rPr>
          <w:rFonts w:ascii="Times New Roman" w:hAnsi="Times New Roman"/>
          <w:sz w:val="24"/>
        </w:rPr>
      </w:pPr>
    </w:p>
    <w:p>
      <w:pPr>
        <w:pStyle w:val="26"/>
        <w:spacing w:line="360" w:lineRule="auto"/>
        <w:ind w:firstLine="480" w:firstLineChars="200"/>
        <w:rPr>
          <w:rFonts w:ascii="Times New Roman" w:hAnsi="Times New Roman"/>
          <w:sz w:val="24"/>
        </w:rPr>
      </w:pPr>
    </w:p>
    <w:p>
      <w:pPr>
        <w:pStyle w:val="26"/>
        <w:spacing w:line="360" w:lineRule="auto"/>
        <w:ind w:firstLine="480" w:firstLineChars="200"/>
        <w:rPr>
          <w:rFonts w:ascii="Times New Roman" w:hAnsi="Times New Roman"/>
          <w:sz w:val="24"/>
        </w:rPr>
      </w:pPr>
      <w:r>
        <w:rPr>
          <w:rFonts w:ascii="Times New Roman" w:hAnsi="Times New Roman"/>
          <w:sz w:val="24"/>
        </w:rPr>
        <w:pict>
          <v:shape id="_x0000_s5443" o:spid="_x0000_s5443" o:spt="106" type="#_x0000_t106" style="position:absolute;left:0pt;margin-left:330.55pt;margin-top:10.05pt;height:23.5pt;width:34.95pt;z-index:251724800;mso-width-relative:page;mso-height-relative:page;" coordsize="21600,21600" adj="-22249,18934">
            <v:path/>
            <v:fill focussize="0,0"/>
            <v:stroke/>
            <v:imagedata o:title=""/>
            <o:lock v:ext="edit"/>
            <v:textbox>
              <w:txbxContent>
                <w:p>
                  <w:r>
                    <w:rPr>
                      <w:rFonts w:hint="eastAsia"/>
                    </w:rPr>
                    <w:t>6</w:t>
                  </w:r>
                </w:p>
              </w:txbxContent>
            </v:textbox>
          </v:shape>
        </w:pict>
      </w:r>
      <w:r>
        <w:rPr>
          <w:rFonts w:ascii="Times New Roman" w:hAnsi="Times New Roman"/>
        </w:rPr>
        <w:pict>
          <v:shape id="_x0000_s5447" o:spid="_x0000_s5447" o:spt="75" type="#_x0000_t75" style="position:absolute;left:0pt;margin-left:22.4pt;margin-top:14.55pt;height:231.45pt;width:327.7pt;z-index:-251587584;mso-width-relative:page;mso-height-relative:page;" o:ole="t" filled="f" o:preferrelative="t" stroked="f" coordsize="21600,21600">
            <v:path/>
            <v:fill on="f" focussize="0,0"/>
            <v:stroke on="f" joinstyle="miter"/>
            <v:imagedata r:id="rId28" o:title=""/>
            <o:lock v:ext="edit" aspectratio="t"/>
          </v:shape>
          <o:OLEObject Type="Embed" ProgID="Visio.Drawing.11" ShapeID="_x0000_s5447" DrawAspect="Content" ObjectID="_1468075727" r:id="rId27">
            <o:LockedField>false</o:LockedField>
          </o:OLEObject>
        </w:pict>
      </w:r>
    </w:p>
    <w:p>
      <w:pPr>
        <w:pStyle w:val="26"/>
        <w:spacing w:line="360" w:lineRule="auto"/>
        <w:ind w:firstLine="480" w:firstLineChars="200"/>
        <w:rPr>
          <w:rFonts w:ascii="Times New Roman" w:hAnsi="Times New Roman"/>
          <w:sz w:val="24"/>
        </w:rPr>
      </w:pPr>
    </w:p>
    <w:p>
      <w:pPr>
        <w:pStyle w:val="26"/>
        <w:spacing w:line="360" w:lineRule="auto"/>
        <w:ind w:firstLine="480" w:firstLineChars="200"/>
        <w:rPr>
          <w:rFonts w:ascii="Times New Roman" w:hAnsi="Times New Roman"/>
          <w:sz w:val="24"/>
        </w:rPr>
      </w:pPr>
    </w:p>
    <w:p>
      <w:pPr>
        <w:pStyle w:val="26"/>
        <w:spacing w:line="360" w:lineRule="auto"/>
        <w:ind w:firstLine="480" w:firstLineChars="200"/>
        <w:rPr>
          <w:rFonts w:ascii="Times New Roman" w:hAnsi="Times New Roman"/>
          <w:sz w:val="24"/>
        </w:rPr>
      </w:pPr>
      <w:r>
        <w:rPr>
          <w:rFonts w:ascii="Times New Roman" w:hAnsi="Times New Roman"/>
          <w:sz w:val="24"/>
        </w:rPr>
        <w:pict>
          <v:shape id="_x0000_s5444" o:spid="_x0000_s5444" o:spt="106" type="#_x0000_t106" style="position:absolute;left:0pt;margin-left:328.05pt;margin-top:5.15pt;height:26.5pt;width:37.45pt;z-index:251725824;mso-width-relative:page;mso-height-relative:page;" coordsize="21600,21600" adj="-19899,29425">
            <v:path/>
            <v:fill focussize="0,0"/>
            <v:stroke/>
            <v:imagedata o:title=""/>
            <o:lock v:ext="edit"/>
            <v:textbox>
              <w:txbxContent>
                <w:p>
                  <w:r>
                    <w:rPr>
                      <w:rFonts w:hint="eastAsia"/>
                    </w:rPr>
                    <w:t>10</w:t>
                  </w:r>
                </w:p>
              </w:txbxContent>
            </v:textbox>
          </v:shape>
        </w:pict>
      </w:r>
    </w:p>
    <w:p>
      <w:pPr>
        <w:pStyle w:val="26"/>
        <w:spacing w:line="360" w:lineRule="auto"/>
        <w:ind w:firstLine="480" w:firstLineChars="200"/>
        <w:rPr>
          <w:rFonts w:ascii="Times New Roman" w:hAnsi="Times New Roman"/>
          <w:sz w:val="24"/>
        </w:rPr>
      </w:pPr>
    </w:p>
    <w:p>
      <w:pPr>
        <w:pStyle w:val="26"/>
        <w:spacing w:line="360" w:lineRule="auto"/>
        <w:ind w:firstLine="480" w:firstLineChars="200"/>
        <w:rPr>
          <w:rFonts w:ascii="Times New Roman" w:hAnsi="Times New Roman"/>
          <w:sz w:val="24"/>
        </w:rPr>
      </w:pPr>
    </w:p>
    <w:p>
      <w:pPr>
        <w:pStyle w:val="26"/>
        <w:spacing w:line="520" w:lineRule="exact"/>
        <w:ind w:firstLine="480" w:firstLineChars="200"/>
        <w:rPr>
          <w:rFonts w:ascii="Times New Roman" w:hAnsi="Times New Roman"/>
          <w:sz w:val="24"/>
        </w:rPr>
      </w:pPr>
      <w:r>
        <w:rPr>
          <w:rFonts w:ascii="Times New Roman" w:hAnsi="Times New Roman"/>
          <w:sz w:val="24"/>
        </w:rPr>
        <w:pict>
          <v:shape id="_x0000_s5445" o:spid="_x0000_s5445" o:spt="106" type="#_x0000_t106" style="position:absolute;left:0pt;margin-left:316.05pt;margin-top:0.55pt;height:26.5pt;width:42.95pt;z-index:251726848;mso-width-relative:page;mso-height-relative:page;" coordsize="21600,21600" adj="-19362,23312">
            <v:path/>
            <v:fill focussize="0,0"/>
            <v:stroke/>
            <v:imagedata o:title=""/>
            <o:lock v:ext="edit"/>
            <v:textbox>
              <w:txbxContent>
                <w:p>
                  <w:r>
                    <w:rPr>
                      <w:rFonts w:hint="eastAsia"/>
                    </w:rPr>
                    <w:t>363</w:t>
                  </w:r>
                </w:p>
              </w:txbxContent>
            </v:textbox>
          </v:shape>
        </w:pict>
      </w:r>
    </w:p>
    <w:p>
      <w:pPr>
        <w:pStyle w:val="26"/>
        <w:spacing w:line="520" w:lineRule="exact"/>
        <w:ind w:firstLine="480" w:firstLineChars="200"/>
        <w:rPr>
          <w:rFonts w:ascii="Times New Roman" w:hAnsi="Times New Roman"/>
          <w:sz w:val="24"/>
        </w:rPr>
      </w:pPr>
    </w:p>
    <w:p>
      <w:pPr>
        <w:pStyle w:val="26"/>
        <w:spacing w:line="520" w:lineRule="exact"/>
        <w:ind w:firstLine="480" w:firstLineChars="200"/>
        <w:rPr>
          <w:rFonts w:ascii="Times New Roman" w:hAnsi="Times New Roman"/>
          <w:sz w:val="24"/>
        </w:rPr>
      </w:pPr>
      <w:r>
        <w:rPr>
          <w:rFonts w:ascii="Times New Roman" w:hAnsi="Times New Roman"/>
          <w:sz w:val="24"/>
        </w:rPr>
        <w:pict>
          <v:shape id="_x0000_s5446" o:spid="_x0000_s5446" o:spt="106" type="#_x0000_t106" style="position:absolute;left:0pt;margin-left:328.05pt;margin-top:8.15pt;height:26.5pt;width:46.95pt;z-index:251727872;mso-width-relative:page;mso-height-relative:page;" coordsize="21600,21600" adj="-11732,19644">
            <v:path/>
            <v:fill focussize="0,0"/>
            <v:stroke/>
            <v:imagedata o:title=""/>
            <o:lock v:ext="edit"/>
            <v:textbox>
              <w:txbxContent>
                <w:p>
                  <w:r>
                    <w:rPr>
                      <w:rFonts w:hint="eastAsia"/>
                    </w:rPr>
                    <w:t>484</w:t>
                  </w:r>
                </w:p>
              </w:txbxContent>
            </v:textbox>
          </v:shape>
        </w:pict>
      </w:r>
    </w:p>
    <w:p>
      <w:pPr>
        <w:pStyle w:val="26"/>
        <w:spacing w:line="520" w:lineRule="exact"/>
        <w:ind w:firstLine="480" w:firstLineChars="200"/>
        <w:rPr>
          <w:rFonts w:ascii="Times New Roman" w:hAnsi="Times New Roman"/>
          <w:sz w:val="24"/>
        </w:rPr>
      </w:pPr>
    </w:p>
    <w:p>
      <w:pPr>
        <w:pStyle w:val="26"/>
        <w:spacing w:line="520" w:lineRule="exact"/>
        <w:ind w:firstLine="480" w:firstLineChars="200"/>
        <w:rPr>
          <w:rFonts w:ascii="Times New Roman" w:hAnsi="Times New Roman"/>
          <w:sz w:val="24"/>
        </w:rPr>
      </w:pPr>
      <w:r>
        <w:rPr>
          <w:rFonts w:ascii="Times New Roman" w:hAnsi="Times New Roman"/>
          <w:sz w:val="24"/>
        </w:rPr>
        <w:pict>
          <v:shape id="_x0000_s5442" o:spid="_x0000_s5442" o:spt="202" type="#_x0000_t202" style="position:absolute;left:0pt;margin-left:83.8pt;margin-top:17.8pt;height:24.2pt;width:232.25pt;z-index:251723776;mso-width-relative:page;mso-height-relative:page;" filled="f" stroked="f" coordsize="21600,21600">
            <v:path/>
            <v:fill on="f" focussize="0,0"/>
            <v:stroke on="f" joinstyle="miter"/>
            <v:imagedata o:title=""/>
            <o:lock v:ext="edit"/>
            <v:textbox>
              <w:txbxContent>
                <w:p>
                  <w:pPr>
                    <w:rPr>
                      <w:rFonts w:eastAsia="黑体"/>
                      <w:sz w:val="24"/>
                    </w:rPr>
                  </w:pPr>
                  <w:r>
                    <w:rPr>
                      <w:rFonts w:hAnsi="黑体" w:eastAsia="黑体"/>
                      <w:sz w:val="24"/>
                    </w:rPr>
                    <w:t>图</w:t>
                  </w:r>
                  <w:r>
                    <w:rPr>
                      <w:rFonts w:hint="eastAsia" w:eastAsia="黑体"/>
                      <w:sz w:val="24"/>
                    </w:rPr>
                    <w:t>4.1</w:t>
                  </w:r>
                  <w:r>
                    <w:rPr>
                      <w:rFonts w:eastAsia="黑体"/>
                      <w:sz w:val="24"/>
                    </w:rPr>
                    <w:t>-</w:t>
                  </w:r>
                  <w:r>
                    <w:rPr>
                      <w:rFonts w:hint="eastAsia" w:eastAsia="黑体"/>
                      <w:sz w:val="24"/>
                    </w:rPr>
                    <w:t>1</w:t>
                  </w:r>
                  <w:r>
                    <w:rPr>
                      <w:rFonts w:eastAsia="黑体"/>
                      <w:sz w:val="24"/>
                    </w:rPr>
                    <w:t xml:space="preserve">  </w:t>
                  </w:r>
                  <w:r>
                    <w:rPr>
                      <w:rFonts w:hint="eastAsia" w:eastAsia="黑体"/>
                      <w:sz w:val="24"/>
                    </w:rPr>
                    <w:t>全厂</w:t>
                  </w:r>
                  <w:r>
                    <w:rPr>
                      <w:rFonts w:hAnsi="黑体" w:eastAsia="黑体"/>
                      <w:sz w:val="24"/>
                    </w:rPr>
                    <w:t>水平衡图（单位：</w:t>
                  </w:r>
                  <w:r>
                    <w:rPr>
                      <w:rFonts w:eastAsia="黑体"/>
                      <w:sz w:val="24"/>
                    </w:rPr>
                    <w:t>m</w:t>
                  </w:r>
                  <w:r>
                    <w:rPr>
                      <w:rFonts w:eastAsia="黑体"/>
                      <w:sz w:val="24"/>
                      <w:vertAlign w:val="superscript"/>
                    </w:rPr>
                    <w:t>3</w:t>
                  </w:r>
                  <w:r>
                    <w:rPr>
                      <w:rFonts w:eastAsia="黑体"/>
                      <w:sz w:val="24"/>
                    </w:rPr>
                    <w:t>/d</w:t>
                  </w:r>
                  <w:r>
                    <w:rPr>
                      <w:rFonts w:hAnsi="黑体" w:eastAsia="黑体"/>
                      <w:sz w:val="24"/>
                    </w:rPr>
                    <w:t>）</w:t>
                  </w:r>
                </w:p>
              </w:txbxContent>
            </v:textbox>
          </v:shape>
        </w:pict>
      </w:r>
    </w:p>
    <w:p>
      <w:pPr>
        <w:pStyle w:val="26"/>
        <w:spacing w:line="520" w:lineRule="exact"/>
        <w:ind w:firstLine="480" w:firstLineChars="200"/>
        <w:rPr>
          <w:rFonts w:ascii="Times New Roman" w:hAnsi="Times New Roman"/>
          <w:sz w:val="24"/>
        </w:rPr>
      </w:pPr>
    </w:p>
    <w:p>
      <w:pPr>
        <w:pStyle w:val="26"/>
        <w:spacing w:line="520" w:lineRule="exact"/>
        <w:ind w:firstLine="480" w:firstLineChars="200"/>
        <w:rPr>
          <w:rFonts w:ascii="Times New Roman" w:hAnsi="Times New Roman"/>
          <w:sz w:val="24"/>
        </w:rPr>
      </w:pPr>
      <w:r>
        <w:rPr>
          <w:rFonts w:ascii="Times New Roman" w:hAnsi="Times New Roman"/>
          <w:sz w:val="24"/>
        </w:rPr>
        <w:t>根据灵宝市环境监测站2016年8月25~26日在本项目矿井涌水排放口监测结果，监测结果见表4.1-1所示。</w:t>
      </w:r>
    </w:p>
    <w:p>
      <w:pPr>
        <w:pStyle w:val="26"/>
        <w:spacing w:line="520" w:lineRule="exact"/>
        <w:ind w:firstLine="440" w:firstLineChars="200"/>
        <w:rPr>
          <w:rFonts w:ascii="Times New Roman" w:hAnsi="Times New Roman" w:eastAsia="黑体"/>
          <w:sz w:val="22"/>
          <w:szCs w:val="22"/>
        </w:rPr>
      </w:pPr>
      <w:r>
        <w:rPr>
          <w:rFonts w:ascii="Times New Roman" w:hAnsi="Times New Roman" w:eastAsia="黑体"/>
          <w:sz w:val="22"/>
          <w:szCs w:val="22"/>
        </w:rPr>
        <w:t>表4.1-1              矿井涌水监测结果一览表         单位：mg/L</w:t>
      </w:r>
    </w:p>
    <w:tbl>
      <w:tblPr>
        <w:tblStyle w:val="54"/>
        <w:tblW w:w="83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81"/>
        <w:gridCol w:w="1275"/>
        <w:gridCol w:w="996"/>
        <w:gridCol w:w="991"/>
        <w:gridCol w:w="992"/>
        <w:gridCol w:w="1134"/>
        <w:gridCol w:w="995"/>
        <w:gridCol w:w="711"/>
        <w:gridCol w:w="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3" w:hRule="atLeast"/>
        </w:trPr>
        <w:tc>
          <w:tcPr>
            <w:tcW w:w="8342" w:type="dxa"/>
            <w:gridSpan w:val="9"/>
            <w:tcBorders>
              <w:bottom w:val="single" w:color="auto" w:sz="6" w:space="0"/>
            </w:tcBorders>
            <w:vAlign w:val="center"/>
          </w:tcPr>
          <w:p>
            <w:pPr>
              <w:spacing w:line="300" w:lineRule="exact"/>
              <w:jc w:val="center"/>
              <w:rPr>
                <w:sz w:val="20"/>
                <w:szCs w:val="20"/>
              </w:rPr>
            </w:pPr>
            <w:r>
              <w:rPr>
                <w:sz w:val="20"/>
                <w:szCs w:val="20"/>
              </w:rPr>
              <w:t>2016年8月25日矿井涌水出口监测数据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6" w:hRule="atLeast"/>
        </w:trPr>
        <w:tc>
          <w:tcPr>
            <w:tcW w:w="581" w:type="dxa"/>
            <w:tcBorders>
              <w:top w:val="single" w:color="auto" w:sz="6" w:space="0"/>
              <w:bottom w:val="single" w:color="auto" w:sz="6" w:space="0"/>
            </w:tcBorders>
            <w:vAlign w:val="center"/>
          </w:tcPr>
          <w:p>
            <w:pPr>
              <w:adjustRightInd w:val="0"/>
              <w:snapToGrid w:val="0"/>
              <w:jc w:val="center"/>
              <w:rPr>
                <w:sz w:val="20"/>
                <w:szCs w:val="20"/>
              </w:rPr>
            </w:pPr>
            <w:r>
              <w:rPr>
                <w:sz w:val="20"/>
                <w:szCs w:val="20"/>
              </w:rPr>
              <w:t>项目</w:t>
            </w:r>
          </w:p>
        </w:tc>
        <w:tc>
          <w:tcPr>
            <w:tcW w:w="1275" w:type="dxa"/>
            <w:tcBorders>
              <w:top w:val="single" w:color="auto" w:sz="6" w:space="0"/>
              <w:bottom w:val="single" w:color="auto" w:sz="6" w:space="0"/>
            </w:tcBorders>
            <w:vAlign w:val="center"/>
          </w:tcPr>
          <w:p>
            <w:pPr>
              <w:pStyle w:val="26"/>
              <w:adjustRightInd w:val="0"/>
              <w:snapToGrid w:val="0"/>
              <w:jc w:val="center"/>
              <w:rPr>
                <w:rFonts w:ascii="Times New Roman" w:hAnsi="Times New Roman"/>
                <w:spacing w:val="-20"/>
                <w:sz w:val="20"/>
              </w:rPr>
            </w:pPr>
            <w:r>
              <w:rPr>
                <w:rFonts w:ascii="Times New Roman" w:hAnsi="Times New Roman"/>
                <w:spacing w:val="-20"/>
                <w:sz w:val="20"/>
              </w:rPr>
              <w:t>pH</w:t>
            </w:r>
          </w:p>
        </w:tc>
        <w:tc>
          <w:tcPr>
            <w:tcW w:w="996" w:type="dxa"/>
            <w:vAlign w:val="center"/>
          </w:tcPr>
          <w:p>
            <w:pPr>
              <w:pStyle w:val="26"/>
              <w:adjustRightInd w:val="0"/>
              <w:snapToGrid w:val="0"/>
              <w:jc w:val="center"/>
              <w:rPr>
                <w:rFonts w:ascii="Times New Roman" w:hAnsi="Times New Roman"/>
                <w:sz w:val="20"/>
              </w:rPr>
            </w:pPr>
            <w:r>
              <w:rPr>
                <w:rFonts w:ascii="Times New Roman" w:hAnsi="Times New Roman"/>
                <w:sz w:val="20"/>
              </w:rPr>
              <w:t>悬浮物</w:t>
            </w:r>
          </w:p>
        </w:tc>
        <w:tc>
          <w:tcPr>
            <w:tcW w:w="991" w:type="dxa"/>
            <w:vAlign w:val="center"/>
          </w:tcPr>
          <w:p>
            <w:pPr>
              <w:pStyle w:val="26"/>
              <w:adjustRightInd w:val="0"/>
              <w:snapToGrid w:val="0"/>
              <w:jc w:val="center"/>
              <w:rPr>
                <w:rFonts w:ascii="Times New Roman" w:hAnsi="Times New Roman"/>
                <w:sz w:val="20"/>
              </w:rPr>
            </w:pPr>
            <w:r>
              <w:rPr>
                <w:rFonts w:ascii="Times New Roman" w:hAnsi="Times New Roman"/>
                <w:sz w:val="20"/>
              </w:rPr>
              <w:t>COD</w:t>
            </w:r>
          </w:p>
        </w:tc>
        <w:tc>
          <w:tcPr>
            <w:tcW w:w="992" w:type="dxa"/>
            <w:vAlign w:val="center"/>
          </w:tcPr>
          <w:p>
            <w:pPr>
              <w:pStyle w:val="26"/>
              <w:adjustRightInd w:val="0"/>
              <w:snapToGrid w:val="0"/>
              <w:jc w:val="center"/>
              <w:rPr>
                <w:rFonts w:ascii="Times New Roman" w:hAnsi="Times New Roman"/>
                <w:sz w:val="20"/>
              </w:rPr>
            </w:pPr>
            <w:r>
              <w:rPr>
                <w:rFonts w:ascii="Times New Roman" w:hAnsi="Times New Roman"/>
                <w:sz w:val="20"/>
              </w:rPr>
              <w:t>氨氮</w:t>
            </w:r>
          </w:p>
        </w:tc>
        <w:tc>
          <w:tcPr>
            <w:tcW w:w="1134" w:type="dxa"/>
            <w:vAlign w:val="center"/>
          </w:tcPr>
          <w:p>
            <w:pPr>
              <w:pStyle w:val="26"/>
              <w:adjustRightInd w:val="0"/>
              <w:snapToGrid w:val="0"/>
              <w:jc w:val="center"/>
              <w:rPr>
                <w:rFonts w:ascii="Times New Roman" w:hAnsi="Times New Roman"/>
                <w:sz w:val="20"/>
              </w:rPr>
            </w:pPr>
            <w:r>
              <w:rPr>
                <w:rFonts w:ascii="Times New Roman" w:hAnsi="Times New Roman"/>
                <w:sz w:val="20"/>
              </w:rPr>
              <w:t>生化需氧量</w:t>
            </w:r>
          </w:p>
        </w:tc>
        <w:tc>
          <w:tcPr>
            <w:tcW w:w="995" w:type="dxa"/>
            <w:vAlign w:val="center"/>
          </w:tcPr>
          <w:p>
            <w:pPr>
              <w:pStyle w:val="26"/>
              <w:adjustRightInd w:val="0"/>
              <w:snapToGrid w:val="0"/>
              <w:jc w:val="center"/>
              <w:rPr>
                <w:rFonts w:ascii="Times New Roman" w:hAnsi="Times New Roman"/>
                <w:sz w:val="20"/>
              </w:rPr>
            </w:pPr>
            <w:r>
              <w:rPr>
                <w:rFonts w:ascii="Times New Roman" w:hAnsi="Times New Roman"/>
                <w:sz w:val="20"/>
              </w:rPr>
              <w:t>氟化物</w:t>
            </w:r>
          </w:p>
        </w:tc>
        <w:tc>
          <w:tcPr>
            <w:tcW w:w="711" w:type="dxa"/>
            <w:vAlign w:val="center"/>
          </w:tcPr>
          <w:p>
            <w:pPr>
              <w:pStyle w:val="26"/>
              <w:adjustRightInd w:val="0"/>
              <w:snapToGrid w:val="0"/>
              <w:jc w:val="center"/>
              <w:rPr>
                <w:rFonts w:ascii="Times New Roman" w:hAnsi="Times New Roman"/>
                <w:sz w:val="20"/>
              </w:rPr>
            </w:pPr>
            <w:r>
              <w:rPr>
                <w:rFonts w:ascii="Times New Roman" w:hAnsi="Times New Roman"/>
                <w:sz w:val="20"/>
              </w:rPr>
              <w:t>硫化物</w:t>
            </w:r>
          </w:p>
        </w:tc>
        <w:tc>
          <w:tcPr>
            <w:tcW w:w="667" w:type="dxa"/>
            <w:vAlign w:val="center"/>
          </w:tcPr>
          <w:p>
            <w:pPr>
              <w:pStyle w:val="26"/>
              <w:adjustRightInd w:val="0"/>
              <w:snapToGrid w:val="0"/>
              <w:jc w:val="center"/>
              <w:rPr>
                <w:rFonts w:ascii="Times New Roman" w:hAnsi="Times New Roman"/>
                <w:sz w:val="20"/>
              </w:rPr>
            </w:pPr>
            <w:r>
              <w:rPr>
                <w:rFonts w:ascii="Times New Roman" w:hAnsi="Times New Roman"/>
                <w:sz w:val="20"/>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75" w:hRule="atLeast"/>
        </w:trPr>
        <w:tc>
          <w:tcPr>
            <w:tcW w:w="581" w:type="dxa"/>
            <w:tcBorders>
              <w:top w:val="single" w:color="auto" w:sz="6" w:space="0"/>
              <w:bottom w:val="single" w:color="auto" w:sz="6" w:space="0"/>
            </w:tcBorders>
            <w:vAlign w:val="center"/>
          </w:tcPr>
          <w:p>
            <w:pPr>
              <w:adjustRightInd w:val="0"/>
              <w:snapToGrid w:val="0"/>
              <w:jc w:val="center"/>
              <w:rPr>
                <w:sz w:val="20"/>
                <w:szCs w:val="20"/>
              </w:rPr>
            </w:pPr>
            <w:r>
              <w:rPr>
                <w:sz w:val="20"/>
                <w:szCs w:val="20"/>
              </w:rPr>
              <w:t>数据</w:t>
            </w:r>
          </w:p>
        </w:tc>
        <w:tc>
          <w:tcPr>
            <w:tcW w:w="1275" w:type="dxa"/>
            <w:tcBorders>
              <w:top w:val="single" w:color="auto" w:sz="6" w:space="0"/>
              <w:bottom w:val="single" w:color="auto" w:sz="6" w:space="0"/>
            </w:tcBorders>
            <w:vAlign w:val="center"/>
          </w:tcPr>
          <w:p>
            <w:pPr>
              <w:adjustRightInd w:val="0"/>
              <w:snapToGrid w:val="0"/>
              <w:jc w:val="center"/>
              <w:rPr>
                <w:sz w:val="20"/>
                <w:szCs w:val="20"/>
              </w:rPr>
            </w:pPr>
            <w:r>
              <w:rPr>
                <w:sz w:val="20"/>
                <w:szCs w:val="20"/>
              </w:rPr>
              <w:t>6.67～6.75</w:t>
            </w:r>
          </w:p>
        </w:tc>
        <w:tc>
          <w:tcPr>
            <w:tcW w:w="996" w:type="dxa"/>
            <w:vAlign w:val="center"/>
          </w:tcPr>
          <w:p>
            <w:pPr>
              <w:adjustRightInd w:val="0"/>
              <w:snapToGrid w:val="0"/>
              <w:jc w:val="center"/>
              <w:rPr>
                <w:sz w:val="20"/>
                <w:szCs w:val="20"/>
              </w:rPr>
            </w:pPr>
            <w:r>
              <w:rPr>
                <w:sz w:val="20"/>
                <w:szCs w:val="20"/>
              </w:rPr>
              <w:t>7～13</w:t>
            </w:r>
          </w:p>
        </w:tc>
        <w:tc>
          <w:tcPr>
            <w:tcW w:w="991" w:type="dxa"/>
            <w:vAlign w:val="center"/>
          </w:tcPr>
          <w:p>
            <w:pPr>
              <w:adjustRightInd w:val="0"/>
              <w:snapToGrid w:val="0"/>
              <w:jc w:val="center"/>
              <w:rPr>
                <w:sz w:val="20"/>
                <w:szCs w:val="20"/>
              </w:rPr>
            </w:pPr>
            <w:r>
              <w:rPr>
                <w:sz w:val="20"/>
                <w:szCs w:val="20"/>
              </w:rPr>
              <w:t>未检出</w:t>
            </w:r>
          </w:p>
        </w:tc>
        <w:tc>
          <w:tcPr>
            <w:tcW w:w="992" w:type="dxa"/>
            <w:vAlign w:val="center"/>
          </w:tcPr>
          <w:p>
            <w:pPr>
              <w:adjustRightInd w:val="0"/>
              <w:snapToGrid w:val="0"/>
              <w:jc w:val="center"/>
              <w:rPr>
                <w:sz w:val="20"/>
                <w:szCs w:val="20"/>
              </w:rPr>
            </w:pPr>
            <w:r>
              <w:rPr>
                <w:sz w:val="20"/>
                <w:szCs w:val="20"/>
              </w:rPr>
              <w:t>2.14～2.26</w:t>
            </w:r>
          </w:p>
        </w:tc>
        <w:tc>
          <w:tcPr>
            <w:tcW w:w="1134" w:type="dxa"/>
            <w:vAlign w:val="center"/>
          </w:tcPr>
          <w:p>
            <w:pPr>
              <w:adjustRightInd w:val="0"/>
              <w:snapToGrid w:val="0"/>
              <w:jc w:val="center"/>
              <w:rPr>
                <w:sz w:val="20"/>
                <w:szCs w:val="20"/>
              </w:rPr>
            </w:pPr>
            <w:r>
              <w:rPr>
                <w:sz w:val="20"/>
                <w:szCs w:val="20"/>
              </w:rPr>
              <w:t>3.0～3.3</w:t>
            </w:r>
          </w:p>
        </w:tc>
        <w:tc>
          <w:tcPr>
            <w:tcW w:w="995" w:type="dxa"/>
            <w:vAlign w:val="center"/>
          </w:tcPr>
          <w:p>
            <w:pPr>
              <w:adjustRightInd w:val="0"/>
              <w:snapToGrid w:val="0"/>
              <w:jc w:val="center"/>
              <w:rPr>
                <w:sz w:val="20"/>
                <w:szCs w:val="20"/>
              </w:rPr>
            </w:pPr>
            <w:r>
              <w:rPr>
                <w:sz w:val="20"/>
                <w:szCs w:val="20"/>
              </w:rPr>
              <w:t>0.51～0.55</w:t>
            </w:r>
          </w:p>
        </w:tc>
        <w:tc>
          <w:tcPr>
            <w:tcW w:w="711" w:type="dxa"/>
            <w:vAlign w:val="center"/>
          </w:tcPr>
          <w:p>
            <w:pPr>
              <w:adjustRightInd w:val="0"/>
              <w:snapToGrid w:val="0"/>
              <w:jc w:val="center"/>
              <w:rPr>
                <w:sz w:val="20"/>
                <w:szCs w:val="20"/>
              </w:rPr>
            </w:pPr>
            <w:r>
              <w:rPr>
                <w:sz w:val="20"/>
                <w:szCs w:val="20"/>
              </w:rPr>
              <w:t>未检出</w:t>
            </w:r>
          </w:p>
        </w:tc>
        <w:tc>
          <w:tcPr>
            <w:tcW w:w="667" w:type="dxa"/>
            <w:vAlign w:val="center"/>
          </w:tcPr>
          <w:p>
            <w:pPr>
              <w:adjustRightInd w:val="0"/>
              <w:snapToGrid w:val="0"/>
              <w:jc w:val="center"/>
              <w:rPr>
                <w:sz w:val="20"/>
                <w:szCs w:val="20"/>
              </w:rPr>
            </w:pPr>
            <w:r>
              <w:rPr>
                <w:sz w:val="20"/>
                <w:szCs w:val="20"/>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81" w:type="dxa"/>
            <w:tcBorders>
              <w:top w:val="single" w:color="auto" w:sz="6" w:space="0"/>
              <w:bottom w:val="single" w:color="auto" w:sz="6" w:space="0"/>
            </w:tcBorders>
            <w:vAlign w:val="center"/>
          </w:tcPr>
          <w:p>
            <w:pPr>
              <w:adjustRightInd w:val="0"/>
              <w:snapToGrid w:val="0"/>
              <w:jc w:val="center"/>
              <w:rPr>
                <w:sz w:val="20"/>
                <w:szCs w:val="20"/>
              </w:rPr>
            </w:pPr>
            <w:r>
              <w:rPr>
                <w:sz w:val="20"/>
                <w:szCs w:val="20"/>
              </w:rPr>
              <w:t>项目</w:t>
            </w:r>
          </w:p>
        </w:tc>
        <w:tc>
          <w:tcPr>
            <w:tcW w:w="1275" w:type="dxa"/>
            <w:tcBorders>
              <w:top w:val="single" w:color="auto" w:sz="6" w:space="0"/>
              <w:bottom w:val="single" w:color="auto" w:sz="6" w:space="0"/>
            </w:tcBorders>
            <w:vAlign w:val="center"/>
          </w:tcPr>
          <w:p>
            <w:pPr>
              <w:adjustRightInd w:val="0"/>
              <w:snapToGrid w:val="0"/>
              <w:jc w:val="center"/>
              <w:rPr>
                <w:sz w:val="20"/>
                <w:szCs w:val="20"/>
              </w:rPr>
            </w:pPr>
            <w:r>
              <w:rPr>
                <w:sz w:val="20"/>
                <w:szCs w:val="20"/>
              </w:rPr>
              <w:t>六价铬</w:t>
            </w:r>
          </w:p>
        </w:tc>
        <w:tc>
          <w:tcPr>
            <w:tcW w:w="996" w:type="dxa"/>
            <w:vAlign w:val="center"/>
          </w:tcPr>
          <w:p>
            <w:pPr>
              <w:adjustRightInd w:val="0"/>
              <w:snapToGrid w:val="0"/>
              <w:jc w:val="center"/>
              <w:rPr>
                <w:sz w:val="20"/>
                <w:szCs w:val="20"/>
              </w:rPr>
            </w:pPr>
            <w:r>
              <w:rPr>
                <w:sz w:val="20"/>
                <w:szCs w:val="20"/>
              </w:rPr>
              <w:t>总铅</w:t>
            </w:r>
          </w:p>
        </w:tc>
        <w:tc>
          <w:tcPr>
            <w:tcW w:w="991" w:type="dxa"/>
            <w:vAlign w:val="center"/>
          </w:tcPr>
          <w:p>
            <w:pPr>
              <w:adjustRightInd w:val="0"/>
              <w:snapToGrid w:val="0"/>
              <w:jc w:val="center"/>
              <w:rPr>
                <w:sz w:val="20"/>
                <w:szCs w:val="20"/>
              </w:rPr>
            </w:pPr>
            <w:r>
              <w:rPr>
                <w:sz w:val="20"/>
                <w:szCs w:val="20"/>
              </w:rPr>
              <w:t>总镉</w:t>
            </w:r>
          </w:p>
        </w:tc>
        <w:tc>
          <w:tcPr>
            <w:tcW w:w="992" w:type="dxa"/>
            <w:vAlign w:val="center"/>
          </w:tcPr>
          <w:p>
            <w:pPr>
              <w:adjustRightInd w:val="0"/>
              <w:snapToGrid w:val="0"/>
              <w:jc w:val="center"/>
              <w:rPr>
                <w:sz w:val="20"/>
                <w:szCs w:val="20"/>
              </w:rPr>
            </w:pPr>
            <w:r>
              <w:rPr>
                <w:sz w:val="20"/>
                <w:szCs w:val="20"/>
              </w:rPr>
              <w:t>总铜</w:t>
            </w:r>
          </w:p>
        </w:tc>
        <w:tc>
          <w:tcPr>
            <w:tcW w:w="1134" w:type="dxa"/>
            <w:vAlign w:val="center"/>
          </w:tcPr>
          <w:p>
            <w:pPr>
              <w:adjustRightInd w:val="0"/>
              <w:snapToGrid w:val="0"/>
              <w:jc w:val="center"/>
              <w:rPr>
                <w:sz w:val="20"/>
                <w:szCs w:val="20"/>
              </w:rPr>
            </w:pPr>
            <w:r>
              <w:rPr>
                <w:sz w:val="20"/>
                <w:szCs w:val="20"/>
              </w:rPr>
              <w:t>总锌</w:t>
            </w:r>
          </w:p>
        </w:tc>
        <w:tc>
          <w:tcPr>
            <w:tcW w:w="995" w:type="dxa"/>
            <w:vAlign w:val="center"/>
          </w:tcPr>
          <w:p>
            <w:pPr>
              <w:adjustRightInd w:val="0"/>
              <w:snapToGrid w:val="0"/>
              <w:jc w:val="center"/>
              <w:rPr>
                <w:sz w:val="20"/>
                <w:szCs w:val="20"/>
              </w:rPr>
            </w:pPr>
            <w:r>
              <w:rPr>
                <w:sz w:val="20"/>
                <w:szCs w:val="20"/>
              </w:rPr>
              <w:t>总铁</w:t>
            </w:r>
          </w:p>
        </w:tc>
        <w:tc>
          <w:tcPr>
            <w:tcW w:w="711" w:type="dxa"/>
            <w:vAlign w:val="center"/>
          </w:tcPr>
          <w:p>
            <w:pPr>
              <w:adjustRightInd w:val="0"/>
              <w:snapToGrid w:val="0"/>
              <w:jc w:val="center"/>
              <w:rPr>
                <w:sz w:val="20"/>
                <w:szCs w:val="20"/>
              </w:rPr>
            </w:pPr>
            <w:r>
              <w:rPr>
                <w:sz w:val="20"/>
                <w:szCs w:val="20"/>
              </w:rPr>
              <w:t>总砷</w:t>
            </w:r>
          </w:p>
        </w:tc>
        <w:tc>
          <w:tcPr>
            <w:tcW w:w="667" w:type="dxa"/>
            <w:vAlign w:val="center"/>
          </w:tcPr>
          <w:p>
            <w:pPr>
              <w:adjustRightInd w:val="0"/>
              <w:snapToGrid w:val="0"/>
              <w:jc w:val="center"/>
              <w:rPr>
                <w:sz w:val="20"/>
                <w:szCs w:val="20"/>
              </w:rPr>
            </w:pPr>
            <w:r>
              <w:rPr>
                <w:sz w:val="20"/>
                <w:szCs w:val="20"/>
              </w:rPr>
              <w:t>总汞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2" w:hRule="atLeast"/>
        </w:trPr>
        <w:tc>
          <w:tcPr>
            <w:tcW w:w="581" w:type="dxa"/>
            <w:tcBorders>
              <w:top w:val="single" w:color="auto" w:sz="6" w:space="0"/>
            </w:tcBorders>
            <w:vAlign w:val="center"/>
          </w:tcPr>
          <w:p>
            <w:pPr>
              <w:adjustRightInd w:val="0"/>
              <w:snapToGrid w:val="0"/>
              <w:jc w:val="center"/>
              <w:rPr>
                <w:sz w:val="20"/>
                <w:szCs w:val="20"/>
              </w:rPr>
            </w:pPr>
            <w:r>
              <w:rPr>
                <w:sz w:val="20"/>
                <w:szCs w:val="20"/>
              </w:rPr>
              <w:t>数据</w:t>
            </w:r>
          </w:p>
        </w:tc>
        <w:tc>
          <w:tcPr>
            <w:tcW w:w="1275" w:type="dxa"/>
            <w:tcBorders>
              <w:top w:val="single" w:color="auto" w:sz="6" w:space="0"/>
            </w:tcBorders>
            <w:vAlign w:val="center"/>
          </w:tcPr>
          <w:p>
            <w:pPr>
              <w:adjustRightInd w:val="0"/>
              <w:snapToGrid w:val="0"/>
              <w:jc w:val="center"/>
              <w:rPr>
                <w:sz w:val="20"/>
                <w:szCs w:val="20"/>
              </w:rPr>
            </w:pPr>
            <w:r>
              <w:rPr>
                <w:sz w:val="20"/>
                <w:szCs w:val="20"/>
              </w:rPr>
              <w:t>未检出～0.008</w:t>
            </w:r>
          </w:p>
        </w:tc>
        <w:tc>
          <w:tcPr>
            <w:tcW w:w="996" w:type="dxa"/>
            <w:vAlign w:val="center"/>
          </w:tcPr>
          <w:p>
            <w:pPr>
              <w:adjustRightInd w:val="0"/>
              <w:snapToGrid w:val="0"/>
              <w:jc w:val="center"/>
              <w:rPr>
                <w:sz w:val="20"/>
                <w:szCs w:val="20"/>
              </w:rPr>
            </w:pPr>
            <w:r>
              <w:rPr>
                <w:sz w:val="20"/>
                <w:szCs w:val="20"/>
              </w:rPr>
              <w:t>未检出</w:t>
            </w:r>
          </w:p>
        </w:tc>
        <w:tc>
          <w:tcPr>
            <w:tcW w:w="991" w:type="dxa"/>
            <w:vAlign w:val="center"/>
          </w:tcPr>
          <w:p>
            <w:pPr>
              <w:adjustRightInd w:val="0"/>
              <w:snapToGrid w:val="0"/>
              <w:jc w:val="center"/>
              <w:rPr>
                <w:sz w:val="20"/>
                <w:szCs w:val="20"/>
              </w:rPr>
            </w:pPr>
            <w:r>
              <w:rPr>
                <w:sz w:val="20"/>
                <w:szCs w:val="20"/>
              </w:rPr>
              <w:t>未检出</w:t>
            </w:r>
          </w:p>
        </w:tc>
        <w:tc>
          <w:tcPr>
            <w:tcW w:w="992" w:type="dxa"/>
            <w:vAlign w:val="center"/>
          </w:tcPr>
          <w:p>
            <w:pPr>
              <w:adjustRightInd w:val="0"/>
              <w:snapToGrid w:val="0"/>
              <w:jc w:val="center"/>
              <w:rPr>
                <w:sz w:val="20"/>
                <w:szCs w:val="20"/>
              </w:rPr>
            </w:pPr>
            <w:r>
              <w:rPr>
                <w:sz w:val="20"/>
                <w:szCs w:val="20"/>
              </w:rPr>
              <w:t>未检出</w:t>
            </w:r>
          </w:p>
        </w:tc>
        <w:tc>
          <w:tcPr>
            <w:tcW w:w="1134" w:type="dxa"/>
            <w:vAlign w:val="center"/>
          </w:tcPr>
          <w:p>
            <w:pPr>
              <w:adjustRightInd w:val="0"/>
              <w:snapToGrid w:val="0"/>
              <w:jc w:val="center"/>
              <w:rPr>
                <w:sz w:val="20"/>
                <w:szCs w:val="20"/>
              </w:rPr>
            </w:pPr>
            <w:r>
              <w:rPr>
                <w:sz w:val="20"/>
                <w:szCs w:val="20"/>
              </w:rPr>
              <w:t>未检出</w:t>
            </w:r>
          </w:p>
        </w:tc>
        <w:tc>
          <w:tcPr>
            <w:tcW w:w="995" w:type="dxa"/>
            <w:vAlign w:val="center"/>
          </w:tcPr>
          <w:p>
            <w:pPr>
              <w:adjustRightInd w:val="0"/>
              <w:snapToGrid w:val="0"/>
              <w:jc w:val="center"/>
              <w:rPr>
                <w:sz w:val="20"/>
                <w:szCs w:val="20"/>
              </w:rPr>
            </w:pPr>
            <w:r>
              <w:rPr>
                <w:sz w:val="20"/>
                <w:szCs w:val="20"/>
              </w:rPr>
              <w:t>未检出</w:t>
            </w:r>
          </w:p>
        </w:tc>
        <w:tc>
          <w:tcPr>
            <w:tcW w:w="711" w:type="dxa"/>
            <w:vAlign w:val="center"/>
          </w:tcPr>
          <w:p>
            <w:pPr>
              <w:adjustRightInd w:val="0"/>
              <w:snapToGrid w:val="0"/>
              <w:jc w:val="center"/>
              <w:rPr>
                <w:sz w:val="20"/>
                <w:szCs w:val="20"/>
              </w:rPr>
            </w:pPr>
            <w:r>
              <w:rPr>
                <w:sz w:val="20"/>
                <w:szCs w:val="20"/>
              </w:rPr>
              <w:t>未检出</w:t>
            </w:r>
          </w:p>
        </w:tc>
        <w:tc>
          <w:tcPr>
            <w:tcW w:w="667" w:type="dxa"/>
            <w:vAlign w:val="center"/>
          </w:tcPr>
          <w:p>
            <w:pPr>
              <w:adjustRightInd w:val="0"/>
              <w:snapToGrid w:val="0"/>
              <w:jc w:val="center"/>
              <w:rPr>
                <w:sz w:val="20"/>
                <w:szCs w:val="20"/>
              </w:rPr>
            </w:pPr>
            <w:r>
              <w:rPr>
                <w:sz w:val="20"/>
                <w:szCs w:val="20"/>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03" w:hRule="atLeast"/>
        </w:trPr>
        <w:tc>
          <w:tcPr>
            <w:tcW w:w="8342" w:type="dxa"/>
            <w:gridSpan w:val="9"/>
            <w:tcBorders>
              <w:top w:val="single" w:color="auto" w:sz="6" w:space="0"/>
            </w:tcBorders>
            <w:vAlign w:val="center"/>
          </w:tcPr>
          <w:p>
            <w:pPr>
              <w:spacing w:line="300" w:lineRule="exact"/>
              <w:jc w:val="center"/>
              <w:rPr>
                <w:sz w:val="20"/>
                <w:szCs w:val="20"/>
              </w:rPr>
            </w:pPr>
            <w:r>
              <w:rPr>
                <w:sz w:val="20"/>
                <w:szCs w:val="20"/>
              </w:rPr>
              <w:t>2016年8月26日矿井涌水出口监测数据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8" w:hRule="atLeast"/>
        </w:trPr>
        <w:tc>
          <w:tcPr>
            <w:tcW w:w="581" w:type="dxa"/>
            <w:tcBorders>
              <w:bottom w:val="single" w:color="auto" w:sz="6" w:space="0"/>
            </w:tcBorders>
            <w:vAlign w:val="center"/>
          </w:tcPr>
          <w:p>
            <w:pPr>
              <w:spacing w:line="300" w:lineRule="exact"/>
              <w:jc w:val="center"/>
              <w:rPr>
                <w:sz w:val="20"/>
                <w:szCs w:val="20"/>
              </w:rPr>
            </w:pPr>
            <w:r>
              <w:rPr>
                <w:sz w:val="20"/>
                <w:szCs w:val="20"/>
              </w:rPr>
              <w:t>项目</w:t>
            </w:r>
          </w:p>
        </w:tc>
        <w:tc>
          <w:tcPr>
            <w:tcW w:w="1275" w:type="dxa"/>
            <w:tcBorders>
              <w:bottom w:val="single" w:color="auto" w:sz="6" w:space="0"/>
            </w:tcBorders>
            <w:vAlign w:val="center"/>
          </w:tcPr>
          <w:p>
            <w:pPr>
              <w:pStyle w:val="26"/>
              <w:adjustRightInd w:val="0"/>
              <w:snapToGrid w:val="0"/>
              <w:jc w:val="center"/>
              <w:rPr>
                <w:rFonts w:ascii="Times New Roman" w:hAnsi="Times New Roman"/>
                <w:spacing w:val="-20"/>
                <w:sz w:val="20"/>
              </w:rPr>
            </w:pPr>
            <w:r>
              <w:rPr>
                <w:rFonts w:ascii="Times New Roman" w:hAnsi="Times New Roman"/>
                <w:spacing w:val="-20"/>
                <w:sz w:val="20"/>
              </w:rPr>
              <w:t>pH</w:t>
            </w:r>
          </w:p>
        </w:tc>
        <w:tc>
          <w:tcPr>
            <w:tcW w:w="996" w:type="dxa"/>
            <w:vAlign w:val="center"/>
          </w:tcPr>
          <w:p>
            <w:pPr>
              <w:pStyle w:val="26"/>
              <w:adjustRightInd w:val="0"/>
              <w:snapToGrid w:val="0"/>
              <w:jc w:val="center"/>
              <w:rPr>
                <w:rFonts w:ascii="Times New Roman" w:hAnsi="Times New Roman"/>
                <w:sz w:val="20"/>
              </w:rPr>
            </w:pPr>
            <w:r>
              <w:rPr>
                <w:rFonts w:ascii="Times New Roman" w:hAnsi="Times New Roman"/>
                <w:sz w:val="20"/>
              </w:rPr>
              <w:t>悬浮物</w:t>
            </w:r>
          </w:p>
        </w:tc>
        <w:tc>
          <w:tcPr>
            <w:tcW w:w="991" w:type="dxa"/>
            <w:vAlign w:val="center"/>
          </w:tcPr>
          <w:p>
            <w:pPr>
              <w:pStyle w:val="26"/>
              <w:adjustRightInd w:val="0"/>
              <w:snapToGrid w:val="0"/>
              <w:jc w:val="center"/>
              <w:rPr>
                <w:rFonts w:ascii="Times New Roman" w:hAnsi="Times New Roman"/>
                <w:sz w:val="20"/>
              </w:rPr>
            </w:pPr>
            <w:r>
              <w:rPr>
                <w:rFonts w:ascii="Times New Roman" w:hAnsi="Times New Roman"/>
                <w:sz w:val="20"/>
              </w:rPr>
              <w:t>COD</w:t>
            </w:r>
          </w:p>
        </w:tc>
        <w:tc>
          <w:tcPr>
            <w:tcW w:w="992" w:type="dxa"/>
            <w:vAlign w:val="center"/>
          </w:tcPr>
          <w:p>
            <w:pPr>
              <w:pStyle w:val="26"/>
              <w:adjustRightInd w:val="0"/>
              <w:snapToGrid w:val="0"/>
              <w:jc w:val="center"/>
              <w:rPr>
                <w:rFonts w:ascii="Times New Roman" w:hAnsi="Times New Roman"/>
                <w:sz w:val="20"/>
              </w:rPr>
            </w:pPr>
            <w:r>
              <w:rPr>
                <w:rFonts w:ascii="Times New Roman" w:hAnsi="Times New Roman"/>
                <w:sz w:val="20"/>
              </w:rPr>
              <w:t>氨氮</w:t>
            </w:r>
          </w:p>
        </w:tc>
        <w:tc>
          <w:tcPr>
            <w:tcW w:w="1134" w:type="dxa"/>
            <w:vAlign w:val="center"/>
          </w:tcPr>
          <w:p>
            <w:pPr>
              <w:pStyle w:val="26"/>
              <w:adjustRightInd w:val="0"/>
              <w:snapToGrid w:val="0"/>
              <w:jc w:val="center"/>
              <w:rPr>
                <w:rFonts w:ascii="Times New Roman" w:hAnsi="Times New Roman"/>
                <w:sz w:val="20"/>
              </w:rPr>
            </w:pPr>
            <w:r>
              <w:rPr>
                <w:rFonts w:ascii="Times New Roman" w:hAnsi="Times New Roman"/>
                <w:sz w:val="20"/>
              </w:rPr>
              <w:t>生化需氧量</w:t>
            </w:r>
          </w:p>
        </w:tc>
        <w:tc>
          <w:tcPr>
            <w:tcW w:w="995" w:type="dxa"/>
            <w:vAlign w:val="center"/>
          </w:tcPr>
          <w:p>
            <w:pPr>
              <w:pStyle w:val="26"/>
              <w:adjustRightInd w:val="0"/>
              <w:snapToGrid w:val="0"/>
              <w:jc w:val="center"/>
              <w:rPr>
                <w:rFonts w:ascii="Times New Roman" w:hAnsi="Times New Roman"/>
                <w:sz w:val="20"/>
              </w:rPr>
            </w:pPr>
            <w:r>
              <w:rPr>
                <w:rFonts w:ascii="Times New Roman" w:hAnsi="Times New Roman"/>
                <w:sz w:val="20"/>
              </w:rPr>
              <w:t>氟化物</w:t>
            </w:r>
          </w:p>
        </w:tc>
        <w:tc>
          <w:tcPr>
            <w:tcW w:w="711" w:type="dxa"/>
            <w:vAlign w:val="center"/>
          </w:tcPr>
          <w:p>
            <w:pPr>
              <w:pStyle w:val="26"/>
              <w:adjustRightInd w:val="0"/>
              <w:snapToGrid w:val="0"/>
              <w:jc w:val="center"/>
              <w:rPr>
                <w:rFonts w:ascii="Times New Roman" w:hAnsi="Times New Roman"/>
                <w:sz w:val="20"/>
              </w:rPr>
            </w:pPr>
            <w:r>
              <w:rPr>
                <w:rFonts w:ascii="Times New Roman" w:hAnsi="Times New Roman"/>
                <w:sz w:val="20"/>
              </w:rPr>
              <w:t>硫化物</w:t>
            </w:r>
          </w:p>
        </w:tc>
        <w:tc>
          <w:tcPr>
            <w:tcW w:w="667" w:type="dxa"/>
            <w:vAlign w:val="center"/>
          </w:tcPr>
          <w:p>
            <w:pPr>
              <w:pStyle w:val="26"/>
              <w:adjustRightInd w:val="0"/>
              <w:snapToGrid w:val="0"/>
              <w:jc w:val="center"/>
              <w:rPr>
                <w:rFonts w:ascii="Times New Roman" w:hAnsi="Times New Roman"/>
                <w:sz w:val="20"/>
              </w:rPr>
            </w:pPr>
            <w:r>
              <w:rPr>
                <w:rFonts w:ascii="Times New Roman" w:hAnsi="Times New Roman"/>
                <w:sz w:val="20"/>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81" w:type="dxa"/>
            <w:tcBorders>
              <w:top w:val="single" w:color="auto" w:sz="6" w:space="0"/>
              <w:bottom w:val="single" w:color="auto" w:sz="6" w:space="0"/>
            </w:tcBorders>
            <w:vAlign w:val="center"/>
          </w:tcPr>
          <w:p>
            <w:pPr>
              <w:spacing w:line="300" w:lineRule="exact"/>
              <w:jc w:val="center"/>
              <w:rPr>
                <w:sz w:val="20"/>
                <w:szCs w:val="20"/>
              </w:rPr>
            </w:pPr>
            <w:r>
              <w:rPr>
                <w:sz w:val="20"/>
                <w:szCs w:val="20"/>
              </w:rPr>
              <w:t>数据</w:t>
            </w:r>
          </w:p>
        </w:tc>
        <w:tc>
          <w:tcPr>
            <w:tcW w:w="1275" w:type="dxa"/>
            <w:tcBorders>
              <w:top w:val="single" w:color="auto" w:sz="6" w:space="0"/>
              <w:bottom w:val="single" w:color="auto" w:sz="6" w:space="0"/>
            </w:tcBorders>
            <w:vAlign w:val="center"/>
          </w:tcPr>
          <w:p>
            <w:pPr>
              <w:adjustRightInd w:val="0"/>
              <w:snapToGrid w:val="0"/>
              <w:jc w:val="center"/>
              <w:rPr>
                <w:sz w:val="20"/>
                <w:szCs w:val="20"/>
              </w:rPr>
            </w:pPr>
            <w:r>
              <w:rPr>
                <w:sz w:val="20"/>
                <w:szCs w:val="20"/>
              </w:rPr>
              <w:t>6.35～6.46</w:t>
            </w:r>
          </w:p>
        </w:tc>
        <w:tc>
          <w:tcPr>
            <w:tcW w:w="996" w:type="dxa"/>
            <w:vAlign w:val="center"/>
          </w:tcPr>
          <w:p>
            <w:pPr>
              <w:adjustRightInd w:val="0"/>
              <w:snapToGrid w:val="0"/>
              <w:jc w:val="center"/>
              <w:rPr>
                <w:sz w:val="20"/>
                <w:szCs w:val="20"/>
              </w:rPr>
            </w:pPr>
            <w:r>
              <w:rPr>
                <w:sz w:val="20"/>
                <w:szCs w:val="20"/>
              </w:rPr>
              <w:t>6～13</w:t>
            </w:r>
          </w:p>
        </w:tc>
        <w:tc>
          <w:tcPr>
            <w:tcW w:w="991" w:type="dxa"/>
            <w:vAlign w:val="center"/>
          </w:tcPr>
          <w:p>
            <w:pPr>
              <w:adjustRightInd w:val="0"/>
              <w:snapToGrid w:val="0"/>
              <w:jc w:val="center"/>
              <w:rPr>
                <w:sz w:val="20"/>
                <w:szCs w:val="20"/>
              </w:rPr>
            </w:pPr>
            <w:r>
              <w:rPr>
                <w:sz w:val="20"/>
                <w:szCs w:val="20"/>
              </w:rPr>
              <w:t>未检出</w:t>
            </w:r>
          </w:p>
        </w:tc>
        <w:tc>
          <w:tcPr>
            <w:tcW w:w="992" w:type="dxa"/>
            <w:vAlign w:val="center"/>
          </w:tcPr>
          <w:p>
            <w:pPr>
              <w:adjustRightInd w:val="0"/>
              <w:snapToGrid w:val="0"/>
              <w:jc w:val="center"/>
              <w:rPr>
                <w:sz w:val="20"/>
                <w:szCs w:val="20"/>
              </w:rPr>
            </w:pPr>
            <w:r>
              <w:rPr>
                <w:sz w:val="20"/>
                <w:szCs w:val="20"/>
              </w:rPr>
              <w:t>2.28～2.37</w:t>
            </w:r>
          </w:p>
        </w:tc>
        <w:tc>
          <w:tcPr>
            <w:tcW w:w="1134" w:type="dxa"/>
            <w:vAlign w:val="center"/>
          </w:tcPr>
          <w:p>
            <w:pPr>
              <w:adjustRightInd w:val="0"/>
              <w:snapToGrid w:val="0"/>
              <w:jc w:val="center"/>
              <w:rPr>
                <w:sz w:val="20"/>
                <w:szCs w:val="20"/>
              </w:rPr>
            </w:pPr>
            <w:r>
              <w:rPr>
                <w:sz w:val="20"/>
                <w:szCs w:val="20"/>
              </w:rPr>
              <w:t>3.1～3.6</w:t>
            </w:r>
          </w:p>
        </w:tc>
        <w:tc>
          <w:tcPr>
            <w:tcW w:w="995" w:type="dxa"/>
            <w:vAlign w:val="center"/>
          </w:tcPr>
          <w:p>
            <w:pPr>
              <w:adjustRightInd w:val="0"/>
              <w:snapToGrid w:val="0"/>
              <w:jc w:val="center"/>
              <w:rPr>
                <w:sz w:val="20"/>
                <w:szCs w:val="20"/>
              </w:rPr>
            </w:pPr>
            <w:r>
              <w:rPr>
                <w:sz w:val="20"/>
                <w:szCs w:val="20"/>
              </w:rPr>
              <w:t>0.49～0.53</w:t>
            </w:r>
          </w:p>
        </w:tc>
        <w:tc>
          <w:tcPr>
            <w:tcW w:w="711" w:type="dxa"/>
            <w:vAlign w:val="center"/>
          </w:tcPr>
          <w:p>
            <w:pPr>
              <w:adjustRightInd w:val="0"/>
              <w:snapToGrid w:val="0"/>
              <w:jc w:val="center"/>
              <w:rPr>
                <w:sz w:val="20"/>
                <w:szCs w:val="20"/>
              </w:rPr>
            </w:pPr>
            <w:r>
              <w:rPr>
                <w:sz w:val="20"/>
                <w:szCs w:val="20"/>
              </w:rPr>
              <w:t>未检出</w:t>
            </w:r>
          </w:p>
        </w:tc>
        <w:tc>
          <w:tcPr>
            <w:tcW w:w="667" w:type="dxa"/>
            <w:vAlign w:val="center"/>
          </w:tcPr>
          <w:p>
            <w:pPr>
              <w:adjustRightInd w:val="0"/>
              <w:snapToGrid w:val="0"/>
              <w:jc w:val="center"/>
              <w:rPr>
                <w:sz w:val="20"/>
                <w:szCs w:val="20"/>
              </w:rPr>
            </w:pPr>
            <w:r>
              <w:rPr>
                <w:sz w:val="20"/>
                <w:szCs w:val="20"/>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81" w:type="dxa"/>
            <w:tcBorders>
              <w:top w:val="single" w:color="auto" w:sz="6" w:space="0"/>
              <w:bottom w:val="single" w:color="auto" w:sz="6" w:space="0"/>
            </w:tcBorders>
            <w:vAlign w:val="center"/>
          </w:tcPr>
          <w:p>
            <w:pPr>
              <w:spacing w:line="300" w:lineRule="exact"/>
              <w:jc w:val="center"/>
              <w:rPr>
                <w:sz w:val="20"/>
                <w:szCs w:val="20"/>
              </w:rPr>
            </w:pPr>
            <w:r>
              <w:rPr>
                <w:sz w:val="20"/>
                <w:szCs w:val="20"/>
              </w:rPr>
              <w:t>项目</w:t>
            </w:r>
          </w:p>
        </w:tc>
        <w:tc>
          <w:tcPr>
            <w:tcW w:w="1275" w:type="dxa"/>
            <w:tcBorders>
              <w:top w:val="single" w:color="auto" w:sz="6" w:space="0"/>
              <w:bottom w:val="single" w:color="auto" w:sz="6" w:space="0"/>
            </w:tcBorders>
            <w:vAlign w:val="center"/>
          </w:tcPr>
          <w:p>
            <w:pPr>
              <w:adjustRightInd w:val="0"/>
              <w:snapToGrid w:val="0"/>
              <w:jc w:val="center"/>
              <w:rPr>
                <w:sz w:val="20"/>
                <w:szCs w:val="20"/>
              </w:rPr>
            </w:pPr>
            <w:r>
              <w:rPr>
                <w:sz w:val="20"/>
                <w:szCs w:val="20"/>
              </w:rPr>
              <w:t>六价铬</w:t>
            </w:r>
          </w:p>
        </w:tc>
        <w:tc>
          <w:tcPr>
            <w:tcW w:w="996" w:type="dxa"/>
            <w:vAlign w:val="center"/>
          </w:tcPr>
          <w:p>
            <w:pPr>
              <w:adjustRightInd w:val="0"/>
              <w:snapToGrid w:val="0"/>
              <w:jc w:val="center"/>
              <w:rPr>
                <w:sz w:val="20"/>
                <w:szCs w:val="20"/>
              </w:rPr>
            </w:pPr>
            <w:r>
              <w:rPr>
                <w:sz w:val="20"/>
                <w:szCs w:val="20"/>
              </w:rPr>
              <w:t>总铅</w:t>
            </w:r>
          </w:p>
        </w:tc>
        <w:tc>
          <w:tcPr>
            <w:tcW w:w="991" w:type="dxa"/>
            <w:vAlign w:val="center"/>
          </w:tcPr>
          <w:p>
            <w:pPr>
              <w:adjustRightInd w:val="0"/>
              <w:snapToGrid w:val="0"/>
              <w:jc w:val="center"/>
              <w:rPr>
                <w:sz w:val="20"/>
                <w:szCs w:val="20"/>
              </w:rPr>
            </w:pPr>
            <w:r>
              <w:rPr>
                <w:sz w:val="20"/>
                <w:szCs w:val="20"/>
              </w:rPr>
              <w:t>总镉</w:t>
            </w:r>
          </w:p>
        </w:tc>
        <w:tc>
          <w:tcPr>
            <w:tcW w:w="992" w:type="dxa"/>
            <w:vAlign w:val="center"/>
          </w:tcPr>
          <w:p>
            <w:pPr>
              <w:adjustRightInd w:val="0"/>
              <w:snapToGrid w:val="0"/>
              <w:jc w:val="center"/>
              <w:rPr>
                <w:sz w:val="20"/>
                <w:szCs w:val="20"/>
              </w:rPr>
            </w:pPr>
            <w:r>
              <w:rPr>
                <w:sz w:val="20"/>
                <w:szCs w:val="20"/>
              </w:rPr>
              <w:t>总铜</w:t>
            </w:r>
          </w:p>
        </w:tc>
        <w:tc>
          <w:tcPr>
            <w:tcW w:w="1134" w:type="dxa"/>
            <w:vAlign w:val="center"/>
          </w:tcPr>
          <w:p>
            <w:pPr>
              <w:adjustRightInd w:val="0"/>
              <w:snapToGrid w:val="0"/>
              <w:jc w:val="center"/>
              <w:rPr>
                <w:sz w:val="20"/>
                <w:szCs w:val="20"/>
              </w:rPr>
            </w:pPr>
            <w:r>
              <w:rPr>
                <w:sz w:val="20"/>
                <w:szCs w:val="20"/>
              </w:rPr>
              <w:t>总锌</w:t>
            </w:r>
          </w:p>
        </w:tc>
        <w:tc>
          <w:tcPr>
            <w:tcW w:w="995" w:type="dxa"/>
            <w:vAlign w:val="center"/>
          </w:tcPr>
          <w:p>
            <w:pPr>
              <w:adjustRightInd w:val="0"/>
              <w:snapToGrid w:val="0"/>
              <w:jc w:val="center"/>
              <w:rPr>
                <w:sz w:val="20"/>
                <w:szCs w:val="20"/>
              </w:rPr>
            </w:pPr>
            <w:r>
              <w:rPr>
                <w:sz w:val="20"/>
                <w:szCs w:val="20"/>
              </w:rPr>
              <w:t>总铁</w:t>
            </w:r>
          </w:p>
        </w:tc>
        <w:tc>
          <w:tcPr>
            <w:tcW w:w="711" w:type="dxa"/>
            <w:vAlign w:val="center"/>
          </w:tcPr>
          <w:p>
            <w:pPr>
              <w:adjustRightInd w:val="0"/>
              <w:snapToGrid w:val="0"/>
              <w:jc w:val="center"/>
              <w:rPr>
                <w:sz w:val="20"/>
                <w:szCs w:val="20"/>
              </w:rPr>
            </w:pPr>
            <w:r>
              <w:rPr>
                <w:sz w:val="20"/>
                <w:szCs w:val="20"/>
              </w:rPr>
              <w:t>总砷</w:t>
            </w:r>
          </w:p>
        </w:tc>
        <w:tc>
          <w:tcPr>
            <w:tcW w:w="667" w:type="dxa"/>
            <w:vAlign w:val="center"/>
          </w:tcPr>
          <w:p>
            <w:pPr>
              <w:adjustRightInd w:val="0"/>
              <w:snapToGrid w:val="0"/>
              <w:jc w:val="center"/>
              <w:rPr>
                <w:sz w:val="20"/>
                <w:szCs w:val="20"/>
              </w:rPr>
            </w:pPr>
            <w:r>
              <w:rPr>
                <w:sz w:val="20"/>
                <w:szCs w:val="20"/>
              </w:rPr>
              <w:t>总汞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81" w:type="dxa"/>
            <w:tcBorders>
              <w:top w:val="single" w:color="auto" w:sz="6" w:space="0"/>
            </w:tcBorders>
            <w:vAlign w:val="center"/>
          </w:tcPr>
          <w:p>
            <w:pPr>
              <w:spacing w:line="300" w:lineRule="exact"/>
              <w:jc w:val="center"/>
              <w:rPr>
                <w:sz w:val="20"/>
                <w:szCs w:val="20"/>
              </w:rPr>
            </w:pPr>
            <w:r>
              <w:rPr>
                <w:sz w:val="20"/>
                <w:szCs w:val="20"/>
              </w:rPr>
              <w:t>数据</w:t>
            </w:r>
          </w:p>
        </w:tc>
        <w:tc>
          <w:tcPr>
            <w:tcW w:w="1275" w:type="dxa"/>
            <w:tcBorders>
              <w:top w:val="single" w:color="auto" w:sz="6" w:space="0"/>
            </w:tcBorders>
            <w:vAlign w:val="center"/>
          </w:tcPr>
          <w:p>
            <w:pPr>
              <w:spacing w:line="300" w:lineRule="exact"/>
              <w:jc w:val="center"/>
              <w:rPr>
                <w:sz w:val="20"/>
                <w:szCs w:val="20"/>
              </w:rPr>
            </w:pPr>
            <w:r>
              <w:rPr>
                <w:sz w:val="20"/>
                <w:szCs w:val="20"/>
              </w:rPr>
              <w:t>未检出～0.006</w:t>
            </w:r>
          </w:p>
        </w:tc>
        <w:tc>
          <w:tcPr>
            <w:tcW w:w="996" w:type="dxa"/>
            <w:vAlign w:val="center"/>
          </w:tcPr>
          <w:p>
            <w:pPr>
              <w:spacing w:line="300" w:lineRule="exact"/>
              <w:jc w:val="center"/>
              <w:rPr>
                <w:sz w:val="20"/>
                <w:szCs w:val="20"/>
              </w:rPr>
            </w:pPr>
            <w:r>
              <w:rPr>
                <w:sz w:val="20"/>
                <w:szCs w:val="20"/>
              </w:rPr>
              <w:t>未检出</w:t>
            </w:r>
          </w:p>
        </w:tc>
        <w:tc>
          <w:tcPr>
            <w:tcW w:w="991" w:type="dxa"/>
            <w:vAlign w:val="center"/>
          </w:tcPr>
          <w:p>
            <w:pPr>
              <w:spacing w:line="300" w:lineRule="exact"/>
              <w:jc w:val="center"/>
              <w:rPr>
                <w:sz w:val="20"/>
                <w:szCs w:val="20"/>
              </w:rPr>
            </w:pPr>
            <w:r>
              <w:rPr>
                <w:sz w:val="20"/>
                <w:szCs w:val="20"/>
              </w:rPr>
              <w:t>未检出</w:t>
            </w:r>
          </w:p>
        </w:tc>
        <w:tc>
          <w:tcPr>
            <w:tcW w:w="992" w:type="dxa"/>
            <w:vAlign w:val="center"/>
          </w:tcPr>
          <w:p>
            <w:pPr>
              <w:spacing w:line="300" w:lineRule="exact"/>
              <w:jc w:val="center"/>
              <w:rPr>
                <w:sz w:val="20"/>
                <w:szCs w:val="20"/>
              </w:rPr>
            </w:pPr>
            <w:r>
              <w:rPr>
                <w:sz w:val="20"/>
                <w:szCs w:val="20"/>
              </w:rPr>
              <w:t>未检出</w:t>
            </w:r>
          </w:p>
        </w:tc>
        <w:tc>
          <w:tcPr>
            <w:tcW w:w="1134" w:type="dxa"/>
            <w:vAlign w:val="center"/>
          </w:tcPr>
          <w:p>
            <w:pPr>
              <w:spacing w:line="300" w:lineRule="exact"/>
              <w:jc w:val="center"/>
              <w:rPr>
                <w:sz w:val="20"/>
                <w:szCs w:val="20"/>
              </w:rPr>
            </w:pPr>
            <w:r>
              <w:rPr>
                <w:sz w:val="20"/>
                <w:szCs w:val="20"/>
              </w:rPr>
              <w:t>未检出</w:t>
            </w:r>
          </w:p>
        </w:tc>
        <w:tc>
          <w:tcPr>
            <w:tcW w:w="995" w:type="dxa"/>
            <w:vAlign w:val="center"/>
          </w:tcPr>
          <w:p>
            <w:pPr>
              <w:spacing w:line="300" w:lineRule="exact"/>
              <w:jc w:val="center"/>
              <w:rPr>
                <w:sz w:val="20"/>
                <w:szCs w:val="20"/>
              </w:rPr>
            </w:pPr>
            <w:r>
              <w:rPr>
                <w:sz w:val="20"/>
                <w:szCs w:val="20"/>
              </w:rPr>
              <w:t>未检出</w:t>
            </w:r>
          </w:p>
        </w:tc>
        <w:tc>
          <w:tcPr>
            <w:tcW w:w="711" w:type="dxa"/>
            <w:vAlign w:val="center"/>
          </w:tcPr>
          <w:p>
            <w:pPr>
              <w:spacing w:line="300" w:lineRule="exact"/>
              <w:jc w:val="center"/>
              <w:rPr>
                <w:sz w:val="20"/>
                <w:szCs w:val="20"/>
              </w:rPr>
            </w:pPr>
            <w:r>
              <w:rPr>
                <w:sz w:val="20"/>
                <w:szCs w:val="20"/>
              </w:rPr>
              <w:t>未检出</w:t>
            </w:r>
          </w:p>
        </w:tc>
        <w:tc>
          <w:tcPr>
            <w:tcW w:w="667" w:type="dxa"/>
            <w:vAlign w:val="center"/>
          </w:tcPr>
          <w:p>
            <w:pPr>
              <w:spacing w:line="300" w:lineRule="exact"/>
              <w:jc w:val="center"/>
              <w:rPr>
                <w:sz w:val="20"/>
                <w:szCs w:val="20"/>
              </w:rPr>
            </w:pPr>
            <w:r>
              <w:rPr>
                <w:sz w:val="20"/>
                <w:szCs w:val="20"/>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8342" w:type="dxa"/>
            <w:gridSpan w:val="9"/>
            <w:tcBorders>
              <w:top w:val="single" w:color="auto" w:sz="6" w:space="0"/>
            </w:tcBorders>
            <w:vAlign w:val="center"/>
          </w:tcPr>
          <w:p>
            <w:pPr>
              <w:spacing w:line="300" w:lineRule="exact"/>
              <w:jc w:val="center"/>
              <w:rPr>
                <w:sz w:val="20"/>
                <w:szCs w:val="20"/>
              </w:rPr>
            </w:pPr>
            <w:r>
              <w:rPr>
                <w:sz w:val="20"/>
                <w:szCs w:val="20"/>
              </w:rPr>
              <w:t>2016年8月27日矿井涌水出口监测数据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81" w:type="dxa"/>
            <w:tcBorders>
              <w:top w:val="single" w:color="auto" w:sz="6" w:space="0"/>
            </w:tcBorders>
            <w:vAlign w:val="center"/>
          </w:tcPr>
          <w:p>
            <w:pPr>
              <w:adjustRightInd w:val="0"/>
              <w:snapToGrid w:val="0"/>
              <w:jc w:val="center"/>
              <w:rPr>
                <w:sz w:val="20"/>
                <w:szCs w:val="20"/>
              </w:rPr>
            </w:pPr>
            <w:r>
              <w:rPr>
                <w:sz w:val="20"/>
                <w:szCs w:val="20"/>
              </w:rPr>
              <w:t>项目</w:t>
            </w:r>
          </w:p>
        </w:tc>
        <w:tc>
          <w:tcPr>
            <w:tcW w:w="1275" w:type="dxa"/>
            <w:tcBorders>
              <w:top w:val="single" w:color="auto" w:sz="6" w:space="0"/>
            </w:tcBorders>
            <w:vAlign w:val="center"/>
          </w:tcPr>
          <w:p>
            <w:pPr>
              <w:pStyle w:val="26"/>
              <w:adjustRightInd w:val="0"/>
              <w:snapToGrid w:val="0"/>
              <w:jc w:val="center"/>
              <w:rPr>
                <w:rFonts w:ascii="Times New Roman" w:hAnsi="Times New Roman"/>
                <w:spacing w:val="-20"/>
                <w:sz w:val="20"/>
              </w:rPr>
            </w:pPr>
            <w:r>
              <w:rPr>
                <w:rFonts w:ascii="Times New Roman" w:hAnsi="Times New Roman"/>
                <w:spacing w:val="-20"/>
                <w:sz w:val="20"/>
              </w:rPr>
              <w:t>pH</w:t>
            </w:r>
          </w:p>
        </w:tc>
        <w:tc>
          <w:tcPr>
            <w:tcW w:w="996" w:type="dxa"/>
            <w:vAlign w:val="center"/>
          </w:tcPr>
          <w:p>
            <w:pPr>
              <w:pStyle w:val="26"/>
              <w:adjustRightInd w:val="0"/>
              <w:snapToGrid w:val="0"/>
              <w:jc w:val="center"/>
              <w:rPr>
                <w:rFonts w:ascii="Times New Roman" w:hAnsi="Times New Roman"/>
                <w:sz w:val="20"/>
              </w:rPr>
            </w:pPr>
            <w:r>
              <w:rPr>
                <w:rFonts w:ascii="Times New Roman" w:hAnsi="Times New Roman"/>
                <w:sz w:val="20"/>
              </w:rPr>
              <w:t>悬浮物</w:t>
            </w:r>
          </w:p>
        </w:tc>
        <w:tc>
          <w:tcPr>
            <w:tcW w:w="991" w:type="dxa"/>
            <w:vAlign w:val="center"/>
          </w:tcPr>
          <w:p>
            <w:pPr>
              <w:pStyle w:val="26"/>
              <w:adjustRightInd w:val="0"/>
              <w:snapToGrid w:val="0"/>
              <w:jc w:val="center"/>
              <w:rPr>
                <w:rFonts w:ascii="Times New Roman" w:hAnsi="Times New Roman"/>
                <w:sz w:val="20"/>
              </w:rPr>
            </w:pPr>
            <w:r>
              <w:rPr>
                <w:rFonts w:ascii="Times New Roman" w:hAnsi="Times New Roman"/>
                <w:sz w:val="20"/>
              </w:rPr>
              <w:t>COD</w:t>
            </w:r>
          </w:p>
        </w:tc>
        <w:tc>
          <w:tcPr>
            <w:tcW w:w="992" w:type="dxa"/>
            <w:vAlign w:val="center"/>
          </w:tcPr>
          <w:p>
            <w:pPr>
              <w:pStyle w:val="26"/>
              <w:adjustRightInd w:val="0"/>
              <w:snapToGrid w:val="0"/>
              <w:jc w:val="center"/>
              <w:rPr>
                <w:rFonts w:ascii="Times New Roman" w:hAnsi="Times New Roman"/>
                <w:sz w:val="20"/>
              </w:rPr>
            </w:pPr>
            <w:r>
              <w:rPr>
                <w:rFonts w:ascii="Times New Roman" w:hAnsi="Times New Roman"/>
                <w:sz w:val="20"/>
              </w:rPr>
              <w:t>氨氮</w:t>
            </w:r>
          </w:p>
        </w:tc>
        <w:tc>
          <w:tcPr>
            <w:tcW w:w="1134" w:type="dxa"/>
            <w:vAlign w:val="center"/>
          </w:tcPr>
          <w:p>
            <w:pPr>
              <w:pStyle w:val="26"/>
              <w:adjustRightInd w:val="0"/>
              <w:snapToGrid w:val="0"/>
              <w:jc w:val="center"/>
              <w:rPr>
                <w:rFonts w:ascii="Times New Roman" w:hAnsi="Times New Roman"/>
                <w:sz w:val="20"/>
              </w:rPr>
            </w:pPr>
            <w:r>
              <w:rPr>
                <w:rFonts w:ascii="Times New Roman" w:hAnsi="Times New Roman"/>
                <w:sz w:val="20"/>
              </w:rPr>
              <w:t>生化需氧量</w:t>
            </w:r>
          </w:p>
        </w:tc>
        <w:tc>
          <w:tcPr>
            <w:tcW w:w="995" w:type="dxa"/>
            <w:vAlign w:val="center"/>
          </w:tcPr>
          <w:p>
            <w:pPr>
              <w:pStyle w:val="26"/>
              <w:adjustRightInd w:val="0"/>
              <w:snapToGrid w:val="0"/>
              <w:jc w:val="center"/>
              <w:rPr>
                <w:rFonts w:ascii="Times New Roman" w:hAnsi="Times New Roman"/>
                <w:sz w:val="20"/>
              </w:rPr>
            </w:pPr>
            <w:r>
              <w:rPr>
                <w:rFonts w:ascii="Times New Roman" w:hAnsi="Times New Roman"/>
                <w:sz w:val="20"/>
              </w:rPr>
              <w:t>氟化物</w:t>
            </w:r>
          </w:p>
        </w:tc>
        <w:tc>
          <w:tcPr>
            <w:tcW w:w="711" w:type="dxa"/>
            <w:vAlign w:val="center"/>
          </w:tcPr>
          <w:p>
            <w:pPr>
              <w:pStyle w:val="26"/>
              <w:adjustRightInd w:val="0"/>
              <w:snapToGrid w:val="0"/>
              <w:jc w:val="center"/>
              <w:rPr>
                <w:rFonts w:ascii="Times New Roman" w:hAnsi="Times New Roman"/>
                <w:sz w:val="20"/>
              </w:rPr>
            </w:pPr>
            <w:r>
              <w:rPr>
                <w:rFonts w:ascii="Times New Roman" w:hAnsi="Times New Roman"/>
                <w:sz w:val="20"/>
              </w:rPr>
              <w:t>硫化物</w:t>
            </w:r>
          </w:p>
        </w:tc>
        <w:tc>
          <w:tcPr>
            <w:tcW w:w="667" w:type="dxa"/>
            <w:vAlign w:val="center"/>
          </w:tcPr>
          <w:p>
            <w:pPr>
              <w:pStyle w:val="26"/>
              <w:adjustRightInd w:val="0"/>
              <w:snapToGrid w:val="0"/>
              <w:jc w:val="center"/>
              <w:rPr>
                <w:rFonts w:ascii="Times New Roman" w:hAnsi="Times New Roman"/>
                <w:sz w:val="20"/>
              </w:rPr>
            </w:pPr>
            <w:r>
              <w:rPr>
                <w:rFonts w:ascii="Times New Roman" w:hAnsi="Times New Roman"/>
                <w:sz w:val="20"/>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81" w:type="dxa"/>
            <w:tcBorders>
              <w:top w:val="single" w:color="auto" w:sz="6" w:space="0"/>
            </w:tcBorders>
            <w:vAlign w:val="center"/>
          </w:tcPr>
          <w:p>
            <w:pPr>
              <w:adjustRightInd w:val="0"/>
              <w:snapToGrid w:val="0"/>
              <w:jc w:val="center"/>
              <w:rPr>
                <w:sz w:val="20"/>
                <w:szCs w:val="20"/>
              </w:rPr>
            </w:pPr>
            <w:r>
              <w:rPr>
                <w:sz w:val="20"/>
                <w:szCs w:val="20"/>
              </w:rPr>
              <w:t>数据</w:t>
            </w:r>
          </w:p>
        </w:tc>
        <w:tc>
          <w:tcPr>
            <w:tcW w:w="1275" w:type="dxa"/>
            <w:tcBorders>
              <w:top w:val="single" w:color="auto" w:sz="6" w:space="0"/>
            </w:tcBorders>
            <w:vAlign w:val="center"/>
          </w:tcPr>
          <w:p>
            <w:pPr>
              <w:adjustRightInd w:val="0"/>
              <w:snapToGrid w:val="0"/>
              <w:jc w:val="center"/>
              <w:rPr>
                <w:sz w:val="20"/>
                <w:szCs w:val="20"/>
              </w:rPr>
            </w:pPr>
            <w:r>
              <w:rPr>
                <w:sz w:val="20"/>
                <w:szCs w:val="20"/>
              </w:rPr>
              <w:t>6.35～6.47</w:t>
            </w:r>
          </w:p>
        </w:tc>
        <w:tc>
          <w:tcPr>
            <w:tcW w:w="996" w:type="dxa"/>
            <w:vAlign w:val="center"/>
          </w:tcPr>
          <w:p>
            <w:pPr>
              <w:adjustRightInd w:val="0"/>
              <w:snapToGrid w:val="0"/>
              <w:jc w:val="center"/>
              <w:rPr>
                <w:sz w:val="20"/>
                <w:szCs w:val="20"/>
              </w:rPr>
            </w:pPr>
            <w:r>
              <w:rPr>
                <w:sz w:val="20"/>
                <w:szCs w:val="20"/>
              </w:rPr>
              <w:t>5～12</w:t>
            </w:r>
          </w:p>
        </w:tc>
        <w:tc>
          <w:tcPr>
            <w:tcW w:w="991" w:type="dxa"/>
            <w:vAlign w:val="center"/>
          </w:tcPr>
          <w:p>
            <w:pPr>
              <w:adjustRightInd w:val="0"/>
              <w:snapToGrid w:val="0"/>
              <w:jc w:val="center"/>
              <w:rPr>
                <w:sz w:val="20"/>
                <w:szCs w:val="20"/>
              </w:rPr>
            </w:pPr>
            <w:r>
              <w:rPr>
                <w:sz w:val="20"/>
                <w:szCs w:val="20"/>
              </w:rPr>
              <w:t>未检出</w:t>
            </w:r>
          </w:p>
        </w:tc>
        <w:tc>
          <w:tcPr>
            <w:tcW w:w="992" w:type="dxa"/>
            <w:vAlign w:val="center"/>
          </w:tcPr>
          <w:p>
            <w:pPr>
              <w:adjustRightInd w:val="0"/>
              <w:snapToGrid w:val="0"/>
              <w:jc w:val="center"/>
              <w:rPr>
                <w:sz w:val="20"/>
                <w:szCs w:val="20"/>
              </w:rPr>
            </w:pPr>
            <w:r>
              <w:rPr>
                <w:sz w:val="20"/>
                <w:szCs w:val="20"/>
              </w:rPr>
              <w:t>2.39～2.50</w:t>
            </w:r>
          </w:p>
        </w:tc>
        <w:tc>
          <w:tcPr>
            <w:tcW w:w="1134" w:type="dxa"/>
            <w:vAlign w:val="center"/>
          </w:tcPr>
          <w:p>
            <w:pPr>
              <w:adjustRightInd w:val="0"/>
              <w:snapToGrid w:val="0"/>
              <w:jc w:val="center"/>
              <w:rPr>
                <w:sz w:val="20"/>
                <w:szCs w:val="20"/>
              </w:rPr>
            </w:pPr>
            <w:r>
              <w:rPr>
                <w:sz w:val="20"/>
                <w:szCs w:val="20"/>
              </w:rPr>
              <w:t>2.9～3.5</w:t>
            </w:r>
          </w:p>
        </w:tc>
        <w:tc>
          <w:tcPr>
            <w:tcW w:w="995" w:type="dxa"/>
            <w:vAlign w:val="center"/>
          </w:tcPr>
          <w:p>
            <w:pPr>
              <w:adjustRightInd w:val="0"/>
              <w:snapToGrid w:val="0"/>
              <w:jc w:val="center"/>
              <w:rPr>
                <w:sz w:val="20"/>
                <w:szCs w:val="20"/>
              </w:rPr>
            </w:pPr>
            <w:r>
              <w:rPr>
                <w:sz w:val="20"/>
                <w:szCs w:val="20"/>
              </w:rPr>
              <w:t>0.48～0.53</w:t>
            </w:r>
          </w:p>
        </w:tc>
        <w:tc>
          <w:tcPr>
            <w:tcW w:w="711" w:type="dxa"/>
            <w:vAlign w:val="center"/>
          </w:tcPr>
          <w:p>
            <w:pPr>
              <w:adjustRightInd w:val="0"/>
              <w:snapToGrid w:val="0"/>
              <w:jc w:val="center"/>
              <w:rPr>
                <w:sz w:val="20"/>
                <w:szCs w:val="20"/>
              </w:rPr>
            </w:pPr>
            <w:r>
              <w:rPr>
                <w:sz w:val="20"/>
                <w:szCs w:val="20"/>
              </w:rPr>
              <w:t>未检出</w:t>
            </w:r>
          </w:p>
        </w:tc>
        <w:tc>
          <w:tcPr>
            <w:tcW w:w="667" w:type="dxa"/>
            <w:vAlign w:val="center"/>
          </w:tcPr>
          <w:p>
            <w:pPr>
              <w:adjustRightInd w:val="0"/>
              <w:snapToGrid w:val="0"/>
              <w:jc w:val="center"/>
              <w:rPr>
                <w:sz w:val="20"/>
                <w:szCs w:val="20"/>
              </w:rPr>
            </w:pPr>
            <w:r>
              <w:rPr>
                <w:sz w:val="20"/>
                <w:szCs w:val="20"/>
              </w:rPr>
              <w:t>未检出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81" w:type="dxa"/>
            <w:tcBorders>
              <w:top w:val="single" w:color="auto" w:sz="6" w:space="0"/>
            </w:tcBorders>
            <w:vAlign w:val="center"/>
          </w:tcPr>
          <w:p>
            <w:pPr>
              <w:adjustRightInd w:val="0"/>
              <w:snapToGrid w:val="0"/>
              <w:jc w:val="center"/>
              <w:rPr>
                <w:sz w:val="20"/>
                <w:szCs w:val="20"/>
              </w:rPr>
            </w:pPr>
            <w:r>
              <w:rPr>
                <w:sz w:val="20"/>
                <w:szCs w:val="20"/>
              </w:rPr>
              <w:t>项目</w:t>
            </w:r>
          </w:p>
        </w:tc>
        <w:tc>
          <w:tcPr>
            <w:tcW w:w="1275" w:type="dxa"/>
            <w:tcBorders>
              <w:top w:val="single" w:color="auto" w:sz="6" w:space="0"/>
            </w:tcBorders>
            <w:vAlign w:val="center"/>
          </w:tcPr>
          <w:p>
            <w:pPr>
              <w:adjustRightInd w:val="0"/>
              <w:snapToGrid w:val="0"/>
              <w:jc w:val="center"/>
              <w:rPr>
                <w:sz w:val="20"/>
                <w:szCs w:val="20"/>
              </w:rPr>
            </w:pPr>
            <w:r>
              <w:rPr>
                <w:sz w:val="20"/>
                <w:szCs w:val="20"/>
              </w:rPr>
              <w:t>六价铬</w:t>
            </w:r>
          </w:p>
        </w:tc>
        <w:tc>
          <w:tcPr>
            <w:tcW w:w="996" w:type="dxa"/>
            <w:vAlign w:val="center"/>
          </w:tcPr>
          <w:p>
            <w:pPr>
              <w:adjustRightInd w:val="0"/>
              <w:snapToGrid w:val="0"/>
              <w:jc w:val="center"/>
              <w:rPr>
                <w:sz w:val="20"/>
                <w:szCs w:val="20"/>
              </w:rPr>
            </w:pPr>
            <w:r>
              <w:rPr>
                <w:sz w:val="20"/>
                <w:szCs w:val="20"/>
              </w:rPr>
              <w:t>总铅</w:t>
            </w:r>
          </w:p>
        </w:tc>
        <w:tc>
          <w:tcPr>
            <w:tcW w:w="991" w:type="dxa"/>
            <w:vAlign w:val="center"/>
          </w:tcPr>
          <w:p>
            <w:pPr>
              <w:adjustRightInd w:val="0"/>
              <w:snapToGrid w:val="0"/>
              <w:jc w:val="center"/>
              <w:rPr>
                <w:sz w:val="20"/>
                <w:szCs w:val="20"/>
              </w:rPr>
            </w:pPr>
            <w:r>
              <w:rPr>
                <w:sz w:val="20"/>
                <w:szCs w:val="20"/>
              </w:rPr>
              <w:t>总镉</w:t>
            </w:r>
          </w:p>
        </w:tc>
        <w:tc>
          <w:tcPr>
            <w:tcW w:w="992" w:type="dxa"/>
            <w:vAlign w:val="center"/>
          </w:tcPr>
          <w:p>
            <w:pPr>
              <w:adjustRightInd w:val="0"/>
              <w:snapToGrid w:val="0"/>
              <w:jc w:val="center"/>
              <w:rPr>
                <w:sz w:val="20"/>
                <w:szCs w:val="20"/>
              </w:rPr>
            </w:pPr>
            <w:r>
              <w:rPr>
                <w:sz w:val="20"/>
                <w:szCs w:val="20"/>
              </w:rPr>
              <w:t>总铜</w:t>
            </w:r>
          </w:p>
        </w:tc>
        <w:tc>
          <w:tcPr>
            <w:tcW w:w="1134" w:type="dxa"/>
            <w:vAlign w:val="center"/>
          </w:tcPr>
          <w:p>
            <w:pPr>
              <w:adjustRightInd w:val="0"/>
              <w:snapToGrid w:val="0"/>
              <w:jc w:val="center"/>
              <w:rPr>
                <w:sz w:val="20"/>
                <w:szCs w:val="20"/>
              </w:rPr>
            </w:pPr>
            <w:r>
              <w:rPr>
                <w:sz w:val="20"/>
                <w:szCs w:val="20"/>
              </w:rPr>
              <w:t>总锌</w:t>
            </w:r>
          </w:p>
        </w:tc>
        <w:tc>
          <w:tcPr>
            <w:tcW w:w="995" w:type="dxa"/>
            <w:vAlign w:val="center"/>
          </w:tcPr>
          <w:p>
            <w:pPr>
              <w:adjustRightInd w:val="0"/>
              <w:snapToGrid w:val="0"/>
              <w:jc w:val="center"/>
              <w:rPr>
                <w:sz w:val="20"/>
                <w:szCs w:val="20"/>
              </w:rPr>
            </w:pPr>
            <w:r>
              <w:rPr>
                <w:sz w:val="20"/>
                <w:szCs w:val="20"/>
              </w:rPr>
              <w:t>总铁</w:t>
            </w:r>
          </w:p>
        </w:tc>
        <w:tc>
          <w:tcPr>
            <w:tcW w:w="711" w:type="dxa"/>
            <w:vAlign w:val="center"/>
          </w:tcPr>
          <w:p>
            <w:pPr>
              <w:adjustRightInd w:val="0"/>
              <w:snapToGrid w:val="0"/>
              <w:jc w:val="center"/>
              <w:rPr>
                <w:sz w:val="20"/>
                <w:szCs w:val="20"/>
              </w:rPr>
            </w:pPr>
            <w:r>
              <w:rPr>
                <w:sz w:val="20"/>
                <w:szCs w:val="20"/>
              </w:rPr>
              <w:t>总砷</w:t>
            </w:r>
          </w:p>
        </w:tc>
        <w:tc>
          <w:tcPr>
            <w:tcW w:w="667" w:type="dxa"/>
            <w:vAlign w:val="center"/>
          </w:tcPr>
          <w:p>
            <w:pPr>
              <w:adjustRightInd w:val="0"/>
              <w:snapToGrid w:val="0"/>
              <w:jc w:val="center"/>
              <w:rPr>
                <w:sz w:val="20"/>
                <w:szCs w:val="20"/>
              </w:rPr>
            </w:pPr>
            <w:r>
              <w:rPr>
                <w:sz w:val="20"/>
                <w:szCs w:val="20"/>
              </w:rPr>
              <w:t>总汞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81" w:type="dxa"/>
            <w:tcBorders>
              <w:top w:val="single" w:color="auto" w:sz="6" w:space="0"/>
            </w:tcBorders>
            <w:vAlign w:val="center"/>
          </w:tcPr>
          <w:p>
            <w:pPr>
              <w:adjustRightInd w:val="0"/>
              <w:snapToGrid w:val="0"/>
              <w:jc w:val="center"/>
              <w:rPr>
                <w:sz w:val="20"/>
                <w:szCs w:val="20"/>
              </w:rPr>
            </w:pPr>
            <w:r>
              <w:rPr>
                <w:sz w:val="20"/>
                <w:szCs w:val="20"/>
              </w:rPr>
              <w:t>数据</w:t>
            </w:r>
          </w:p>
        </w:tc>
        <w:tc>
          <w:tcPr>
            <w:tcW w:w="1275" w:type="dxa"/>
            <w:tcBorders>
              <w:top w:val="single" w:color="auto" w:sz="6" w:space="0"/>
            </w:tcBorders>
            <w:vAlign w:val="center"/>
          </w:tcPr>
          <w:p>
            <w:pPr>
              <w:adjustRightInd w:val="0"/>
              <w:snapToGrid w:val="0"/>
              <w:jc w:val="center"/>
              <w:rPr>
                <w:sz w:val="20"/>
                <w:szCs w:val="20"/>
              </w:rPr>
            </w:pPr>
            <w:r>
              <w:rPr>
                <w:sz w:val="20"/>
                <w:szCs w:val="20"/>
              </w:rPr>
              <w:t>未检出～0.005</w:t>
            </w:r>
          </w:p>
        </w:tc>
        <w:tc>
          <w:tcPr>
            <w:tcW w:w="996" w:type="dxa"/>
            <w:vAlign w:val="center"/>
          </w:tcPr>
          <w:p>
            <w:pPr>
              <w:adjustRightInd w:val="0"/>
              <w:snapToGrid w:val="0"/>
              <w:jc w:val="center"/>
              <w:rPr>
                <w:sz w:val="20"/>
                <w:szCs w:val="20"/>
              </w:rPr>
            </w:pPr>
            <w:r>
              <w:rPr>
                <w:sz w:val="20"/>
                <w:szCs w:val="20"/>
              </w:rPr>
              <w:t>未检出</w:t>
            </w:r>
          </w:p>
        </w:tc>
        <w:tc>
          <w:tcPr>
            <w:tcW w:w="991" w:type="dxa"/>
            <w:vAlign w:val="center"/>
          </w:tcPr>
          <w:p>
            <w:pPr>
              <w:adjustRightInd w:val="0"/>
              <w:snapToGrid w:val="0"/>
              <w:jc w:val="center"/>
              <w:rPr>
                <w:sz w:val="20"/>
                <w:szCs w:val="20"/>
              </w:rPr>
            </w:pPr>
            <w:r>
              <w:rPr>
                <w:sz w:val="20"/>
                <w:szCs w:val="20"/>
              </w:rPr>
              <w:t>未检出</w:t>
            </w:r>
          </w:p>
        </w:tc>
        <w:tc>
          <w:tcPr>
            <w:tcW w:w="992" w:type="dxa"/>
            <w:vAlign w:val="center"/>
          </w:tcPr>
          <w:p>
            <w:pPr>
              <w:adjustRightInd w:val="0"/>
              <w:snapToGrid w:val="0"/>
              <w:jc w:val="center"/>
              <w:rPr>
                <w:sz w:val="20"/>
                <w:szCs w:val="20"/>
              </w:rPr>
            </w:pPr>
            <w:r>
              <w:rPr>
                <w:sz w:val="20"/>
                <w:szCs w:val="20"/>
              </w:rPr>
              <w:t>未检出</w:t>
            </w:r>
          </w:p>
        </w:tc>
        <w:tc>
          <w:tcPr>
            <w:tcW w:w="1134" w:type="dxa"/>
            <w:vAlign w:val="center"/>
          </w:tcPr>
          <w:p>
            <w:pPr>
              <w:adjustRightInd w:val="0"/>
              <w:snapToGrid w:val="0"/>
              <w:jc w:val="center"/>
              <w:rPr>
                <w:sz w:val="20"/>
                <w:szCs w:val="20"/>
              </w:rPr>
            </w:pPr>
            <w:r>
              <w:rPr>
                <w:sz w:val="20"/>
                <w:szCs w:val="20"/>
              </w:rPr>
              <w:t>未检出</w:t>
            </w:r>
          </w:p>
        </w:tc>
        <w:tc>
          <w:tcPr>
            <w:tcW w:w="995" w:type="dxa"/>
            <w:vAlign w:val="center"/>
          </w:tcPr>
          <w:p>
            <w:pPr>
              <w:adjustRightInd w:val="0"/>
              <w:snapToGrid w:val="0"/>
              <w:jc w:val="center"/>
              <w:rPr>
                <w:sz w:val="20"/>
                <w:szCs w:val="20"/>
              </w:rPr>
            </w:pPr>
            <w:r>
              <w:rPr>
                <w:sz w:val="20"/>
                <w:szCs w:val="20"/>
              </w:rPr>
              <w:t>未检出</w:t>
            </w:r>
          </w:p>
        </w:tc>
        <w:tc>
          <w:tcPr>
            <w:tcW w:w="711" w:type="dxa"/>
            <w:vAlign w:val="center"/>
          </w:tcPr>
          <w:p>
            <w:pPr>
              <w:adjustRightInd w:val="0"/>
              <w:snapToGrid w:val="0"/>
              <w:jc w:val="center"/>
              <w:rPr>
                <w:sz w:val="20"/>
                <w:szCs w:val="20"/>
              </w:rPr>
            </w:pPr>
            <w:r>
              <w:rPr>
                <w:sz w:val="20"/>
                <w:szCs w:val="20"/>
              </w:rPr>
              <w:t>未检出</w:t>
            </w:r>
          </w:p>
        </w:tc>
        <w:tc>
          <w:tcPr>
            <w:tcW w:w="667" w:type="dxa"/>
            <w:vAlign w:val="center"/>
          </w:tcPr>
          <w:p>
            <w:pPr>
              <w:adjustRightInd w:val="0"/>
              <w:snapToGrid w:val="0"/>
              <w:jc w:val="center"/>
              <w:rPr>
                <w:sz w:val="20"/>
                <w:szCs w:val="20"/>
              </w:rPr>
            </w:pPr>
            <w:r>
              <w:rPr>
                <w:sz w:val="20"/>
                <w:szCs w:val="20"/>
              </w:rPr>
              <w:t>未检出</w:t>
            </w:r>
          </w:p>
        </w:tc>
      </w:tr>
    </w:tbl>
    <w:p>
      <w:pPr>
        <w:pStyle w:val="26"/>
        <w:spacing w:beforeLines="50" w:line="360" w:lineRule="auto"/>
        <w:ind w:firstLine="480" w:firstLineChars="200"/>
        <w:rPr>
          <w:rFonts w:ascii="Times New Roman" w:hAnsi="Times New Roman"/>
          <w:sz w:val="24"/>
          <w:szCs w:val="24"/>
        </w:rPr>
      </w:pPr>
      <w:r>
        <w:rPr>
          <w:rFonts w:ascii="Times New Roman" w:hAnsi="Times New Roman"/>
          <w:sz w:val="24"/>
          <w:szCs w:val="24"/>
        </w:rPr>
        <w:t>由表4.1-1可知，该矿井涌水能满足《污水综合排放标准》（GB8978-1996）表1和表4一级标准，达标排放至麻家河。</w:t>
      </w:r>
    </w:p>
    <w:p>
      <w:pPr>
        <w:spacing w:line="360" w:lineRule="auto"/>
        <w:ind w:firstLine="480" w:firstLineChars="200"/>
        <w:rPr>
          <w:sz w:val="24"/>
        </w:rPr>
      </w:pPr>
      <w:r>
        <w:rPr>
          <w:sz w:val="24"/>
        </w:rPr>
        <w:t>（2）生活用水</w:t>
      </w:r>
    </w:p>
    <w:p>
      <w:pPr>
        <w:spacing w:line="360" w:lineRule="auto"/>
        <w:ind w:firstLine="480" w:firstLineChars="200"/>
        <w:rPr>
          <w:sz w:val="24"/>
        </w:rPr>
      </w:pPr>
      <w:r>
        <w:rPr>
          <w:sz w:val="24"/>
        </w:rPr>
        <w:t>矿山劳动定员50人，生活用水总量为4.5m</w:t>
      </w:r>
      <w:r>
        <w:rPr>
          <w:sz w:val="24"/>
          <w:vertAlign w:val="superscript"/>
        </w:rPr>
        <w:t>3</w:t>
      </w:r>
      <w:r>
        <w:rPr>
          <w:sz w:val="24"/>
        </w:rPr>
        <w:t>/d，废水产生量为3.6m</w:t>
      </w:r>
      <w:r>
        <w:rPr>
          <w:sz w:val="24"/>
          <w:vertAlign w:val="superscript"/>
        </w:rPr>
        <w:t>3</w:t>
      </w:r>
      <w:r>
        <w:rPr>
          <w:sz w:val="24"/>
        </w:rPr>
        <w:t>/d，主要污染因子为COD、BOD和SS等。食堂废水设置隔油池，生活污水通过化粪池处理后排入尾矿库，澄清后返回选厂回水池，与尾矿澄清水一起循环回用，不外排。</w:t>
      </w:r>
    </w:p>
    <w:p>
      <w:pPr>
        <w:pStyle w:val="5"/>
        <w:rPr>
          <w:rFonts w:ascii="Times New Roman" w:hAnsi="Times New Roman"/>
        </w:rPr>
      </w:pPr>
      <w:r>
        <w:rPr>
          <w:rFonts w:ascii="Times New Roman" w:hAnsi="Times New Roman"/>
        </w:rPr>
        <w:t>4.1.1.3扩建矿山固体废弃物污染防治措施调查</w:t>
      </w:r>
    </w:p>
    <w:p>
      <w:pPr>
        <w:pStyle w:val="107"/>
      </w:pPr>
      <w:r>
        <w:rPr>
          <w:rFonts w:eastAsia="宋体"/>
        </w:rPr>
        <w:t xml:space="preserve">  （1）废石</w:t>
      </w:r>
    </w:p>
    <w:p>
      <w:pPr>
        <w:pStyle w:val="26"/>
        <w:spacing w:line="360" w:lineRule="auto"/>
        <w:ind w:firstLine="480" w:firstLineChars="200"/>
        <w:rPr>
          <w:rFonts w:ascii="Times New Roman" w:hAnsi="Times New Roman"/>
          <w:sz w:val="24"/>
        </w:rPr>
      </w:pPr>
      <w:r>
        <w:rPr>
          <w:rFonts w:ascii="Times New Roman" w:hAnsi="Times New Roman"/>
          <w:sz w:val="24"/>
        </w:rPr>
        <w:t>该工程营运期固体废物主要为采矿废石及生产工人生活垃圾。</w:t>
      </w:r>
    </w:p>
    <w:p>
      <w:pPr>
        <w:pStyle w:val="26"/>
        <w:spacing w:line="360" w:lineRule="auto"/>
        <w:ind w:firstLine="480" w:firstLineChars="200"/>
        <w:rPr>
          <w:rFonts w:ascii="Times New Roman" w:hAnsi="Times New Roman"/>
          <w:sz w:val="24"/>
        </w:rPr>
      </w:pPr>
      <w:r>
        <w:rPr>
          <w:rFonts w:ascii="Times New Roman" w:hAnsi="Times New Roman"/>
          <w:sz w:val="24"/>
        </w:rPr>
        <w:t>环评阶段预测采矿项目生产期总的废石量为1.8万t/a，根据调查，实际废石产生量预计为0.9万t/a，根据灵宝市环境监测站对废石渣做浸出毒性实验，其结果见表4.1-2。</w:t>
      </w:r>
    </w:p>
    <w:p>
      <w:pPr>
        <w:pStyle w:val="26"/>
        <w:adjustRightInd w:val="0"/>
        <w:snapToGrid w:val="0"/>
        <w:ind w:firstLine="440" w:firstLineChars="200"/>
        <w:rPr>
          <w:rFonts w:ascii="Times New Roman" w:hAnsi="Times New Roman" w:eastAsia="黑体"/>
          <w:sz w:val="22"/>
          <w:szCs w:val="22"/>
        </w:rPr>
      </w:pPr>
      <w:r>
        <w:rPr>
          <w:rFonts w:ascii="Times New Roman" w:hAnsi="Times New Roman" w:eastAsia="黑体"/>
          <w:sz w:val="22"/>
          <w:szCs w:val="22"/>
        </w:rPr>
        <w:t>表4.1-2             固废浸出毒性结果分析一览表          单位：mg/L</w:t>
      </w:r>
    </w:p>
    <w:tbl>
      <w:tblPr>
        <w:tblStyle w:val="54"/>
        <w:tblW w:w="91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595"/>
        <w:gridCol w:w="706"/>
        <w:gridCol w:w="708"/>
        <w:gridCol w:w="815"/>
        <w:gridCol w:w="708"/>
        <w:gridCol w:w="705"/>
        <w:gridCol w:w="709"/>
        <w:gridCol w:w="709"/>
        <w:gridCol w:w="893"/>
        <w:gridCol w:w="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53" w:hRule="atLeast"/>
          <w:jc w:val="center"/>
        </w:trPr>
        <w:tc>
          <w:tcPr>
            <w:tcW w:w="1980" w:type="dxa"/>
            <w:vAlign w:val="center"/>
          </w:tcPr>
          <w:p>
            <w:pPr>
              <w:adjustRightInd w:val="0"/>
              <w:snapToGrid w:val="0"/>
              <w:ind w:firstLine="700" w:firstLineChars="350"/>
              <w:jc w:val="center"/>
              <w:rPr>
                <w:sz w:val="20"/>
                <w:szCs w:val="20"/>
              </w:rPr>
            </w:pPr>
            <w:r>
              <w:rPr>
                <w:sz w:val="20"/>
                <w:szCs w:val="20"/>
              </w:rPr>
              <w:pict>
                <v:line id="_x0000_s5448" o:spid="_x0000_s5448" o:spt="20" style="position:absolute;left:0pt;margin-left:-4.15pt;margin-top:3.4pt;height:37.75pt;width:97.75pt;z-index:251730944;mso-width-relative:page;mso-height-relative:page;" coordsize="21600,21600">
                  <v:path arrowok="t"/>
                  <v:fill focussize="0,0"/>
                  <v:stroke/>
                  <v:imagedata o:title=""/>
                  <o:lock v:ext="edit"/>
                </v:line>
              </w:pict>
            </w:r>
            <w:r>
              <w:rPr>
                <w:sz w:val="20"/>
                <w:szCs w:val="20"/>
              </w:rPr>
              <w:pict>
                <v:line id="_x0000_s5449" o:spid="_x0000_s5449" o:spt="20" style="position:absolute;left:0pt;margin-left:-4.2pt;margin-top:3.3pt;height:68.5pt;width:61.9pt;z-index:251731968;mso-width-relative:page;mso-height-relative:page;" coordsize="21600,21600">
                  <v:path arrowok="t"/>
                  <v:fill focussize="0,0"/>
                  <v:stroke/>
                  <v:imagedata o:title=""/>
                  <o:lock v:ext="edit"/>
                </v:line>
              </w:pict>
            </w:r>
            <w:r>
              <w:rPr>
                <w:sz w:val="20"/>
                <w:szCs w:val="20"/>
              </w:rPr>
              <w:t>项目</w:t>
            </w:r>
          </w:p>
          <w:p>
            <w:pPr>
              <w:adjustRightInd w:val="0"/>
              <w:snapToGrid w:val="0"/>
              <w:ind w:firstLine="300" w:firstLineChars="150"/>
              <w:jc w:val="center"/>
              <w:rPr>
                <w:sz w:val="20"/>
                <w:szCs w:val="20"/>
              </w:rPr>
            </w:pPr>
            <w:r>
              <w:rPr>
                <w:sz w:val="20"/>
                <w:szCs w:val="20"/>
              </w:rPr>
              <w:t>浓度</w:t>
            </w:r>
          </w:p>
          <w:p>
            <w:pPr>
              <w:adjustRightInd w:val="0"/>
              <w:snapToGrid w:val="0"/>
              <w:jc w:val="center"/>
              <w:rPr>
                <w:sz w:val="20"/>
                <w:szCs w:val="20"/>
              </w:rPr>
            </w:pPr>
            <w:r>
              <w:rPr>
                <w:sz w:val="20"/>
                <w:szCs w:val="20"/>
              </w:rPr>
              <w:t>类别</w:t>
            </w:r>
          </w:p>
        </w:tc>
        <w:tc>
          <w:tcPr>
            <w:tcW w:w="595" w:type="dxa"/>
            <w:vAlign w:val="center"/>
          </w:tcPr>
          <w:p>
            <w:pPr>
              <w:adjustRightInd w:val="0"/>
              <w:snapToGrid w:val="0"/>
              <w:jc w:val="center"/>
              <w:rPr>
                <w:sz w:val="20"/>
                <w:szCs w:val="20"/>
              </w:rPr>
            </w:pPr>
            <w:r>
              <w:rPr>
                <w:sz w:val="20"/>
                <w:szCs w:val="20"/>
              </w:rPr>
              <w:t>pH</w:t>
            </w:r>
          </w:p>
        </w:tc>
        <w:tc>
          <w:tcPr>
            <w:tcW w:w="706" w:type="dxa"/>
            <w:vAlign w:val="center"/>
          </w:tcPr>
          <w:p>
            <w:pPr>
              <w:adjustRightInd w:val="0"/>
              <w:snapToGrid w:val="0"/>
              <w:jc w:val="center"/>
              <w:rPr>
                <w:sz w:val="20"/>
                <w:szCs w:val="20"/>
              </w:rPr>
            </w:pPr>
            <w:r>
              <w:rPr>
                <w:sz w:val="20"/>
                <w:szCs w:val="20"/>
              </w:rPr>
              <w:t>铜</w:t>
            </w:r>
          </w:p>
          <w:p>
            <w:pPr>
              <w:adjustRightInd w:val="0"/>
              <w:snapToGrid w:val="0"/>
              <w:jc w:val="center"/>
              <w:rPr>
                <w:sz w:val="20"/>
                <w:szCs w:val="20"/>
              </w:rPr>
            </w:pPr>
            <w:r>
              <w:rPr>
                <w:sz w:val="20"/>
                <w:szCs w:val="20"/>
              </w:rPr>
              <w:t>Cu</w:t>
            </w:r>
          </w:p>
        </w:tc>
        <w:tc>
          <w:tcPr>
            <w:tcW w:w="708" w:type="dxa"/>
            <w:vAlign w:val="center"/>
          </w:tcPr>
          <w:p>
            <w:pPr>
              <w:adjustRightInd w:val="0"/>
              <w:snapToGrid w:val="0"/>
              <w:jc w:val="center"/>
              <w:rPr>
                <w:sz w:val="20"/>
                <w:szCs w:val="20"/>
              </w:rPr>
            </w:pPr>
            <w:r>
              <w:rPr>
                <w:sz w:val="20"/>
                <w:szCs w:val="20"/>
              </w:rPr>
              <w:t>锌</w:t>
            </w:r>
          </w:p>
          <w:p>
            <w:pPr>
              <w:adjustRightInd w:val="0"/>
              <w:snapToGrid w:val="0"/>
              <w:jc w:val="center"/>
              <w:rPr>
                <w:sz w:val="20"/>
                <w:szCs w:val="20"/>
              </w:rPr>
            </w:pPr>
            <w:r>
              <w:rPr>
                <w:sz w:val="20"/>
                <w:szCs w:val="20"/>
              </w:rPr>
              <w:t>Zn</w:t>
            </w:r>
          </w:p>
        </w:tc>
        <w:tc>
          <w:tcPr>
            <w:tcW w:w="815" w:type="dxa"/>
            <w:vAlign w:val="center"/>
          </w:tcPr>
          <w:p>
            <w:pPr>
              <w:adjustRightInd w:val="0"/>
              <w:snapToGrid w:val="0"/>
              <w:jc w:val="center"/>
              <w:rPr>
                <w:sz w:val="20"/>
                <w:szCs w:val="20"/>
              </w:rPr>
            </w:pPr>
            <w:r>
              <w:rPr>
                <w:sz w:val="20"/>
                <w:szCs w:val="20"/>
              </w:rPr>
              <w:t>镉</w:t>
            </w:r>
          </w:p>
          <w:p>
            <w:pPr>
              <w:adjustRightInd w:val="0"/>
              <w:snapToGrid w:val="0"/>
              <w:jc w:val="center"/>
              <w:rPr>
                <w:sz w:val="20"/>
                <w:szCs w:val="20"/>
              </w:rPr>
            </w:pPr>
            <w:r>
              <w:rPr>
                <w:sz w:val="20"/>
                <w:szCs w:val="20"/>
              </w:rPr>
              <w:t>Cd</w:t>
            </w:r>
          </w:p>
        </w:tc>
        <w:tc>
          <w:tcPr>
            <w:tcW w:w="708" w:type="dxa"/>
            <w:vAlign w:val="center"/>
          </w:tcPr>
          <w:p>
            <w:pPr>
              <w:adjustRightInd w:val="0"/>
              <w:snapToGrid w:val="0"/>
              <w:jc w:val="center"/>
              <w:rPr>
                <w:sz w:val="20"/>
                <w:szCs w:val="20"/>
              </w:rPr>
            </w:pPr>
            <w:r>
              <w:rPr>
                <w:sz w:val="20"/>
                <w:szCs w:val="20"/>
              </w:rPr>
              <w:t>铅</w:t>
            </w:r>
          </w:p>
          <w:p>
            <w:pPr>
              <w:adjustRightInd w:val="0"/>
              <w:snapToGrid w:val="0"/>
              <w:jc w:val="center"/>
              <w:rPr>
                <w:sz w:val="20"/>
                <w:szCs w:val="20"/>
              </w:rPr>
            </w:pPr>
            <w:r>
              <w:rPr>
                <w:sz w:val="20"/>
                <w:szCs w:val="20"/>
              </w:rPr>
              <w:t>Pb</w:t>
            </w:r>
          </w:p>
        </w:tc>
        <w:tc>
          <w:tcPr>
            <w:tcW w:w="705" w:type="dxa"/>
            <w:vAlign w:val="center"/>
          </w:tcPr>
          <w:p>
            <w:pPr>
              <w:adjustRightInd w:val="0"/>
              <w:snapToGrid w:val="0"/>
              <w:jc w:val="center"/>
              <w:rPr>
                <w:sz w:val="20"/>
                <w:szCs w:val="20"/>
              </w:rPr>
            </w:pPr>
            <w:r>
              <w:rPr>
                <w:sz w:val="20"/>
                <w:szCs w:val="20"/>
              </w:rPr>
              <w:t>总铬</w:t>
            </w:r>
          </w:p>
          <w:p>
            <w:pPr>
              <w:adjustRightInd w:val="0"/>
              <w:snapToGrid w:val="0"/>
              <w:jc w:val="center"/>
              <w:rPr>
                <w:sz w:val="20"/>
                <w:szCs w:val="20"/>
              </w:rPr>
            </w:pPr>
            <w:r>
              <w:rPr>
                <w:sz w:val="20"/>
                <w:szCs w:val="20"/>
              </w:rPr>
              <w:t>Cr</w:t>
            </w:r>
          </w:p>
        </w:tc>
        <w:tc>
          <w:tcPr>
            <w:tcW w:w="709" w:type="dxa"/>
            <w:vAlign w:val="center"/>
          </w:tcPr>
          <w:p>
            <w:pPr>
              <w:adjustRightInd w:val="0"/>
              <w:snapToGrid w:val="0"/>
              <w:jc w:val="center"/>
              <w:rPr>
                <w:sz w:val="20"/>
                <w:szCs w:val="20"/>
              </w:rPr>
            </w:pPr>
            <w:r>
              <w:rPr>
                <w:sz w:val="20"/>
                <w:szCs w:val="20"/>
              </w:rPr>
              <w:t>六价铬</w:t>
            </w:r>
          </w:p>
          <w:p>
            <w:pPr>
              <w:adjustRightInd w:val="0"/>
              <w:snapToGrid w:val="0"/>
              <w:jc w:val="center"/>
              <w:rPr>
                <w:sz w:val="20"/>
                <w:szCs w:val="20"/>
              </w:rPr>
            </w:pPr>
            <w:r>
              <w:rPr>
                <w:sz w:val="20"/>
                <w:szCs w:val="20"/>
              </w:rPr>
              <w:t>Cr</w:t>
            </w:r>
            <w:r>
              <w:rPr>
                <w:sz w:val="20"/>
                <w:szCs w:val="20"/>
                <w:vertAlign w:val="superscript"/>
              </w:rPr>
              <w:t>6+</w:t>
            </w:r>
          </w:p>
        </w:tc>
        <w:tc>
          <w:tcPr>
            <w:tcW w:w="709" w:type="dxa"/>
            <w:vAlign w:val="center"/>
          </w:tcPr>
          <w:p>
            <w:pPr>
              <w:adjustRightInd w:val="0"/>
              <w:snapToGrid w:val="0"/>
              <w:jc w:val="center"/>
              <w:rPr>
                <w:sz w:val="20"/>
                <w:szCs w:val="20"/>
              </w:rPr>
            </w:pPr>
            <w:r>
              <w:rPr>
                <w:sz w:val="20"/>
                <w:szCs w:val="20"/>
              </w:rPr>
              <w:t>砷</w:t>
            </w:r>
          </w:p>
          <w:p>
            <w:pPr>
              <w:adjustRightInd w:val="0"/>
              <w:snapToGrid w:val="0"/>
              <w:jc w:val="center"/>
              <w:rPr>
                <w:sz w:val="20"/>
                <w:szCs w:val="20"/>
              </w:rPr>
            </w:pPr>
            <w:r>
              <w:rPr>
                <w:sz w:val="20"/>
                <w:szCs w:val="20"/>
              </w:rPr>
              <w:t>As</w:t>
            </w:r>
          </w:p>
        </w:tc>
        <w:tc>
          <w:tcPr>
            <w:tcW w:w="893" w:type="dxa"/>
            <w:vAlign w:val="center"/>
          </w:tcPr>
          <w:p>
            <w:pPr>
              <w:adjustRightInd w:val="0"/>
              <w:snapToGrid w:val="0"/>
              <w:jc w:val="center"/>
              <w:rPr>
                <w:sz w:val="20"/>
                <w:szCs w:val="20"/>
              </w:rPr>
            </w:pPr>
            <w:r>
              <w:rPr>
                <w:sz w:val="20"/>
                <w:szCs w:val="20"/>
              </w:rPr>
              <w:t>汞</w:t>
            </w:r>
          </w:p>
        </w:tc>
        <w:tc>
          <w:tcPr>
            <w:tcW w:w="594" w:type="dxa"/>
            <w:vAlign w:val="center"/>
          </w:tcPr>
          <w:p>
            <w:pPr>
              <w:adjustRightInd w:val="0"/>
              <w:snapToGrid w:val="0"/>
              <w:jc w:val="center"/>
              <w:rPr>
                <w:sz w:val="20"/>
                <w:szCs w:val="20"/>
              </w:rPr>
            </w:pPr>
            <w:r>
              <w:rPr>
                <w:sz w:val="20"/>
                <w:szCs w:val="20"/>
              </w:rPr>
              <w:t>无机氟化物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adjustRightInd w:val="0"/>
              <w:snapToGrid w:val="0"/>
              <w:jc w:val="center"/>
              <w:rPr>
                <w:sz w:val="20"/>
                <w:szCs w:val="20"/>
              </w:rPr>
            </w:pPr>
            <w:r>
              <w:rPr>
                <w:sz w:val="20"/>
                <w:szCs w:val="20"/>
              </w:rPr>
              <w:t>废石浸出毒性试验</w:t>
            </w:r>
          </w:p>
        </w:tc>
        <w:tc>
          <w:tcPr>
            <w:tcW w:w="595" w:type="dxa"/>
            <w:vAlign w:val="center"/>
          </w:tcPr>
          <w:p>
            <w:pPr>
              <w:adjustRightInd w:val="0"/>
              <w:snapToGrid w:val="0"/>
              <w:jc w:val="center"/>
              <w:rPr>
                <w:sz w:val="20"/>
                <w:szCs w:val="20"/>
              </w:rPr>
            </w:pPr>
            <w:r>
              <w:rPr>
                <w:sz w:val="20"/>
                <w:szCs w:val="20"/>
              </w:rPr>
              <w:t>6.12</w:t>
            </w:r>
          </w:p>
        </w:tc>
        <w:tc>
          <w:tcPr>
            <w:tcW w:w="706" w:type="dxa"/>
            <w:vAlign w:val="center"/>
          </w:tcPr>
          <w:p>
            <w:pPr>
              <w:adjustRightInd w:val="0"/>
              <w:snapToGrid w:val="0"/>
              <w:jc w:val="center"/>
              <w:rPr>
                <w:sz w:val="20"/>
                <w:szCs w:val="20"/>
              </w:rPr>
            </w:pPr>
            <w:r>
              <w:rPr>
                <w:sz w:val="20"/>
                <w:szCs w:val="20"/>
              </w:rPr>
              <w:t>＜0.01</w:t>
            </w:r>
          </w:p>
        </w:tc>
        <w:tc>
          <w:tcPr>
            <w:tcW w:w="708" w:type="dxa"/>
            <w:vAlign w:val="center"/>
          </w:tcPr>
          <w:p>
            <w:pPr>
              <w:adjustRightInd w:val="0"/>
              <w:snapToGrid w:val="0"/>
              <w:jc w:val="center"/>
              <w:rPr>
                <w:sz w:val="20"/>
                <w:szCs w:val="20"/>
              </w:rPr>
            </w:pPr>
            <w:r>
              <w:rPr>
                <w:sz w:val="20"/>
                <w:szCs w:val="20"/>
              </w:rPr>
              <w:t>＜0.006</w:t>
            </w:r>
          </w:p>
        </w:tc>
        <w:tc>
          <w:tcPr>
            <w:tcW w:w="815" w:type="dxa"/>
            <w:vAlign w:val="center"/>
          </w:tcPr>
          <w:p>
            <w:pPr>
              <w:adjustRightInd w:val="0"/>
              <w:snapToGrid w:val="0"/>
              <w:jc w:val="center"/>
              <w:rPr>
                <w:sz w:val="20"/>
                <w:szCs w:val="20"/>
              </w:rPr>
            </w:pPr>
            <w:r>
              <w:rPr>
                <w:sz w:val="20"/>
                <w:szCs w:val="20"/>
              </w:rPr>
              <w:t>＜0.0002</w:t>
            </w:r>
          </w:p>
        </w:tc>
        <w:tc>
          <w:tcPr>
            <w:tcW w:w="708" w:type="dxa"/>
            <w:vAlign w:val="center"/>
          </w:tcPr>
          <w:p>
            <w:pPr>
              <w:adjustRightInd w:val="0"/>
              <w:snapToGrid w:val="0"/>
              <w:jc w:val="center"/>
              <w:rPr>
                <w:sz w:val="20"/>
                <w:szCs w:val="20"/>
              </w:rPr>
            </w:pPr>
            <w:r>
              <w:rPr>
                <w:sz w:val="20"/>
                <w:szCs w:val="20"/>
              </w:rPr>
              <w:t>0.002</w:t>
            </w:r>
          </w:p>
        </w:tc>
        <w:tc>
          <w:tcPr>
            <w:tcW w:w="705" w:type="dxa"/>
            <w:vAlign w:val="center"/>
          </w:tcPr>
          <w:p>
            <w:pPr>
              <w:adjustRightInd w:val="0"/>
              <w:snapToGrid w:val="0"/>
              <w:jc w:val="center"/>
              <w:rPr>
                <w:sz w:val="20"/>
                <w:szCs w:val="20"/>
              </w:rPr>
            </w:pPr>
            <w:r>
              <w:rPr>
                <w:sz w:val="20"/>
                <w:szCs w:val="20"/>
              </w:rPr>
              <w:t>＜0.01</w:t>
            </w:r>
          </w:p>
        </w:tc>
        <w:tc>
          <w:tcPr>
            <w:tcW w:w="709" w:type="dxa"/>
            <w:vAlign w:val="center"/>
          </w:tcPr>
          <w:p>
            <w:pPr>
              <w:adjustRightInd w:val="0"/>
              <w:snapToGrid w:val="0"/>
              <w:jc w:val="center"/>
              <w:rPr>
                <w:sz w:val="20"/>
                <w:szCs w:val="20"/>
              </w:rPr>
            </w:pPr>
            <w:r>
              <w:rPr>
                <w:sz w:val="20"/>
                <w:szCs w:val="20"/>
              </w:rPr>
              <w:t>＜0.004</w:t>
            </w:r>
          </w:p>
        </w:tc>
        <w:tc>
          <w:tcPr>
            <w:tcW w:w="709" w:type="dxa"/>
            <w:vAlign w:val="center"/>
          </w:tcPr>
          <w:p>
            <w:pPr>
              <w:adjustRightInd w:val="0"/>
              <w:snapToGrid w:val="0"/>
              <w:jc w:val="center"/>
              <w:rPr>
                <w:sz w:val="20"/>
                <w:szCs w:val="20"/>
              </w:rPr>
            </w:pPr>
            <w:r>
              <w:rPr>
                <w:sz w:val="20"/>
                <w:szCs w:val="20"/>
              </w:rPr>
              <w:t>0.0008</w:t>
            </w:r>
          </w:p>
        </w:tc>
        <w:tc>
          <w:tcPr>
            <w:tcW w:w="893" w:type="dxa"/>
            <w:vAlign w:val="center"/>
          </w:tcPr>
          <w:p>
            <w:pPr>
              <w:adjustRightInd w:val="0"/>
              <w:snapToGrid w:val="0"/>
              <w:jc w:val="center"/>
              <w:rPr>
                <w:sz w:val="20"/>
                <w:szCs w:val="20"/>
              </w:rPr>
            </w:pPr>
            <w:r>
              <w:rPr>
                <w:sz w:val="20"/>
                <w:szCs w:val="20"/>
              </w:rPr>
              <w:t>＜0.0001</w:t>
            </w:r>
          </w:p>
        </w:tc>
        <w:tc>
          <w:tcPr>
            <w:tcW w:w="594" w:type="dxa"/>
            <w:vAlign w:val="center"/>
          </w:tcPr>
          <w:p>
            <w:pPr>
              <w:adjustRightInd w:val="0"/>
              <w:snapToGrid w:val="0"/>
              <w:jc w:val="center"/>
              <w:rPr>
                <w:sz w:val="20"/>
                <w:szCs w:val="20"/>
              </w:rPr>
            </w:pPr>
            <w:r>
              <w:rPr>
                <w:sz w:val="20"/>
                <w:szCs w:val="20"/>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adjustRightInd w:val="0"/>
              <w:snapToGrid w:val="0"/>
              <w:jc w:val="center"/>
              <w:rPr>
                <w:sz w:val="20"/>
                <w:szCs w:val="20"/>
              </w:rPr>
            </w:pPr>
            <w:r>
              <w:rPr>
                <w:sz w:val="20"/>
                <w:szCs w:val="20"/>
              </w:rPr>
              <w:t>GB8978-1996表1、表4中最高允许排放浓度</w:t>
            </w:r>
          </w:p>
        </w:tc>
        <w:tc>
          <w:tcPr>
            <w:tcW w:w="595" w:type="dxa"/>
            <w:vAlign w:val="center"/>
          </w:tcPr>
          <w:p>
            <w:pPr>
              <w:adjustRightInd w:val="0"/>
              <w:snapToGrid w:val="0"/>
              <w:jc w:val="center"/>
              <w:rPr>
                <w:sz w:val="20"/>
                <w:szCs w:val="20"/>
              </w:rPr>
            </w:pPr>
            <w:r>
              <w:rPr>
                <w:sz w:val="20"/>
                <w:szCs w:val="20"/>
              </w:rPr>
              <w:t>6~9</w:t>
            </w:r>
          </w:p>
        </w:tc>
        <w:tc>
          <w:tcPr>
            <w:tcW w:w="706" w:type="dxa"/>
            <w:vAlign w:val="center"/>
          </w:tcPr>
          <w:p>
            <w:pPr>
              <w:adjustRightInd w:val="0"/>
              <w:snapToGrid w:val="0"/>
              <w:jc w:val="center"/>
              <w:rPr>
                <w:sz w:val="20"/>
                <w:szCs w:val="20"/>
              </w:rPr>
            </w:pPr>
            <w:r>
              <w:rPr>
                <w:sz w:val="20"/>
                <w:szCs w:val="20"/>
              </w:rPr>
              <w:t>0.5</w:t>
            </w:r>
          </w:p>
        </w:tc>
        <w:tc>
          <w:tcPr>
            <w:tcW w:w="708" w:type="dxa"/>
            <w:vAlign w:val="center"/>
          </w:tcPr>
          <w:p>
            <w:pPr>
              <w:adjustRightInd w:val="0"/>
              <w:snapToGrid w:val="0"/>
              <w:jc w:val="center"/>
              <w:rPr>
                <w:sz w:val="20"/>
                <w:szCs w:val="20"/>
              </w:rPr>
            </w:pPr>
            <w:r>
              <w:rPr>
                <w:sz w:val="20"/>
                <w:szCs w:val="20"/>
              </w:rPr>
              <w:t>2.0</w:t>
            </w:r>
          </w:p>
        </w:tc>
        <w:tc>
          <w:tcPr>
            <w:tcW w:w="815" w:type="dxa"/>
            <w:vAlign w:val="center"/>
          </w:tcPr>
          <w:p>
            <w:pPr>
              <w:adjustRightInd w:val="0"/>
              <w:snapToGrid w:val="0"/>
              <w:jc w:val="center"/>
              <w:rPr>
                <w:sz w:val="20"/>
                <w:szCs w:val="20"/>
              </w:rPr>
            </w:pPr>
            <w:r>
              <w:rPr>
                <w:sz w:val="20"/>
                <w:szCs w:val="20"/>
              </w:rPr>
              <w:t>0.1</w:t>
            </w:r>
          </w:p>
        </w:tc>
        <w:tc>
          <w:tcPr>
            <w:tcW w:w="708" w:type="dxa"/>
            <w:vAlign w:val="center"/>
          </w:tcPr>
          <w:p>
            <w:pPr>
              <w:adjustRightInd w:val="0"/>
              <w:snapToGrid w:val="0"/>
              <w:jc w:val="center"/>
              <w:rPr>
                <w:sz w:val="20"/>
                <w:szCs w:val="20"/>
              </w:rPr>
            </w:pPr>
            <w:r>
              <w:rPr>
                <w:sz w:val="20"/>
                <w:szCs w:val="20"/>
              </w:rPr>
              <w:t>1.0</w:t>
            </w:r>
          </w:p>
        </w:tc>
        <w:tc>
          <w:tcPr>
            <w:tcW w:w="705" w:type="dxa"/>
            <w:vAlign w:val="center"/>
          </w:tcPr>
          <w:p>
            <w:pPr>
              <w:adjustRightInd w:val="0"/>
              <w:snapToGrid w:val="0"/>
              <w:jc w:val="center"/>
              <w:rPr>
                <w:sz w:val="20"/>
                <w:szCs w:val="20"/>
              </w:rPr>
            </w:pPr>
            <w:r>
              <w:rPr>
                <w:sz w:val="20"/>
                <w:szCs w:val="20"/>
              </w:rPr>
              <w:t>0.5</w:t>
            </w:r>
          </w:p>
        </w:tc>
        <w:tc>
          <w:tcPr>
            <w:tcW w:w="709" w:type="dxa"/>
            <w:vAlign w:val="center"/>
          </w:tcPr>
          <w:p>
            <w:pPr>
              <w:adjustRightInd w:val="0"/>
              <w:snapToGrid w:val="0"/>
              <w:jc w:val="center"/>
              <w:rPr>
                <w:sz w:val="20"/>
                <w:szCs w:val="20"/>
              </w:rPr>
            </w:pPr>
            <w:r>
              <w:rPr>
                <w:sz w:val="20"/>
                <w:szCs w:val="20"/>
              </w:rPr>
              <w:t>0.05</w:t>
            </w:r>
          </w:p>
        </w:tc>
        <w:tc>
          <w:tcPr>
            <w:tcW w:w="709" w:type="dxa"/>
            <w:vAlign w:val="center"/>
          </w:tcPr>
          <w:p>
            <w:pPr>
              <w:adjustRightInd w:val="0"/>
              <w:snapToGrid w:val="0"/>
              <w:jc w:val="center"/>
              <w:rPr>
                <w:sz w:val="20"/>
                <w:szCs w:val="20"/>
              </w:rPr>
            </w:pPr>
            <w:r>
              <w:rPr>
                <w:sz w:val="20"/>
                <w:szCs w:val="20"/>
              </w:rPr>
              <w:t>0.5</w:t>
            </w:r>
          </w:p>
        </w:tc>
        <w:tc>
          <w:tcPr>
            <w:tcW w:w="893" w:type="dxa"/>
            <w:vAlign w:val="center"/>
          </w:tcPr>
          <w:p>
            <w:pPr>
              <w:adjustRightInd w:val="0"/>
              <w:snapToGrid w:val="0"/>
              <w:jc w:val="center"/>
              <w:rPr>
                <w:sz w:val="20"/>
                <w:szCs w:val="20"/>
              </w:rPr>
            </w:pPr>
            <w:r>
              <w:rPr>
                <w:sz w:val="20"/>
                <w:szCs w:val="20"/>
              </w:rPr>
              <w:t>0.05</w:t>
            </w:r>
          </w:p>
        </w:tc>
        <w:tc>
          <w:tcPr>
            <w:tcW w:w="594" w:type="dxa"/>
            <w:vAlign w:val="center"/>
          </w:tcPr>
          <w:p>
            <w:pPr>
              <w:adjustRightInd w:val="0"/>
              <w:snapToGrid w:val="0"/>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adjustRightInd w:val="0"/>
              <w:snapToGrid w:val="0"/>
              <w:jc w:val="center"/>
              <w:rPr>
                <w:sz w:val="20"/>
                <w:szCs w:val="20"/>
              </w:rPr>
            </w:pPr>
            <w:r>
              <w:rPr>
                <w:sz w:val="20"/>
                <w:szCs w:val="20"/>
              </w:rPr>
              <w:t>GB5085-2007最高允许排放浓度</w:t>
            </w:r>
          </w:p>
        </w:tc>
        <w:tc>
          <w:tcPr>
            <w:tcW w:w="595" w:type="dxa"/>
            <w:vAlign w:val="center"/>
          </w:tcPr>
          <w:p>
            <w:pPr>
              <w:adjustRightInd w:val="0"/>
              <w:snapToGrid w:val="0"/>
              <w:jc w:val="center"/>
              <w:rPr>
                <w:sz w:val="20"/>
                <w:szCs w:val="20"/>
              </w:rPr>
            </w:pPr>
            <w:r>
              <w:rPr>
                <w:sz w:val="20"/>
                <w:szCs w:val="20"/>
              </w:rPr>
              <w:t>/</w:t>
            </w:r>
          </w:p>
        </w:tc>
        <w:tc>
          <w:tcPr>
            <w:tcW w:w="706" w:type="dxa"/>
            <w:vAlign w:val="center"/>
          </w:tcPr>
          <w:p>
            <w:pPr>
              <w:adjustRightInd w:val="0"/>
              <w:snapToGrid w:val="0"/>
              <w:jc w:val="center"/>
              <w:rPr>
                <w:sz w:val="20"/>
                <w:szCs w:val="20"/>
              </w:rPr>
            </w:pPr>
            <w:r>
              <w:rPr>
                <w:sz w:val="20"/>
                <w:szCs w:val="20"/>
              </w:rPr>
              <w:t>100</w:t>
            </w:r>
          </w:p>
        </w:tc>
        <w:tc>
          <w:tcPr>
            <w:tcW w:w="708" w:type="dxa"/>
            <w:vAlign w:val="center"/>
          </w:tcPr>
          <w:p>
            <w:pPr>
              <w:adjustRightInd w:val="0"/>
              <w:snapToGrid w:val="0"/>
              <w:jc w:val="center"/>
              <w:rPr>
                <w:sz w:val="20"/>
                <w:szCs w:val="20"/>
              </w:rPr>
            </w:pPr>
            <w:r>
              <w:rPr>
                <w:sz w:val="20"/>
                <w:szCs w:val="20"/>
              </w:rPr>
              <w:t>100</w:t>
            </w:r>
          </w:p>
        </w:tc>
        <w:tc>
          <w:tcPr>
            <w:tcW w:w="815" w:type="dxa"/>
            <w:vAlign w:val="center"/>
          </w:tcPr>
          <w:p>
            <w:pPr>
              <w:adjustRightInd w:val="0"/>
              <w:snapToGrid w:val="0"/>
              <w:jc w:val="center"/>
              <w:rPr>
                <w:sz w:val="20"/>
                <w:szCs w:val="20"/>
              </w:rPr>
            </w:pPr>
            <w:r>
              <w:rPr>
                <w:sz w:val="20"/>
                <w:szCs w:val="20"/>
              </w:rPr>
              <w:t>1.0</w:t>
            </w:r>
          </w:p>
        </w:tc>
        <w:tc>
          <w:tcPr>
            <w:tcW w:w="708" w:type="dxa"/>
            <w:vAlign w:val="center"/>
          </w:tcPr>
          <w:p>
            <w:pPr>
              <w:adjustRightInd w:val="0"/>
              <w:snapToGrid w:val="0"/>
              <w:jc w:val="center"/>
              <w:rPr>
                <w:sz w:val="20"/>
                <w:szCs w:val="20"/>
              </w:rPr>
            </w:pPr>
            <w:r>
              <w:rPr>
                <w:sz w:val="20"/>
                <w:szCs w:val="20"/>
              </w:rPr>
              <w:t>5</w:t>
            </w:r>
          </w:p>
        </w:tc>
        <w:tc>
          <w:tcPr>
            <w:tcW w:w="705" w:type="dxa"/>
            <w:vAlign w:val="center"/>
          </w:tcPr>
          <w:p>
            <w:pPr>
              <w:adjustRightInd w:val="0"/>
              <w:snapToGrid w:val="0"/>
              <w:jc w:val="center"/>
              <w:rPr>
                <w:sz w:val="20"/>
                <w:szCs w:val="20"/>
              </w:rPr>
            </w:pPr>
            <w:r>
              <w:rPr>
                <w:sz w:val="20"/>
                <w:szCs w:val="20"/>
              </w:rPr>
              <w:t>5</w:t>
            </w:r>
          </w:p>
        </w:tc>
        <w:tc>
          <w:tcPr>
            <w:tcW w:w="709" w:type="dxa"/>
            <w:vAlign w:val="center"/>
          </w:tcPr>
          <w:p>
            <w:pPr>
              <w:adjustRightInd w:val="0"/>
              <w:snapToGrid w:val="0"/>
              <w:jc w:val="center"/>
              <w:rPr>
                <w:sz w:val="20"/>
                <w:szCs w:val="20"/>
              </w:rPr>
            </w:pPr>
            <w:r>
              <w:rPr>
                <w:sz w:val="20"/>
                <w:szCs w:val="20"/>
              </w:rPr>
              <w:t>0.1</w:t>
            </w:r>
          </w:p>
        </w:tc>
        <w:tc>
          <w:tcPr>
            <w:tcW w:w="709" w:type="dxa"/>
            <w:vAlign w:val="center"/>
          </w:tcPr>
          <w:p>
            <w:pPr>
              <w:adjustRightInd w:val="0"/>
              <w:snapToGrid w:val="0"/>
              <w:jc w:val="center"/>
              <w:rPr>
                <w:sz w:val="20"/>
                <w:szCs w:val="20"/>
              </w:rPr>
            </w:pPr>
            <w:r>
              <w:rPr>
                <w:sz w:val="20"/>
                <w:szCs w:val="20"/>
              </w:rPr>
              <w:t>5</w:t>
            </w:r>
          </w:p>
        </w:tc>
        <w:tc>
          <w:tcPr>
            <w:tcW w:w="893" w:type="dxa"/>
            <w:vAlign w:val="center"/>
          </w:tcPr>
          <w:p>
            <w:pPr>
              <w:adjustRightInd w:val="0"/>
              <w:snapToGrid w:val="0"/>
              <w:jc w:val="center"/>
              <w:rPr>
                <w:sz w:val="20"/>
                <w:szCs w:val="20"/>
              </w:rPr>
            </w:pPr>
            <w:r>
              <w:rPr>
                <w:sz w:val="20"/>
                <w:szCs w:val="20"/>
              </w:rPr>
              <w:t>0.05</w:t>
            </w:r>
          </w:p>
        </w:tc>
        <w:tc>
          <w:tcPr>
            <w:tcW w:w="594" w:type="dxa"/>
            <w:vAlign w:val="center"/>
          </w:tcPr>
          <w:p>
            <w:pPr>
              <w:adjustRightInd w:val="0"/>
              <w:snapToGrid w:val="0"/>
              <w:jc w:val="center"/>
              <w:rPr>
                <w:sz w:val="20"/>
                <w:szCs w:val="20"/>
              </w:rPr>
            </w:pPr>
            <w:r>
              <w:rPr>
                <w:sz w:val="20"/>
                <w:szCs w:val="20"/>
              </w:rPr>
              <w:t>100</w:t>
            </w:r>
          </w:p>
        </w:tc>
      </w:tr>
    </w:tbl>
    <w:p>
      <w:pPr>
        <w:spacing w:beforeLines="50" w:line="360" w:lineRule="auto"/>
        <w:ind w:firstLine="480" w:firstLineChars="200"/>
        <w:rPr>
          <w:sz w:val="24"/>
        </w:rPr>
      </w:pPr>
      <w:r>
        <w:rPr>
          <w:sz w:val="24"/>
        </w:rPr>
        <w:t>由上表可知，废石浸出液中各项有毒有害元素浓度均低于《危险废物鉴别标准-浸出毒性鉴别》（GB5.85.3-2007）中规定的标准，本项目废石不属于危险废物，各污染物的浓度均未超过《污水综合排放标准》（GB8978-1996）中最高允许排放浓度， 废石浸出液呈酸性，因此可以判定本项目废石属于第Ⅰ类一般工业固体废物，根据《一般工业固体废物贮存、处置场污染控制标准》（GB18599-2001）中有关规定，其堆场应为Ⅰ类场地。根据固体废物贮存、处置场设计的环境保护要求，Ⅰ类场地无需设防渗处理设施。</w:t>
      </w:r>
    </w:p>
    <w:p>
      <w:pPr>
        <w:spacing w:line="360" w:lineRule="auto"/>
        <w:ind w:firstLine="488"/>
        <w:rPr>
          <w:spacing w:val="2"/>
          <w:sz w:val="24"/>
        </w:rPr>
      </w:pPr>
      <w:r>
        <w:rPr>
          <w:spacing w:val="2"/>
          <w:sz w:val="24"/>
        </w:rPr>
        <w:t>（2）生活垃圾</w:t>
      </w:r>
    </w:p>
    <w:p>
      <w:pPr>
        <w:spacing w:line="360" w:lineRule="auto"/>
        <w:ind w:firstLine="488"/>
        <w:rPr>
          <w:spacing w:val="2"/>
          <w:sz w:val="24"/>
        </w:rPr>
      </w:pPr>
      <w:r>
        <w:rPr>
          <w:spacing w:val="2"/>
          <w:sz w:val="24"/>
        </w:rPr>
        <w:t>经调查，矿山工人为100人，生活垃圾产生量15t/a,</w:t>
      </w:r>
      <w:r>
        <w:rPr>
          <w:sz w:val="24"/>
          <w:lang w:val="zh-CN"/>
        </w:rPr>
        <w:t xml:space="preserve"> 经生活办公区垃圾桶统一收集后运至</w:t>
      </w:r>
      <w:r>
        <w:rPr>
          <w:spacing w:val="2"/>
          <w:sz w:val="24"/>
        </w:rPr>
        <w:t>朱阳镇环卫部门处置。</w:t>
      </w:r>
    </w:p>
    <w:p>
      <w:pPr>
        <w:pStyle w:val="5"/>
        <w:rPr>
          <w:rFonts w:ascii="Times New Roman" w:hAnsi="Times New Roman"/>
        </w:rPr>
      </w:pPr>
      <w:r>
        <w:rPr>
          <w:rFonts w:ascii="Times New Roman" w:hAnsi="Times New Roman"/>
        </w:rPr>
        <w:t>4.1.1.4扩建矿山噪声污染防治措施调查</w:t>
      </w:r>
    </w:p>
    <w:p>
      <w:pPr>
        <w:spacing w:line="360" w:lineRule="auto"/>
        <w:ind w:firstLine="480"/>
        <w:rPr>
          <w:rFonts w:eastAsia="黑体"/>
          <w:sz w:val="24"/>
        </w:rPr>
      </w:pPr>
      <w:bookmarkStart w:id="440" w:name="_Toc181247428"/>
      <w:r>
        <w:rPr>
          <w:sz w:val="24"/>
        </w:rPr>
        <w:t>噪声源：</w:t>
      </w:r>
      <w:bookmarkEnd w:id="440"/>
      <w:r>
        <w:rPr>
          <w:sz w:val="24"/>
        </w:rPr>
        <w:t>地面主要噪声源有凿岩机、空压机等作业产生的机械噪声，设备噪声源强为75～100dB（A）。由于开采设备大部分设置在硐内 ，噪声经井硐传播后其声压级会大大降低。</w:t>
      </w:r>
    </w:p>
    <w:p>
      <w:pPr>
        <w:spacing w:line="360" w:lineRule="auto"/>
        <w:ind w:firstLine="480" w:firstLineChars="200"/>
        <w:rPr>
          <w:sz w:val="24"/>
        </w:rPr>
      </w:pPr>
      <w:r>
        <w:rPr>
          <w:sz w:val="24"/>
        </w:rPr>
        <w:t>根据现场调查，采场周围200</w:t>
      </w:r>
      <w:r>
        <w:rPr>
          <w:spacing w:val="2"/>
          <w:sz w:val="24"/>
        </w:rPr>
        <w:t>m范围内无住户，且有山体阻隔</w:t>
      </w:r>
      <w:r>
        <w:rPr>
          <w:sz w:val="24"/>
        </w:rPr>
        <w:t>。根据灵宝市环境监测站于2016年8月25～26日对本项目扩建工程竖井工业场地噪声进行了实测，根据监测的结果，工业场地噪声不存在超标现象，厂界噪声满足</w:t>
      </w:r>
      <w:r>
        <w:rPr>
          <w:sz w:val="24"/>
          <w:szCs w:val="20"/>
        </w:rPr>
        <w:t>《工企业厂界环境噪声排放标准》（GB12348-2008）中2类标准</w:t>
      </w:r>
      <w:r>
        <w:rPr>
          <w:sz w:val="24"/>
        </w:rPr>
        <w:t>限值要求。</w:t>
      </w:r>
    </w:p>
    <w:p>
      <w:pPr>
        <w:spacing w:line="360" w:lineRule="auto"/>
        <w:ind w:firstLine="480" w:firstLineChars="200"/>
        <w:rPr>
          <w:sz w:val="24"/>
        </w:rPr>
      </w:pPr>
      <w:r>
        <w:rPr>
          <w:sz w:val="24"/>
        </w:rPr>
        <w:t>由于本项目处于山沟内，工业场地四周500m范围内无村庄等敏感点，距离</w:t>
      </w:r>
      <w:r>
        <w:rPr>
          <w:spacing w:val="2"/>
          <w:sz w:val="24"/>
        </w:rPr>
        <w:t>且有山体阻隔，因此未对工业场地附近村庄环境噪声进行监测</w:t>
      </w:r>
      <w:r>
        <w:rPr>
          <w:sz w:val="24"/>
        </w:rPr>
        <w:t>。</w:t>
      </w:r>
    </w:p>
    <w:p>
      <w:pPr>
        <w:pStyle w:val="74"/>
      </w:pPr>
      <w:r>
        <w:t>4.1.2扩建选厂污染防治措施调查</w:t>
      </w:r>
    </w:p>
    <w:p>
      <w:pPr>
        <w:pStyle w:val="5"/>
      </w:pPr>
      <w:r>
        <w:t>4.1.2.1扩建选厂空气污染防治措施调查</w:t>
      </w:r>
    </w:p>
    <w:p>
      <w:pPr>
        <w:pStyle w:val="127"/>
        <w:spacing w:line="360" w:lineRule="auto"/>
        <w:ind w:firstLine="480" w:firstLineChars="200"/>
        <w:rPr>
          <w:sz w:val="24"/>
        </w:rPr>
      </w:pPr>
      <w:r>
        <w:rPr>
          <w:sz w:val="24"/>
        </w:rPr>
        <w:t>本项目选矿生产过程中对环境空气形成的污染主要分为以下几类：一是选矿工艺流程中破碎机、筛分、皮带输送机的转载点等排放的有组织粉尘；二是工业场地、废石场、选厂原料堆场及及尾矿库无组织粉尘等。</w:t>
      </w:r>
    </w:p>
    <w:p>
      <w:pPr>
        <w:tabs>
          <w:tab w:val="left" w:pos="5760"/>
        </w:tabs>
        <w:spacing w:line="360" w:lineRule="auto"/>
        <w:ind w:firstLine="495"/>
        <w:rPr>
          <w:sz w:val="24"/>
        </w:rPr>
      </w:pPr>
      <w:r>
        <w:rPr>
          <w:sz w:val="24"/>
        </w:rPr>
        <w:t>（1）选矿有组织粉尘</w:t>
      </w:r>
    </w:p>
    <w:p>
      <w:pPr>
        <w:tabs>
          <w:tab w:val="left" w:pos="3600"/>
        </w:tabs>
        <w:spacing w:line="360" w:lineRule="auto"/>
        <w:ind w:firstLine="480" w:firstLineChars="200"/>
        <w:rPr>
          <w:sz w:val="24"/>
        </w:rPr>
      </w:pPr>
      <w:r>
        <w:rPr>
          <w:sz w:val="24"/>
        </w:rPr>
        <w:t>选厂粉尘污染源主要是破碎筛分车间，在破碎和筛分工段落料产尘点设置集气罩，并分别配备布袋除尘器一套，粉尘净化处理后经15m高排气筒排放。灵宝市环境监测站2016年8月26～27日对选厂破碎筛分车间的布袋除尘器进行了监测，根据监测结果可知，破碎工段袋式除尘器出口粉尘浓度6～13mg/m</w:t>
      </w:r>
      <w:r>
        <w:rPr>
          <w:sz w:val="24"/>
          <w:vertAlign w:val="superscript"/>
        </w:rPr>
        <w:t>3</w:t>
      </w:r>
      <w:r>
        <w:rPr>
          <w:sz w:val="24"/>
        </w:rPr>
        <w:t>，粉尘排放量为0.072t/a，筛分工段袋式除尘器出口浓度16～18mg/m</w:t>
      </w:r>
      <w:r>
        <w:rPr>
          <w:sz w:val="24"/>
          <w:vertAlign w:val="superscript"/>
        </w:rPr>
        <w:t>3</w:t>
      </w:r>
      <w:r>
        <w:rPr>
          <w:sz w:val="24"/>
        </w:rPr>
        <w:t>，粉尘排放量0.096t/a，均能够满足《大气污染物综合排放标准》（GB16297-1996）表2中二级标准限值要求</w:t>
      </w:r>
      <w:r>
        <w:rPr>
          <w:spacing w:val="2"/>
          <w:sz w:val="24"/>
        </w:rPr>
        <w:t>，</w:t>
      </w:r>
      <w:r>
        <w:rPr>
          <w:sz w:val="24"/>
        </w:rPr>
        <w:t>破碎筛分车间布袋里除尘器除尘效率为97.4～98.1%。</w:t>
      </w:r>
    </w:p>
    <w:p>
      <w:pPr>
        <w:pStyle w:val="26"/>
        <w:spacing w:line="360" w:lineRule="auto"/>
        <w:ind w:firstLine="480" w:firstLineChars="200"/>
        <w:rPr>
          <w:rFonts w:ascii="Times New Roman" w:hAnsi="Times New Roman"/>
          <w:sz w:val="24"/>
        </w:rPr>
      </w:pPr>
      <w:r>
        <w:rPr>
          <w:rFonts w:ascii="Times New Roman" w:hAnsi="Times New Roman"/>
          <w:sz w:val="24"/>
        </w:rPr>
        <w:t>（2）无组织粉尘</w:t>
      </w:r>
    </w:p>
    <w:p>
      <w:pPr>
        <w:pStyle w:val="26"/>
        <w:spacing w:line="360" w:lineRule="auto"/>
        <w:ind w:firstLine="480" w:firstLineChars="200"/>
        <w:rPr>
          <w:rFonts w:ascii="Times New Roman" w:hAnsi="Times New Roman"/>
          <w:sz w:val="24"/>
        </w:rPr>
      </w:pPr>
      <w:r>
        <w:rPr>
          <w:rFonts w:ascii="Times New Roman" w:hAnsi="Times New Roman"/>
          <w:sz w:val="24"/>
        </w:rPr>
        <w:t>①原料堆场粉尘</w:t>
      </w:r>
    </w:p>
    <w:p>
      <w:pPr>
        <w:tabs>
          <w:tab w:val="left" w:pos="567"/>
          <w:tab w:val="left" w:pos="851"/>
          <w:tab w:val="left" w:pos="1134"/>
        </w:tabs>
        <w:spacing w:line="360" w:lineRule="auto"/>
        <w:ind w:firstLine="480" w:firstLineChars="200"/>
        <w:rPr>
          <w:sz w:val="24"/>
        </w:rPr>
      </w:pPr>
      <w:r>
        <w:rPr>
          <w:sz w:val="24"/>
        </w:rPr>
        <w:t>本项目原料堆场配备洒水车定期洒水抑尘。根据灵宝市环境监测站2016年8月25～8月26日对原料堆场上风向参照点和下风向监控点无组织扬尘监测结果可知，原料堆场无组织粉尘周界最大浓度为0.247mg/m</w:t>
      </w:r>
      <w:r>
        <w:rPr>
          <w:sz w:val="24"/>
          <w:vertAlign w:val="superscript"/>
        </w:rPr>
        <w:t>3</w:t>
      </w:r>
      <w:r>
        <w:rPr>
          <w:sz w:val="24"/>
        </w:rPr>
        <w:t>，颗粒物排放浓度满足《大气污染物综合排放标准》表2周界外浓度最高点1.0mg/m</w:t>
      </w:r>
      <w:r>
        <w:rPr>
          <w:sz w:val="24"/>
          <w:vertAlign w:val="superscript"/>
        </w:rPr>
        <w:t>3</w:t>
      </w:r>
      <w:r>
        <w:rPr>
          <w:sz w:val="24"/>
        </w:rPr>
        <w:t>标准要求。</w:t>
      </w:r>
    </w:p>
    <w:p>
      <w:pPr>
        <w:spacing w:line="360" w:lineRule="auto"/>
        <w:ind w:firstLine="488" w:firstLineChars="200"/>
        <w:rPr>
          <w:spacing w:val="2"/>
          <w:sz w:val="24"/>
        </w:rPr>
      </w:pPr>
      <w:r>
        <w:rPr>
          <w:spacing w:val="2"/>
          <w:sz w:val="24"/>
        </w:rPr>
        <w:t>②尾矿库粉尘</w:t>
      </w:r>
    </w:p>
    <w:p>
      <w:pPr>
        <w:tabs>
          <w:tab w:val="left" w:pos="567"/>
          <w:tab w:val="left" w:pos="851"/>
          <w:tab w:val="left" w:pos="1134"/>
        </w:tabs>
        <w:spacing w:line="360" w:lineRule="auto"/>
        <w:ind w:firstLine="488" w:firstLineChars="200"/>
        <w:rPr>
          <w:sz w:val="24"/>
        </w:rPr>
      </w:pPr>
      <w:r>
        <w:rPr>
          <w:spacing w:val="2"/>
          <w:sz w:val="24"/>
        </w:rPr>
        <w:t>本项目尾矿库为湿排尾矿库，尾矿库干滩大风天气会产生风蚀扬尘，本项目通过调整放矿方式尽量保持库面湿润，控制扬尘产生。同时大风天气洒水抑尘。</w:t>
      </w:r>
      <w:r>
        <w:rPr>
          <w:sz w:val="24"/>
        </w:rPr>
        <w:t>根据灵宝市环境监测站2016年8月25～8月26日对尾矿库上风向参照点和下风向监控点无组织扬尘监测结果可知，尾矿库无组织粉尘周界最大浓度为0.198mg/m</w:t>
      </w:r>
      <w:r>
        <w:rPr>
          <w:sz w:val="24"/>
          <w:vertAlign w:val="superscript"/>
        </w:rPr>
        <w:t>3</w:t>
      </w:r>
      <w:r>
        <w:rPr>
          <w:sz w:val="24"/>
        </w:rPr>
        <w:t>，颗粒物排放浓度满足《大气污染物综合排放标准》表2周界外浓度最高点1.0mg/m</w:t>
      </w:r>
      <w:r>
        <w:rPr>
          <w:sz w:val="24"/>
          <w:vertAlign w:val="superscript"/>
        </w:rPr>
        <w:t>3</w:t>
      </w:r>
      <w:r>
        <w:rPr>
          <w:sz w:val="24"/>
        </w:rPr>
        <w:t>标准要求。</w:t>
      </w:r>
    </w:p>
    <w:p>
      <w:pPr>
        <w:pStyle w:val="5"/>
        <w:rPr>
          <w:rFonts w:ascii="Times New Roman" w:hAnsi="Times New Roman"/>
        </w:rPr>
      </w:pPr>
      <w:r>
        <w:rPr>
          <w:rFonts w:ascii="Times New Roman" w:hAnsi="Times New Roman"/>
        </w:rPr>
        <w:t>4.1.2.2扩建选厂废水污染防治措施调查</w:t>
      </w:r>
    </w:p>
    <w:p>
      <w:pPr>
        <w:pStyle w:val="107"/>
      </w:pPr>
      <w:r>
        <w:rPr>
          <w:rFonts w:eastAsia="宋体"/>
        </w:rPr>
        <w:t xml:space="preserve">    （1）生产用水</w:t>
      </w:r>
    </w:p>
    <w:p>
      <w:pPr>
        <w:spacing w:line="360" w:lineRule="auto"/>
        <w:ind w:firstLine="480" w:firstLineChars="200"/>
      </w:pPr>
      <w:r>
        <w:rPr>
          <w:sz w:val="24"/>
        </w:rPr>
        <w:t>扩建500t/d选厂污水污染源主要为：精矿压滤水、尾矿库澄清水选厂水平衡见图</w:t>
      </w:r>
      <w:r>
        <w:rPr>
          <w:rFonts w:hint="eastAsia"/>
          <w:sz w:val="24"/>
        </w:rPr>
        <w:t>4.1</w:t>
      </w:r>
      <w:r>
        <w:rPr>
          <w:sz w:val="24"/>
        </w:rPr>
        <w:t>-3。</w:t>
      </w:r>
    </w:p>
    <w:p>
      <w:pPr>
        <w:pStyle w:val="26"/>
        <w:spacing w:line="360" w:lineRule="auto"/>
        <w:ind w:firstLine="480" w:firstLineChars="200"/>
        <w:rPr>
          <w:rFonts w:ascii="Times New Roman" w:hAnsi="Times New Roman"/>
          <w:sz w:val="24"/>
        </w:rPr>
      </w:pPr>
      <w:r>
        <w:rPr>
          <w:rFonts w:ascii="Times New Roman" w:hAnsi="Times New Roman"/>
          <w:sz w:val="24"/>
        </w:rPr>
        <w:pict>
          <v:shape id="_x0000_s5454" o:spid="_x0000_s5454" o:spt="202" type="#_x0000_t202" style="position:absolute;left:0pt;margin-left:93.55pt;margin-top:562.6pt;height:31.95pt;width:280.05pt;z-index:251734016;mso-width-relative:page;mso-height-relative:page;" filled="f" stroked="f" coordsize="21600,21600">
            <v:path/>
            <v:fill on="f" focussize="0,0"/>
            <v:stroke on="f" joinstyle="miter"/>
            <v:imagedata o:title=""/>
            <o:lock v:ext="edit"/>
            <v:textbox>
              <w:txbxContent>
                <w:p>
                  <w:pPr>
                    <w:rPr>
                      <w:rFonts w:ascii="黑体" w:hAnsi="黑体" w:eastAsia="黑体"/>
                      <w:sz w:val="24"/>
                    </w:rPr>
                  </w:pPr>
                  <w:r>
                    <w:rPr>
                      <w:rFonts w:hint="eastAsia" w:ascii="黑体" w:hAnsi="黑体" w:eastAsia="黑体"/>
                      <w:sz w:val="24"/>
                    </w:rPr>
                    <w:t>图4.1-3  500t/d选厂水平衡图(单位：m</w:t>
                  </w:r>
                  <w:r>
                    <w:rPr>
                      <w:rFonts w:hint="eastAsia" w:ascii="黑体" w:hAnsi="黑体" w:eastAsia="黑体"/>
                      <w:sz w:val="24"/>
                      <w:vertAlign w:val="superscript"/>
                    </w:rPr>
                    <w:t>3</w:t>
                  </w:r>
                  <w:r>
                    <w:rPr>
                      <w:rFonts w:hint="eastAsia" w:ascii="黑体" w:hAnsi="黑体" w:eastAsia="黑体"/>
                      <w:sz w:val="24"/>
                    </w:rPr>
                    <w:t>/d)</w:t>
                  </w:r>
                </w:p>
              </w:txbxContent>
            </v:textbox>
          </v:shape>
        </w:pict>
      </w:r>
      <w:r>
        <w:rPr>
          <w:rFonts w:ascii="Times New Roman" w:hAnsi="Times New Roman"/>
        </w:rPr>
        <w:object>
          <v:shape id="_x0000_i1028" o:spt="75" alt="" type="#_x0000_t75" style="height:554.1pt;width:415.3pt;" o:ole="t" filled="f" o:preferrelative="t" stroked="f" coordsize="21600,21600">
            <v:path/>
            <v:fill on="f" focussize="0,0"/>
            <v:stroke on="f"/>
            <v:imagedata r:id="rId30" o:title=""/>
            <o:lock v:ext="edit" aspectratio="t"/>
            <w10:wrap type="none"/>
            <w10:anchorlock/>
          </v:shape>
          <o:OLEObject Type="Embed" ProgID="Visio.Drawing.11" ShapeID="_x0000_i1028" DrawAspect="Content" ObjectID="_1468075728" r:id="rId29">
            <o:LockedField>false</o:LockedField>
          </o:OLEObject>
        </w:object>
      </w:r>
    </w:p>
    <w:p>
      <w:pPr>
        <w:pStyle w:val="26"/>
        <w:spacing w:line="360" w:lineRule="auto"/>
        <w:ind w:firstLine="480" w:firstLineChars="200"/>
        <w:rPr>
          <w:rFonts w:ascii="Times New Roman" w:hAnsi="Times New Roman"/>
          <w:sz w:val="24"/>
        </w:rPr>
      </w:pPr>
    </w:p>
    <w:p>
      <w:pPr>
        <w:spacing w:line="360" w:lineRule="auto"/>
        <w:ind w:firstLine="480" w:firstLineChars="200"/>
        <w:rPr>
          <w:sz w:val="24"/>
        </w:rPr>
      </w:pPr>
      <w:r>
        <w:rPr>
          <w:sz w:val="24"/>
        </w:rPr>
        <w:pict>
          <v:shape id="_x0000_s5455" o:spid="_x0000_s5455" o:spt="202" type="#_x0000_t202" style="position:absolute;left:0pt;margin-left:101.55pt;margin-top:554.3pt;height:31.95pt;width:280.05pt;z-index:251735040;mso-width-relative:page;mso-height-relative:page;" filled="f" stroked="f" coordsize="21600,21600">
            <v:path/>
            <v:fill on="f" focussize="0,0"/>
            <v:stroke on="f" joinstyle="miter"/>
            <v:imagedata o:title=""/>
            <o:lock v:ext="edit"/>
            <v:textbox>
              <w:txbxContent>
                <w:p>
                  <w:pPr>
                    <w:rPr>
                      <w:rFonts w:ascii="黑体" w:hAnsi="黑体" w:eastAsia="黑体"/>
                      <w:sz w:val="24"/>
                    </w:rPr>
                  </w:pPr>
                  <w:r>
                    <w:rPr>
                      <w:rFonts w:hint="eastAsia" w:ascii="黑体" w:hAnsi="黑体" w:eastAsia="黑体"/>
                      <w:sz w:val="24"/>
                    </w:rPr>
                    <w:t>图2.2-4 650t/d选厂水平衡图(单位：m</w:t>
                  </w:r>
                  <w:r>
                    <w:rPr>
                      <w:rFonts w:hint="eastAsia" w:ascii="黑体" w:hAnsi="黑体" w:eastAsia="黑体"/>
                      <w:sz w:val="24"/>
                      <w:vertAlign w:val="superscript"/>
                    </w:rPr>
                    <w:t>3</w:t>
                  </w:r>
                  <w:r>
                    <w:rPr>
                      <w:rFonts w:hint="eastAsia" w:ascii="黑体" w:hAnsi="黑体" w:eastAsia="黑体"/>
                      <w:sz w:val="24"/>
                    </w:rPr>
                    <w:t>/d)</w:t>
                  </w:r>
                </w:p>
              </w:txbxContent>
            </v:textbox>
          </v:shape>
        </w:pict>
      </w:r>
      <w:r>
        <w:rPr>
          <w:szCs w:val="20"/>
        </w:rPr>
        <w:pict>
          <v:shape id="_x0000_s5460" o:spid="_x0000_s5460" o:spt="202" type="#_x0000_t202" style="position:absolute;left:0pt;margin-left:43.95pt;margin-top:515.75pt;height:20.4pt;width:42.45pt;z-index:251740160;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1716</w:t>
                  </w:r>
                </w:p>
              </w:txbxContent>
            </v:textbox>
          </v:shape>
        </w:pict>
      </w:r>
      <w:r>
        <w:rPr>
          <w:szCs w:val="20"/>
        </w:rPr>
        <w:pict>
          <v:shape id="_x0000_s5456" o:spid="_x0000_s5456" o:spt="32" type="#_x0000_t32" style="position:absolute;left:0pt;flip:x;margin-left:33.2pt;margin-top:529.8pt;height:0pt;width:262.75pt;z-index:251736064;mso-width-relative:page;mso-height-relative:page;" o:connectortype="straight" filled="f" coordsize="21600,21600">
            <v:path arrowok="t"/>
            <v:fill on="f" focussize="0,0"/>
            <v:stroke/>
            <v:imagedata o:title=""/>
            <o:lock v:ext="edit"/>
          </v:shape>
        </w:pict>
      </w:r>
      <w:r>
        <w:rPr>
          <w:sz w:val="24"/>
        </w:rPr>
        <w:t>生产工艺用水全部循环利用，不外排；根据灵宝市环境监测站2016年8月25日~26日对尾矿库澄清水的监测结果，各项监测因均能满足《污水综合排放标准》4一级标准的要求。尾矿库澄清水质较好，经坝下回水池收集用水泵打入尾矿库，然后采用库内回水后供生产循环使用，不外排。</w:t>
      </w:r>
    </w:p>
    <w:p>
      <w:pPr>
        <w:spacing w:line="360" w:lineRule="auto"/>
        <w:ind w:firstLine="480" w:firstLineChars="200"/>
        <w:rPr>
          <w:sz w:val="24"/>
        </w:rPr>
      </w:pPr>
      <w:r>
        <w:rPr>
          <w:sz w:val="24"/>
        </w:rPr>
        <w:t>（2）生活用水</w:t>
      </w:r>
    </w:p>
    <w:p>
      <w:pPr>
        <w:spacing w:line="360" w:lineRule="auto"/>
        <w:ind w:firstLine="480" w:firstLineChars="200"/>
        <w:rPr>
          <w:sz w:val="24"/>
        </w:rPr>
      </w:pPr>
      <w:r>
        <w:rPr>
          <w:sz w:val="24"/>
        </w:rPr>
        <w:t>选厂劳动定员50人，生活用水总量为4.5m</w:t>
      </w:r>
      <w:r>
        <w:rPr>
          <w:sz w:val="24"/>
          <w:vertAlign w:val="superscript"/>
        </w:rPr>
        <w:t>3</w:t>
      </w:r>
      <w:r>
        <w:rPr>
          <w:sz w:val="24"/>
        </w:rPr>
        <w:t>/d，废水产生量为3.6m</w:t>
      </w:r>
      <w:r>
        <w:rPr>
          <w:sz w:val="24"/>
          <w:vertAlign w:val="superscript"/>
        </w:rPr>
        <w:t>3</w:t>
      </w:r>
      <w:r>
        <w:rPr>
          <w:sz w:val="24"/>
        </w:rPr>
        <w:t>/d，主要污染因子为COD、BOD和SS等。食堂废水设置隔油池，生活污水通过化粪池处理后排入尾矿库，澄清后返回选厂回水池，与尾矿澄清水一起循环回用，不外排。</w:t>
      </w:r>
    </w:p>
    <w:p>
      <w:pPr>
        <w:pStyle w:val="74"/>
      </w:pPr>
      <w:r>
        <w:t>4.1.2.3扩建选厂噪声污染防治措施调查</w:t>
      </w:r>
    </w:p>
    <w:p>
      <w:pPr>
        <w:spacing w:line="360" w:lineRule="auto"/>
        <w:ind w:firstLine="420" w:firstLineChars="200"/>
        <w:rPr>
          <w:sz w:val="24"/>
        </w:rPr>
      </w:pPr>
      <w:r>
        <w:t xml:space="preserve"> </w:t>
      </w:r>
      <w:r>
        <w:rPr>
          <w:sz w:val="24"/>
        </w:rPr>
        <w:t>噪声源：选厂噪声主要是破碎机、球磨机、分级机、渣泵等，这些设备噪声源大部分是宽频带的，且多为固定噪声源。首先在设备选型上优先选用了低噪声设备，其次破碎机完全置于地下，且基础减振处理；球磨机、浮选机等噪声源均在选矿车间内布置，选矿车间密闭，球磨机与地基采用基础减振。</w:t>
      </w:r>
    </w:p>
    <w:p>
      <w:pPr>
        <w:spacing w:line="360" w:lineRule="auto"/>
        <w:ind w:firstLine="480" w:firstLineChars="200"/>
        <w:rPr>
          <w:sz w:val="24"/>
        </w:rPr>
      </w:pPr>
      <w:r>
        <w:rPr>
          <w:sz w:val="24"/>
        </w:rPr>
        <w:t>灵宝市环境监测</w:t>
      </w:r>
      <w:r>
        <w:rPr>
          <w:sz w:val="24"/>
          <w:lang w:val="zh-CN"/>
        </w:rPr>
        <w:t>站于</w:t>
      </w:r>
      <w:r>
        <w:rPr>
          <w:spacing w:val="2"/>
          <w:sz w:val="24"/>
        </w:rPr>
        <w:t>2016年8月25日~6月26日对本项目选厂和尾矿库厂界噪声进行了实测（见表5.5-2），</w:t>
      </w:r>
      <w:r>
        <w:rPr>
          <w:sz w:val="24"/>
        </w:rPr>
        <w:t>选厂四周场界噪声均能满足《工业企业厂界环境噪声排放标准》（GB12348-2008）中2类标准限值要求。</w:t>
      </w:r>
    </w:p>
    <w:p>
      <w:pPr>
        <w:pStyle w:val="74"/>
      </w:pPr>
      <w:r>
        <w:t>4.1.2.3扩建选固体废弃物污染防治措施调查</w:t>
      </w:r>
    </w:p>
    <w:p>
      <w:pPr>
        <w:pStyle w:val="15"/>
        <w:spacing w:line="360" w:lineRule="auto"/>
        <w:ind w:firstLine="488"/>
        <w:rPr>
          <w:sz w:val="24"/>
        </w:rPr>
      </w:pPr>
      <w:r>
        <w:rPr>
          <w:spacing w:val="2"/>
          <w:sz w:val="24"/>
        </w:rPr>
        <w:t>选厂营运期固体废物主要为选矿尾矿渣及生产工人生活垃圾。</w:t>
      </w:r>
      <w:r>
        <w:rPr>
          <w:sz w:val="24"/>
        </w:rPr>
        <w:t>谱尼测试对本项目尾矿渣进行了的浸出毒性实验，监测结果见表</w:t>
      </w:r>
      <w:r>
        <w:rPr>
          <w:rFonts w:hint="eastAsia"/>
          <w:sz w:val="24"/>
        </w:rPr>
        <w:t>4.1</w:t>
      </w:r>
      <w:r>
        <w:rPr>
          <w:sz w:val="24"/>
        </w:rPr>
        <w:t>-</w:t>
      </w:r>
      <w:r>
        <w:rPr>
          <w:rFonts w:hint="eastAsia"/>
          <w:sz w:val="24"/>
        </w:rPr>
        <w:t>3</w:t>
      </w:r>
      <w:r>
        <w:rPr>
          <w:sz w:val="24"/>
        </w:rPr>
        <w:t>。</w:t>
      </w:r>
    </w:p>
    <w:p>
      <w:pPr>
        <w:pStyle w:val="15"/>
        <w:adjustRightInd w:val="0"/>
        <w:snapToGrid w:val="0"/>
        <w:ind w:firstLine="488"/>
        <w:rPr>
          <w:rFonts w:eastAsia="黑体"/>
          <w:sz w:val="22"/>
          <w:szCs w:val="22"/>
        </w:rPr>
      </w:pPr>
      <w:r>
        <w:rPr>
          <w:rFonts w:eastAsia="黑体"/>
          <w:sz w:val="22"/>
          <w:szCs w:val="22"/>
        </w:rPr>
        <w:t>表</w:t>
      </w:r>
      <w:r>
        <w:rPr>
          <w:rFonts w:hint="eastAsia" w:eastAsia="黑体"/>
          <w:sz w:val="22"/>
          <w:szCs w:val="22"/>
        </w:rPr>
        <w:t>4.1-3</w:t>
      </w:r>
      <w:r>
        <w:rPr>
          <w:rFonts w:eastAsia="黑体"/>
          <w:sz w:val="22"/>
          <w:szCs w:val="22"/>
        </w:rPr>
        <w:t xml:space="preserve">        尾矿浸出毒性结果分析一览表（单位：mg/L）</w:t>
      </w:r>
    </w:p>
    <w:tbl>
      <w:tblPr>
        <w:tblStyle w:val="54"/>
        <w:tblW w:w="83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8"/>
        <w:gridCol w:w="612"/>
        <w:gridCol w:w="749"/>
        <w:gridCol w:w="702"/>
        <w:gridCol w:w="681"/>
        <w:gridCol w:w="702"/>
        <w:gridCol w:w="702"/>
        <w:gridCol w:w="676"/>
        <w:gridCol w:w="676"/>
        <w:gridCol w:w="682"/>
        <w:gridCol w:w="5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jc w:val="center"/>
        </w:trPr>
        <w:tc>
          <w:tcPr>
            <w:tcW w:w="1648" w:type="dxa"/>
            <w:vAlign w:val="center"/>
          </w:tcPr>
          <w:p>
            <w:pPr>
              <w:pStyle w:val="26"/>
              <w:tabs>
                <w:tab w:val="left" w:pos="1800"/>
              </w:tabs>
              <w:adjustRightInd w:val="0"/>
              <w:snapToGrid w:val="0"/>
              <w:jc w:val="center"/>
              <w:rPr>
                <w:rFonts w:ascii="Times New Roman" w:hAnsi="Times New Roman"/>
                <w:szCs w:val="21"/>
              </w:rPr>
            </w:pPr>
            <w:r>
              <w:rPr>
                <w:rFonts w:ascii="Times New Roman" w:hAnsi="Times New Roman"/>
                <w:szCs w:val="21"/>
              </w:rPr>
              <w:pict>
                <v:line id="_x0000_s5461" o:spid="_x0000_s5461" o:spt="20" style="position:absolute;left:0pt;margin-left:0.4pt;margin-top:0.15pt;height:25.9pt;width:80.05pt;z-index:251742208;mso-width-relative:page;mso-height-relative:page;" coordsize="21600,21600">
                  <v:path arrowok="t"/>
                  <v:fill focussize="0,0"/>
                  <v:stroke/>
                  <v:imagedata o:title=""/>
                  <o:lock v:ext="edit"/>
                </v:line>
              </w:pict>
            </w:r>
            <w:r>
              <w:rPr>
                <w:rFonts w:ascii="Times New Roman" w:hAnsi="Times New Roman"/>
                <w:szCs w:val="21"/>
              </w:rPr>
              <w:pict>
                <v:line id="_x0000_s5462" o:spid="_x0000_s5462" o:spt="20" style="position:absolute;left:0pt;margin-left:0.25pt;margin-top:-1.15pt;height:43.15pt;width:35.75pt;z-index:251743232;mso-width-relative:page;mso-height-relative:page;" coordsize="21600,21600">
                  <v:path arrowok="t"/>
                  <v:fill focussize="0,0"/>
                  <v:stroke/>
                  <v:imagedata o:title=""/>
                  <o:lock v:ext="edit"/>
                </v:line>
              </w:pict>
            </w:r>
            <w:r>
              <w:rPr>
                <w:rFonts w:ascii="Times New Roman" w:hAnsi="Times New Roman"/>
                <w:szCs w:val="21"/>
              </w:rPr>
              <w:t>项   目</w:t>
            </w:r>
          </w:p>
          <w:p>
            <w:pPr>
              <w:pStyle w:val="26"/>
              <w:adjustRightInd w:val="0"/>
              <w:snapToGrid w:val="0"/>
              <w:jc w:val="center"/>
              <w:rPr>
                <w:rFonts w:ascii="Times New Roman" w:hAnsi="Times New Roman"/>
                <w:szCs w:val="21"/>
              </w:rPr>
            </w:pPr>
            <w:r>
              <w:rPr>
                <w:rFonts w:ascii="Times New Roman" w:hAnsi="Times New Roman"/>
                <w:szCs w:val="21"/>
              </w:rPr>
              <w:t>浓 度</w:t>
            </w:r>
          </w:p>
          <w:p>
            <w:pPr>
              <w:pStyle w:val="26"/>
              <w:adjustRightInd w:val="0"/>
              <w:snapToGrid w:val="0"/>
              <w:jc w:val="left"/>
              <w:rPr>
                <w:rFonts w:ascii="Times New Roman" w:hAnsi="Times New Roman"/>
                <w:szCs w:val="21"/>
              </w:rPr>
            </w:pPr>
            <w:r>
              <w:rPr>
                <w:rFonts w:ascii="Times New Roman" w:hAnsi="Times New Roman"/>
                <w:szCs w:val="21"/>
              </w:rPr>
              <w:t>类别</w:t>
            </w:r>
          </w:p>
        </w:tc>
        <w:tc>
          <w:tcPr>
            <w:tcW w:w="612" w:type="dxa"/>
            <w:vAlign w:val="center"/>
          </w:tcPr>
          <w:p>
            <w:pPr>
              <w:pStyle w:val="26"/>
              <w:adjustRightInd w:val="0"/>
              <w:snapToGrid w:val="0"/>
              <w:jc w:val="center"/>
              <w:rPr>
                <w:rFonts w:ascii="Times New Roman" w:hAnsi="Times New Roman"/>
                <w:szCs w:val="21"/>
              </w:rPr>
            </w:pPr>
            <w:r>
              <w:rPr>
                <w:rFonts w:ascii="Times New Roman" w:hAnsi="Times New Roman"/>
                <w:szCs w:val="21"/>
              </w:rPr>
              <w:t>pH</w:t>
            </w:r>
          </w:p>
        </w:tc>
        <w:tc>
          <w:tcPr>
            <w:tcW w:w="749" w:type="dxa"/>
            <w:vAlign w:val="center"/>
          </w:tcPr>
          <w:p>
            <w:pPr>
              <w:pStyle w:val="26"/>
              <w:adjustRightInd w:val="0"/>
              <w:snapToGrid w:val="0"/>
              <w:jc w:val="center"/>
              <w:rPr>
                <w:rFonts w:ascii="Times New Roman" w:hAnsi="Times New Roman"/>
                <w:szCs w:val="21"/>
              </w:rPr>
            </w:pPr>
            <w:r>
              <w:rPr>
                <w:rFonts w:ascii="Times New Roman" w:hAnsi="Times New Roman"/>
                <w:szCs w:val="21"/>
              </w:rPr>
              <w:t>汞</w:t>
            </w:r>
          </w:p>
          <w:p>
            <w:pPr>
              <w:pStyle w:val="26"/>
              <w:adjustRightInd w:val="0"/>
              <w:snapToGrid w:val="0"/>
              <w:jc w:val="center"/>
              <w:rPr>
                <w:rFonts w:ascii="Times New Roman" w:hAnsi="Times New Roman"/>
                <w:szCs w:val="21"/>
              </w:rPr>
            </w:pPr>
            <w:r>
              <w:rPr>
                <w:rFonts w:ascii="Times New Roman" w:hAnsi="Times New Roman"/>
                <w:szCs w:val="21"/>
              </w:rPr>
              <w:t>Hg</w:t>
            </w:r>
          </w:p>
        </w:tc>
        <w:tc>
          <w:tcPr>
            <w:tcW w:w="702" w:type="dxa"/>
            <w:vAlign w:val="center"/>
          </w:tcPr>
          <w:p>
            <w:pPr>
              <w:pStyle w:val="26"/>
              <w:adjustRightInd w:val="0"/>
              <w:snapToGrid w:val="0"/>
              <w:jc w:val="center"/>
              <w:rPr>
                <w:rFonts w:ascii="Times New Roman" w:hAnsi="Times New Roman"/>
                <w:szCs w:val="21"/>
              </w:rPr>
            </w:pPr>
            <w:r>
              <w:rPr>
                <w:rFonts w:ascii="Times New Roman" w:hAnsi="Times New Roman"/>
                <w:szCs w:val="21"/>
              </w:rPr>
              <w:t>镉</w:t>
            </w:r>
          </w:p>
          <w:p>
            <w:pPr>
              <w:pStyle w:val="26"/>
              <w:adjustRightInd w:val="0"/>
              <w:snapToGrid w:val="0"/>
              <w:jc w:val="center"/>
              <w:rPr>
                <w:rFonts w:ascii="Times New Roman" w:hAnsi="Times New Roman"/>
                <w:szCs w:val="21"/>
              </w:rPr>
            </w:pPr>
            <w:r>
              <w:rPr>
                <w:rFonts w:ascii="Times New Roman" w:hAnsi="Times New Roman"/>
                <w:szCs w:val="21"/>
              </w:rPr>
              <w:t>Cd</w:t>
            </w:r>
          </w:p>
        </w:tc>
        <w:tc>
          <w:tcPr>
            <w:tcW w:w="681" w:type="dxa"/>
            <w:vAlign w:val="center"/>
          </w:tcPr>
          <w:p>
            <w:pPr>
              <w:pStyle w:val="26"/>
              <w:adjustRightInd w:val="0"/>
              <w:snapToGrid w:val="0"/>
              <w:jc w:val="center"/>
              <w:rPr>
                <w:rFonts w:ascii="Times New Roman" w:hAnsi="Times New Roman"/>
                <w:szCs w:val="21"/>
              </w:rPr>
            </w:pPr>
            <w:r>
              <w:rPr>
                <w:rFonts w:ascii="Times New Roman" w:hAnsi="Times New Roman"/>
                <w:szCs w:val="21"/>
              </w:rPr>
              <w:t>砷</w:t>
            </w:r>
          </w:p>
          <w:p>
            <w:pPr>
              <w:pStyle w:val="26"/>
              <w:adjustRightInd w:val="0"/>
              <w:snapToGrid w:val="0"/>
              <w:jc w:val="center"/>
              <w:rPr>
                <w:rFonts w:ascii="Times New Roman" w:hAnsi="Times New Roman"/>
                <w:szCs w:val="21"/>
              </w:rPr>
            </w:pPr>
            <w:r>
              <w:rPr>
                <w:rFonts w:ascii="Times New Roman" w:hAnsi="Times New Roman"/>
                <w:szCs w:val="21"/>
              </w:rPr>
              <w:t>As</w:t>
            </w:r>
          </w:p>
        </w:tc>
        <w:tc>
          <w:tcPr>
            <w:tcW w:w="702" w:type="dxa"/>
            <w:vAlign w:val="center"/>
          </w:tcPr>
          <w:p>
            <w:pPr>
              <w:pStyle w:val="26"/>
              <w:adjustRightInd w:val="0"/>
              <w:snapToGrid w:val="0"/>
              <w:jc w:val="center"/>
              <w:rPr>
                <w:rFonts w:ascii="Times New Roman" w:hAnsi="Times New Roman"/>
                <w:szCs w:val="21"/>
              </w:rPr>
            </w:pPr>
            <w:r>
              <w:rPr>
                <w:rFonts w:ascii="Times New Roman" w:hAnsi="Times New Roman"/>
                <w:szCs w:val="21"/>
              </w:rPr>
              <w:t>铬</w:t>
            </w:r>
          </w:p>
          <w:p>
            <w:pPr>
              <w:pStyle w:val="26"/>
              <w:adjustRightInd w:val="0"/>
              <w:snapToGrid w:val="0"/>
              <w:jc w:val="center"/>
              <w:rPr>
                <w:rFonts w:ascii="Times New Roman" w:hAnsi="Times New Roman"/>
                <w:szCs w:val="21"/>
              </w:rPr>
            </w:pPr>
            <w:r>
              <w:rPr>
                <w:rFonts w:ascii="Times New Roman" w:hAnsi="Times New Roman"/>
                <w:szCs w:val="21"/>
              </w:rPr>
              <w:t>Cr</w:t>
            </w:r>
          </w:p>
        </w:tc>
        <w:tc>
          <w:tcPr>
            <w:tcW w:w="702" w:type="dxa"/>
            <w:vAlign w:val="center"/>
          </w:tcPr>
          <w:p>
            <w:pPr>
              <w:pStyle w:val="26"/>
              <w:adjustRightInd w:val="0"/>
              <w:snapToGrid w:val="0"/>
              <w:jc w:val="center"/>
              <w:rPr>
                <w:rFonts w:ascii="Times New Roman" w:hAnsi="Times New Roman"/>
                <w:szCs w:val="21"/>
              </w:rPr>
            </w:pPr>
            <w:r>
              <w:rPr>
                <w:rFonts w:ascii="Times New Roman" w:hAnsi="Times New Roman"/>
                <w:szCs w:val="21"/>
              </w:rPr>
              <w:t>铅</w:t>
            </w:r>
          </w:p>
          <w:p>
            <w:pPr>
              <w:pStyle w:val="26"/>
              <w:adjustRightInd w:val="0"/>
              <w:snapToGrid w:val="0"/>
              <w:jc w:val="center"/>
              <w:rPr>
                <w:rFonts w:ascii="Times New Roman" w:hAnsi="Times New Roman"/>
                <w:szCs w:val="21"/>
              </w:rPr>
            </w:pPr>
            <w:r>
              <w:rPr>
                <w:rFonts w:ascii="Times New Roman" w:hAnsi="Times New Roman"/>
                <w:szCs w:val="21"/>
              </w:rPr>
              <w:t>Pb</w:t>
            </w:r>
          </w:p>
        </w:tc>
        <w:tc>
          <w:tcPr>
            <w:tcW w:w="676" w:type="dxa"/>
            <w:vAlign w:val="center"/>
          </w:tcPr>
          <w:p>
            <w:pPr>
              <w:pStyle w:val="26"/>
              <w:adjustRightInd w:val="0"/>
              <w:snapToGrid w:val="0"/>
              <w:jc w:val="center"/>
              <w:rPr>
                <w:rFonts w:ascii="Times New Roman" w:hAnsi="Times New Roman"/>
                <w:szCs w:val="21"/>
              </w:rPr>
            </w:pPr>
            <w:r>
              <w:rPr>
                <w:rFonts w:ascii="Times New Roman" w:hAnsi="Times New Roman"/>
                <w:szCs w:val="21"/>
              </w:rPr>
              <w:t>铜</w:t>
            </w:r>
          </w:p>
          <w:p>
            <w:pPr>
              <w:pStyle w:val="26"/>
              <w:adjustRightInd w:val="0"/>
              <w:snapToGrid w:val="0"/>
              <w:jc w:val="center"/>
              <w:rPr>
                <w:rFonts w:ascii="Times New Roman" w:hAnsi="Times New Roman"/>
                <w:szCs w:val="21"/>
              </w:rPr>
            </w:pPr>
            <w:r>
              <w:rPr>
                <w:rFonts w:ascii="Times New Roman" w:hAnsi="Times New Roman"/>
                <w:szCs w:val="21"/>
              </w:rPr>
              <w:t>Cu</w:t>
            </w:r>
          </w:p>
        </w:tc>
        <w:tc>
          <w:tcPr>
            <w:tcW w:w="676" w:type="dxa"/>
            <w:vAlign w:val="center"/>
          </w:tcPr>
          <w:p>
            <w:pPr>
              <w:pStyle w:val="26"/>
              <w:adjustRightInd w:val="0"/>
              <w:snapToGrid w:val="0"/>
              <w:jc w:val="center"/>
              <w:rPr>
                <w:rFonts w:ascii="Times New Roman" w:hAnsi="Times New Roman"/>
                <w:szCs w:val="21"/>
              </w:rPr>
            </w:pPr>
            <w:r>
              <w:rPr>
                <w:rFonts w:ascii="Times New Roman" w:hAnsi="Times New Roman"/>
                <w:szCs w:val="21"/>
              </w:rPr>
              <w:t>锌</w:t>
            </w:r>
          </w:p>
          <w:p>
            <w:pPr>
              <w:pStyle w:val="26"/>
              <w:adjustRightInd w:val="0"/>
              <w:snapToGrid w:val="0"/>
              <w:jc w:val="center"/>
              <w:rPr>
                <w:rFonts w:ascii="Times New Roman" w:hAnsi="Times New Roman"/>
                <w:szCs w:val="21"/>
              </w:rPr>
            </w:pPr>
            <w:r>
              <w:rPr>
                <w:rFonts w:ascii="Times New Roman" w:hAnsi="Times New Roman"/>
                <w:szCs w:val="21"/>
              </w:rPr>
              <w:t>Zn</w:t>
            </w:r>
          </w:p>
        </w:tc>
        <w:tc>
          <w:tcPr>
            <w:tcW w:w="682" w:type="dxa"/>
            <w:vAlign w:val="center"/>
          </w:tcPr>
          <w:p>
            <w:pPr>
              <w:pStyle w:val="26"/>
              <w:adjustRightInd w:val="0"/>
              <w:snapToGrid w:val="0"/>
              <w:jc w:val="center"/>
              <w:rPr>
                <w:rFonts w:ascii="Times New Roman" w:hAnsi="Times New Roman"/>
                <w:szCs w:val="21"/>
              </w:rPr>
            </w:pPr>
            <w:r>
              <w:rPr>
                <w:rFonts w:ascii="Times New Roman" w:hAnsi="Times New Roman"/>
                <w:szCs w:val="21"/>
              </w:rPr>
              <w:t>六价铬</w:t>
            </w:r>
          </w:p>
          <w:p>
            <w:pPr>
              <w:pStyle w:val="26"/>
              <w:adjustRightInd w:val="0"/>
              <w:snapToGrid w:val="0"/>
              <w:jc w:val="center"/>
              <w:rPr>
                <w:rFonts w:ascii="Times New Roman" w:hAnsi="Times New Roman"/>
                <w:szCs w:val="21"/>
              </w:rPr>
            </w:pPr>
            <w:r>
              <w:rPr>
                <w:rFonts w:ascii="Times New Roman" w:hAnsi="Times New Roman"/>
                <w:szCs w:val="21"/>
              </w:rPr>
              <w:t>Cr</w:t>
            </w:r>
            <w:r>
              <w:rPr>
                <w:rFonts w:ascii="Times New Roman" w:hAnsi="Times New Roman"/>
                <w:szCs w:val="21"/>
                <w:vertAlign w:val="superscript"/>
              </w:rPr>
              <w:t>6+</w:t>
            </w:r>
          </w:p>
        </w:tc>
        <w:tc>
          <w:tcPr>
            <w:tcW w:w="512" w:type="dxa"/>
            <w:vAlign w:val="center"/>
          </w:tcPr>
          <w:p>
            <w:pPr>
              <w:pStyle w:val="26"/>
              <w:adjustRightInd w:val="0"/>
              <w:snapToGrid w:val="0"/>
              <w:jc w:val="center"/>
              <w:rPr>
                <w:rFonts w:ascii="Times New Roman" w:hAnsi="Times New Roman"/>
                <w:szCs w:val="21"/>
              </w:rPr>
            </w:pPr>
            <w:r>
              <w:rPr>
                <w:rFonts w:ascii="Times New Roman" w:hAnsi="Times New Roman"/>
                <w:szCs w:val="21"/>
              </w:rPr>
              <w:t>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48" w:type="dxa"/>
            <w:vAlign w:val="center"/>
          </w:tcPr>
          <w:p>
            <w:pPr>
              <w:adjustRightInd w:val="0"/>
              <w:snapToGrid w:val="0"/>
              <w:jc w:val="center"/>
              <w:rPr>
                <w:szCs w:val="21"/>
              </w:rPr>
            </w:pPr>
            <w:r>
              <w:rPr>
                <w:szCs w:val="21"/>
              </w:rPr>
              <w:t>尾矿渣</w:t>
            </w:r>
          </w:p>
        </w:tc>
        <w:tc>
          <w:tcPr>
            <w:tcW w:w="612" w:type="dxa"/>
            <w:vAlign w:val="center"/>
          </w:tcPr>
          <w:p>
            <w:pPr>
              <w:adjustRightInd w:val="0"/>
              <w:snapToGrid w:val="0"/>
              <w:jc w:val="center"/>
              <w:rPr>
                <w:szCs w:val="21"/>
              </w:rPr>
            </w:pPr>
            <w:r>
              <w:rPr>
                <w:szCs w:val="21"/>
              </w:rPr>
              <w:t>6.89</w:t>
            </w:r>
          </w:p>
        </w:tc>
        <w:tc>
          <w:tcPr>
            <w:tcW w:w="749" w:type="dxa"/>
            <w:vAlign w:val="center"/>
          </w:tcPr>
          <w:p>
            <w:pPr>
              <w:adjustRightInd w:val="0"/>
              <w:snapToGrid w:val="0"/>
              <w:jc w:val="center"/>
            </w:pPr>
            <w:r>
              <w:rPr>
                <w:szCs w:val="21"/>
              </w:rPr>
              <w:t>＜</w:t>
            </w:r>
            <w:r>
              <w:t>0.0001</w:t>
            </w:r>
          </w:p>
        </w:tc>
        <w:tc>
          <w:tcPr>
            <w:tcW w:w="702" w:type="dxa"/>
            <w:vAlign w:val="center"/>
          </w:tcPr>
          <w:p>
            <w:pPr>
              <w:adjustRightInd w:val="0"/>
              <w:snapToGrid w:val="0"/>
              <w:jc w:val="center"/>
            </w:pPr>
            <w:r>
              <w:t>0.0016</w:t>
            </w:r>
          </w:p>
        </w:tc>
        <w:tc>
          <w:tcPr>
            <w:tcW w:w="681" w:type="dxa"/>
            <w:vAlign w:val="center"/>
          </w:tcPr>
          <w:p>
            <w:pPr>
              <w:adjustRightInd w:val="0"/>
              <w:snapToGrid w:val="0"/>
              <w:jc w:val="center"/>
            </w:pPr>
            <w:r>
              <w:t>0.0004</w:t>
            </w:r>
          </w:p>
        </w:tc>
        <w:tc>
          <w:tcPr>
            <w:tcW w:w="702" w:type="dxa"/>
            <w:vAlign w:val="center"/>
          </w:tcPr>
          <w:p>
            <w:pPr>
              <w:adjustRightInd w:val="0"/>
              <w:snapToGrid w:val="0"/>
              <w:jc w:val="center"/>
              <w:rPr>
                <w:szCs w:val="21"/>
              </w:rPr>
            </w:pPr>
            <w:r>
              <w:rPr>
                <w:szCs w:val="21"/>
              </w:rPr>
              <w:t>＜0.01</w:t>
            </w:r>
          </w:p>
        </w:tc>
        <w:tc>
          <w:tcPr>
            <w:tcW w:w="702" w:type="dxa"/>
            <w:vAlign w:val="center"/>
          </w:tcPr>
          <w:p>
            <w:pPr>
              <w:adjustRightInd w:val="0"/>
              <w:snapToGrid w:val="0"/>
              <w:jc w:val="center"/>
            </w:pPr>
            <w:r>
              <w:t>0.002</w:t>
            </w:r>
          </w:p>
        </w:tc>
        <w:tc>
          <w:tcPr>
            <w:tcW w:w="676" w:type="dxa"/>
            <w:vAlign w:val="center"/>
          </w:tcPr>
          <w:p>
            <w:pPr>
              <w:adjustRightInd w:val="0"/>
              <w:snapToGrid w:val="0"/>
              <w:jc w:val="center"/>
              <w:rPr>
                <w:szCs w:val="21"/>
              </w:rPr>
            </w:pPr>
            <w:r>
              <w:rPr>
                <w:szCs w:val="21"/>
              </w:rPr>
              <w:t>＜0.01</w:t>
            </w:r>
          </w:p>
        </w:tc>
        <w:tc>
          <w:tcPr>
            <w:tcW w:w="676" w:type="dxa"/>
            <w:vAlign w:val="center"/>
          </w:tcPr>
          <w:p>
            <w:pPr>
              <w:adjustRightInd w:val="0"/>
              <w:snapToGrid w:val="0"/>
              <w:jc w:val="center"/>
            </w:pPr>
            <w:r>
              <w:t>0.52</w:t>
            </w:r>
          </w:p>
        </w:tc>
        <w:tc>
          <w:tcPr>
            <w:tcW w:w="682" w:type="dxa"/>
            <w:vAlign w:val="center"/>
          </w:tcPr>
          <w:p>
            <w:pPr>
              <w:adjustRightInd w:val="0"/>
              <w:snapToGrid w:val="0"/>
              <w:jc w:val="center"/>
            </w:pPr>
            <w:r>
              <w:rPr>
                <w:szCs w:val="21"/>
              </w:rPr>
              <w:t>＜0.004</w:t>
            </w:r>
          </w:p>
        </w:tc>
        <w:tc>
          <w:tcPr>
            <w:tcW w:w="512" w:type="dxa"/>
            <w:vAlign w:val="center"/>
          </w:tcPr>
          <w:p>
            <w:pPr>
              <w:adjustRightInd w:val="0"/>
              <w:snapToGrid w:val="0"/>
              <w:jc w:val="center"/>
              <w:rPr>
                <w:szCs w:val="21"/>
              </w:rPr>
            </w:pPr>
            <w:r>
              <w:rPr>
                <w:szCs w:val="21"/>
              </w:rPr>
              <w:t>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48" w:type="dxa"/>
            <w:vAlign w:val="center"/>
          </w:tcPr>
          <w:p>
            <w:pPr>
              <w:adjustRightInd w:val="0"/>
              <w:snapToGrid w:val="0"/>
              <w:jc w:val="center"/>
              <w:rPr>
                <w:szCs w:val="21"/>
              </w:rPr>
            </w:pPr>
            <w:r>
              <w:rPr>
                <w:szCs w:val="21"/>
              </w:rPr>
              <w:t>GB5085.3-2007最高允许浓度</w:t>
            </w:r>
          </w:p>
        </w:tc>
        <w:tc>
          <w:tcPr>
            <w:tcW w:w="612" w:type="dxa"/>
            <w:vAlign w:val="center"/>
          </w:tcPr>
          <w:p>
            <w:pPr>
              <w:adjustRightInd w:val="0"/>
              <w:snapToGrid w:val="0"/>
              <w:jc w:val="center"/>
              <w:rPr>
                <w:szCs w:val="21"/>
              </w:rPr>
            </w:pPr>
            <w:r>
              <w:rPr>
                <w:szCs w:val="21"/>
              </w:rPr>
              <w:t>/</w:t>
            </w:r>
          </w:p>
        </w:tc>
        <w:tc>
          <w:tcPr>
            <w:tcW w:w="749" w:type="dxa"/>
            <w:vAlign w:val="center"/>
          </w:tcPr>
          <w:p>
            <w:pPr>
              <w:adjustRightInd w:val="0"/>
              <w:snapToGrid w:val="0"/>
              <w:jc w:val="center"/>
              <w:rPr>
                <w:szCs w:val="21"/>
              </w:rPr>
            </w:pPr>
            <w:r>
              <w:rPr>
                <w:szCs w:val="21"/>
              </w:rPr>
              <w:t>0.1</w:t>
            </w:r>
          </w:p>
        </w:tc>
        <w:tc>
          <w:tcPr>
            <w:tcW w:w="702" w:type="dxa"/>
            <w:vAlign w:val="center"/>
          </w:tcPr>
          <w:p>
            <w:pPr>
              <w:adjustRightInd w:val="0"/>
              <w:snapToGrid w:val="0"/>
              <w:jc w:val="center"/>
              <w:rPr>
                <w:szCs w:val="21"/>
              </w:rPr>
            </w:pPr>
            <w:r>
              <w:rPr>
                <w:szCs w:val="21"/>
              </w:rPr>
              <w:t>1.0</w:t>
            </w:r>
          </w:p>
        </w:tc>
        <w:tc>
          <w:tcPr>
            <w:tcW w:w="681" w:type="dxa"/>
            <w:vAlign w:val="center"/>
          </w:tcPr>
          <w:p>
            <w:pPr>
              <w:adjustRightInd w:val="0"/>
              <w:snapToGrid w:val="0"/>
              <w:jc w:val="center"/>
              <w:rPr>
                <w:szCs w:val="21"/>
              </w:rPr>
            </w:pPr>
            <w:r>
              <w:rPr>
                <w:szCs w:val="21"/>
              </w:rPr>
              <w:t>5</w:t>
            </w:r>
          </w:p>
        </w:tc>
        <w:tc>
          <w:tcPr>
            <w:tcW w:w="702" w:type="dxa"/>
            <w:vAlign w:val="center"/>
          </w:tcPr>
          <w:p>
            <w:pPr>
              <w:adjustRightInd w:val="0"/>
              <w:snapToGrid w:val="0"/>
              <w:jc w:val="center"/>
              <w:rPr>
                <w:szCs w:val="21"/>
              </w:rPr>
            </w:pPr>
            <w:r>
              <w:rPr>
                <w:szCs w:val="21"/>
              </w:rPr>
              <w:t>15</w:t>
            </w:r>
          </w:p>
        </w:tc>
        <w:tc>
          <w:tcPr>
            <w:tcW w:w="702" w:type="dxa"/>
            <w:vAlign w:val="center"/>
          </w:tcPr>
          <w:p>
            <w:pPr>
              <w:adjustRightInd w:val="0"/>
              <w:snapToGrid w:val="0"/>
              <w:jc w:val="center"/>
              <w:rPr>
                <w:szCs w:val="21"/>
              </w:rPr>
            </w:pPr>
            <w:r>
              <w:rPr>
                <w:szCs w:val="21"/>
              </w:rPr>
              <w:t>5</w:t>
            </w:r>
          </w:p>
        </w:tc>
        <w:tc>
          <w:tcPr>
            <w:tcW w:w="676" w:type="dxa"/>
            <w:vAlign w:val="center"/>
          </w:tcPr>
          <w:p>
            <w:pPr>
              <w:adjustRightInd w:val="0"/>
              <w:snapToGrid w:val="0"/>
              <w:jc w:val="center"/>
              <w:rPr>
                <w:szCs w:val="21"/>
              </w:rPr>
            </w:pPr>
            <w:r>
              <w:rPr>
                <w:szCs w:val="21"/>
              </w:rPr>
              <w:t>100</w:t>
            </w:r>
          </w:p>
        </w:tc>
        <w:tc>
          <w:tcPr>
            <w:tcW w:w="676" w:type="dxa"/>
            <w:vAlign w:val="center"/>
          </w:tcPr>
          <w:p>
            <w:pPr>
              <w:adjustRightInd w:val="0"/>
              <w:snapToGrid w:val="0"/>
              <w:jc w:val="center"/>
              <w:rPr>
                <w:szCs w:val="21"/>
              </w:rPr>
            </w:pPr>
            <w:r>
              <w:rPr>
                <w:szCs w:val="21"/>
              </w:rPr>
              <w:t>100</w:t>
            </w:r>
          </w:p>
        </w:tc>
        <w:tc>
          <w:tcPr>
            <w:tcW w:w="682" w:type="dxa"/>
            <w:vAlign w:val="center"/>
          </w:tcPr>
          <w:p>
            <w:pPr>
              <w:adjustRightInd w:val="0"/>
              <w:snapToGrid w:val="0"/>
              <w:jc w:val="center"/>
              <w:rPr>
                <w:szCs w:val="21"/>
              </w:rPr>
            </w:pPr>
            <w:r>
              <w:rPr>
                <w:szCs w:val="21"/>
              </w:rPr>
              <w:t>5</w:t>
            </w:r>
          </w:p>
        </w:tc>
        <w:tc>
          <w:tcPr>
            <w:tcW w:w="512" w:type="dxa"/>
            <w:vAlign w:val="center"/>
          </w:tcPr>
          <w:p>
            <w:pPr>
              <w:adjustRightInd w:val="0"/>
              <w:snapToGrid w:val="0"/>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48" w:type="dxa"/>
            <w:vAlign w:val="center"/>
          </w:tcPr>
          <w:p>
            <w:pPr>
              <w:adjustRightInd w:val="0"/>
              <w:snapToGrid w:val="0"/>
              <w:jc w:val="center"/>
              <w:rPr>
                <w:szCs w:val="21"/>
              </w:rPr>
            </w:pPr>
            <w:r>
              <w:rPr>
                <w:szCs w:val="21"/>
              </w:rPr>
              <w:t>GB8978-1996</w:t>
            </w:r>
          </w:p>
          <w:p>
            <w:pPr>
              <w:adjustRightInd w:val="0"/>
              <w:snapToGrid w:val="0"/>
              <w:jc w:val="center"/>
              <w:rPr>
                <w:szCs w:val="21"/>
              </w:rPr>
            </w:pPr>
            <w:r>
              <w:rPr>
                <w:szCs w:val="21"/>
              </w:rPr>
              <w:t>最高允许浓度</w:t>
            </w:r>
          </w:p>
        </w:tc>
        <w:tc>
          <w:tcPr>
            <w:tcW w:w="612" w:type="dxa"/>
            <w:vAlign w:val="center"/>
          </w:tcPr>
          <w:p>
            <w:pPr>
              <w:adjustRightInd w:val="0"/>
              <w:snapToGrid w:val="0"/>
              <w:jc w:val="center"/>
              <w:rPr>
                <w:szCs w:val="21"/>
              </w:rPr>
            </w:pPr>
            <w:r>
              <w:rPr>
                <w:szCs w:val="21"/>
              </w:rPr>
              <w:t>6~9</w:t>
            </w:r>
          </w:p>
        </w:tc>
        <w:tc>
          <w:tcPr>
            <w:tcW w:w="749" w:type="dxa"/>
            <w:vAlign w:val="center"/>
          </w:tcPr>
          <w:p>
            <w:pPr>
              <w:adjustRightInd w:val="0"/>
              <w:snapToGrid w:val="0"/>
              <w:jc w:val="center"/>
              <w:rPr>
                <w:szCs w:val="21"/>
              </w:rPr>
            </w:pPr>
            <w:r>
              <w:rPr>
                <w:szCs w:val="21"/>
              </w:rPr>
              <w:t>0.05</w:t>
            </w:r>
          </w:p>
        </w:tc>
        <w:tc>
          <w:tcPr>
            <w:tcW w:w="702" w:type="dxa"/>
            <w:vAlign w:val="center"/>
          </w:tcPr>
          <w:p>
            <w:pPr>
              <w:adjustRightInd w:val="0"/>
              <w:snapToGrid w:val="0"/>
              <w:jc w:val="center"/>
              <w:rPr>
                <w:szCs w:val="21"/>
              </w:rPr>
            </w:pPr>
            <w:r>
              <w:rPr>
                <w:szCs w:val="21"/>
              </w:rPr>
              <w:t>0.1</w:t>
            </w:r>
          </w:p>
        </w:tc>
        <w:tc>
          <w:tcPr>
            <w:tcW w:w="681" w:type="dxa"/>
            <w:vAlign w:val="center"/>
          </w:tcPr>
          <w:p>
            <w:pPr>
              <w:adjustRightInd w:val="0"/>
              <w:snapToGrid w:val="0"/>
              <w:jc w:val="center"/>
              <w:rPr>
                <w:szCs w:val="21"/>
              </w:rPr>
            </w:pPr>
            <w:r>
              <w:rPr>
                <w:szCs w:val="21"/>
              </w:rPr>
              <w:t>0.5</w:t>
            </w:r>
          </w:p>
        </w:tc>
        <w:tc>
          <w:tcPr>
            <w:tcW w:w="702" w:type="dxa"/>
            <w:vAlign w:val="center"/>
          </w:tcPr>
          <w:p>
            <w:pPr>
              <w:adjustRightInd w:val="0"/>
              <w:snapToGrid w:val="0"/>
              <w:jc w:val="center"/>
              <w:rPr>
                <w:szCs w:val="21"/>
              </w:rPr>
            </w:pPr>
            <w:r>
              <w:rPr>
                <w:szCs w:val="21"/>
              </w:rPr>
              <w:t>1.5</w:t>
            </w:r>
          </w:p>
        </w:tc>
        <w:tc>
          <w:tcPr>
            <w:tcW w:w="702" w:type="dxa"/>
            <w:vAlign w:val="center"/>
          </w:tcPr>
          <w:p>
            <w:pPr>
              <w:adjustRightInd w:val="0"/>
              <w:snapToGrid w:val="0"/>
              <w:jc w:val="center"/>
              <w:rPr>
                <w:szCs w:val="21"/>
              </w:rPr>
            </w:pPr>
            <w:r>
              <w:rPr>
                <w:szCs w:val="21"/>
              </w:rPr>
              <w:t>1.0</w:t>
            </w:r>
          </w:p>
        </w:tc>
        <w:tc>
          <w:tcPr>
            <w:tcW w:w="676" w:type="dxa"/>
            <w:vAlign w:val="center"/>
          </w:tcPr>
          <w:p>
            <w:pPr>
              <w:adjustRightInd w:val="0"/>
              <w:snapToGrid w:val="0"/>
              <w:jc w:val="center"/>
              <w:rPr>
                <w:szCs w:val="21"/>
              </w:rPr>
            </w:pPr>
            <w:r>
              <w:rPr>
                <w:szCs w:val="21"/>
              </w:rPr>
              <w:t>1.0</w:t>
            </w:r>
          </w:p>
        </w:tc>
        <w:tc>
          <w:tcPr>
            <w:tcW w:w="676" w:type="dxa"/>
            <w:vAlign w:val="center"/>
          </w:tcPr>
          <w:p>
            <w:pPr>
              <w:adjustRightInd w:val="0"/>
              <w:snapToGrid w:val="0"/>
              <w:jc w:val="center"/>
              <w:rPr>
                <w:szCs w:val="21"/>
              </w:rPr>
            </w:pPr>
            <w:r>
              <w:rPr>
                <w:szCs w:val="21"/>
              </w:rPr>
              <w:t>5.0</w:t>
            </w:r>
          </w:p>
        </w:tc>
        <w:tc>
          <w:tcPr>
            <w:tcW w:w="682" w:type="dxa"/>
            <w:vAlign w:val="center"/>
          </w:tcPr>
          <w:p>
            <w:pPr>
              <w:adjustRightInd w:val="0"/>
              <w:snapToGrid w:val="0"/>
              <w:jc w:val="center"/>
              <w:rPr>
                <w:szCs w:val="21"/>
              </w:rPr>
            </w:pPr>
            <w:r>
              <w:rPr>
                <w:szCs w:val="21"/>
              </w:rPr>
              <w:t>0.5</w:t>
            </w:r>
          </w:p>
        </w:tc>
        <w:tc>
          <w:tcPr>
            <w:tcW w:w="512" w:type="dxa"/>
            <w:vAlign w:val="center"/>
          </w:tcPr>
          <w:p>
            <w:pPr>
              <w:adjustRightInd w:val="0"/>
              <w:snapToGrid w:val="0"/>
              <w:jc w:val="center"/>
              <w:rPr>
                <w:szCs w:val="21"/>
              </w:rPr>
            </w:pPr>
            <w:r>
              <w:rPr>
                <w:szCs w:val="21"/>
              </w:rPr>
              <w:t>10</w:t>
            </w:r>
          </w:p>
        </w:tc>
      </w:tr>
    </w:tbl>
    <w:p>
      <w:pPr>
        <w:pStyle w:val="15"/>
        <w:spacing w:beforeLines="50" w:line="360" w:lineRule="auto"/>
        <w:ind w:firstLine="488"/>
        <w:rPr>
          <w:spacing w:val="2"/>
          <w:sz w:val="24"/>
          <w:szCs w:val="24"/>
        </w:rPr>
      </w:pPr>
      <w:r>
        <w:rPr>
          <w:sz w:val="24"/>
        </w:rPr>
        <w:t>根据监测结果可知，尾矿渣浸出液中各项有毒有害元素浓度均低于《危险废物鉴别标准-浸出毒性鉴别》（GB5085.3-2007）中规定的限值要求，且pH在6~9之间，污染物浓度均未超过GB8978-1996最高允许排放浓度，根据《一般工业固体废物贮存、处置场污染控制标准》（GB18599-2001）中有关规定，该矿尾矿</w:t>
      </w:r>
      <w:r>
        <w:rPr>
          <w:sz w:val="24"/>
          <w:szCs w:val="24"/>
        </w:rPr>
        <w:t>渣属于第Ⅰ类一般工业固体废弃物，其堆场应为Ⅰ类场地，无需设防渗处理设施。</w:t>
      </w:r>
    </w:p>
    <w:p>
      <w:pPr>
        <w:spacing w:line="360" w:lineRule="auto"/>
        <w:ind w:firstLine="480" w:firstLineChars="200"/>
        <w:rPr>
          <w:sz w:val="24"/>
        </w:rPr>
      </w:pPr>
      <w:r>
        <w:rPr>
          <w:sz w:val="24"/>
        </w:rPr>
        <w:t>尾矿库2005年投入使用，目前已消耗库容近91.3万m</w:t>
      </w:r>
      <w:r>
        <w:rPr>
          <w:sz w:val="24"/>
          <w:vertAlign w:val="superscript"/>
        </w:rPr>
        <w:t>3</w:t>
      </w:r>
      <w:r>
        <w:rPr>
          <w:sz w:val="24"/>
        </w:rPr>
        <w:t>，本尾矿库还剩有效库容为170×10</w:t>
      </w:r>
      <w:r>
        <w:rPr>
          <w:sz w:val="24"/>
          <w:vertAlign w:val="superscript"/>
        </w:rPr>
        <w:t>4</w:t>
      </w:r>
      <w:r>
        <w:rPr>
          <w:sz w:val="24"/>
        </w:rPr>
        <w:t>m</w:t>
      </w:r>
      <w:r>
        <w:rPr>
          <w:sz w:val="24"/>
          <w:vertAlign w:val="superscript"/>
        </w:rPr>
        <w:t>3</w:t>
      </w:r>
      <w:r>
        <w:rPr>
          <w:sz w:val="24"/>
        </w:rPr>
        <w:t>，新建选矿厂年排出尾矿量6.205万t/a，原650t/d选矿厂年排出尾矿量8.19万t/a。新建选矿厂投产后，选矿规模将达到50.0×10</w:t>
      </w:r>
      <w:r>
        <w:rPr>
          <w:sz w:val="24"/>
          <w:vertAlign w:val="superscript"/>
        </w:rPr>
        <w:t>4</w:t>
      </w:r>
      <w:r>
        <w:rPr>
          <w:sz w:val="24"/>
        </w:rPr>
        <w:t>t的生产能力，年排出尾矿量20.6万t/a，年消化库容8.997万m</w:t>
      </w:r>
      <w:r>
        <w:rPr>
          <w:sz w:val="24"/>
          <w:vertAlign w:val="superscript"/>
        </w:rPr>
        <w:t>3</w:t>
      </w:r>
      <w:r>
        <w:rPr>
          <w:sz w:val="24"/>
        </w:rPr>
        <w:t>，现有尾矿库还能服务18.9年。</w:t>
      </w:r>
    </w:p>
    <w:p>
      <w:pPr>
        <w:autoSpaceDE w:val="0"/>
        <w:autoSpaceDN w:val="0"/>
        <w:spacing w:line="360" w:lineRule="auto"/>
        <w:ind w:firstLine="480" w:firstLineChars="200"/>
        <w:rPr>
          <w:sz w:val="24"/>
        </w:rPr>
      </w:pPr>
      <w:r>
        <w:rPr>
          <w:sz w:val="24"/>
        </w:rPr>
        <w:t>员工</w:t>
      </w:r>
      <w:r>
        <w:rPr>
          <w:sz w:val="24"/>
          <w:lang w:val="zh-CN"/>
        </w:rPr>
        <w:t>生活垃圾产生量为7.5t/a，经统一收集后运至朱阳镇城市垃圾中转站处理。</w:t>
      </w:r>
    </w:p>
    <w:p>
      <w:pPr>
        <w:pStyle w:val="3"/>
        <w:spacing w:beforeLines="50" w:after="0"/>
        <w:rPr>
          <w:rFonts w:ascii="Times New Roman" w:hAnsi="Times New Roman"/>
        </w:rPr>
      </w:pPr>
      <w:bookmarkStart w:id="441" w:name="_Toc325611106"/>
      <w:bookmarkStart w:id="442" w:name="_Toc488578909"/>
      <w:bookmarkStart w:id="443" w:name="_Toc470358686"/>
      <w:bookmarkStart w:id="444" w:name="_Toc420663672"/>
      <w:bookmarkStart w:id="445" w:name="_Toc322624398"/>
      <w:bookmarkStart w:id="446" w:name="_Toc322621488"/>
      <w:bookmarkStart w:id="447" w:name="_Toc407217354"/>
      <w:bookmarkStart w:id="448" w:name="_Toc407153488"/>
      <w:bookmarkStart w:id="449" w:name="_Toc326681032"/>
      <w:bookmarkStart w:id="450" w:name="_Toc406504206"/>
      <w:r>
        <w:rPr>
          <w:rFonts w:ascii="Times New Roman" w:hAnsi="Times New Roman"/>
        </w:rPr>
        <w:t>4.2 环评报告书批复意见落实情况</w:t>
      </w:r>
      <w:bookmarkEnd w:id="441"/>
      <w:bookmarkEnd w:id="442"/>
      <w:bookmarkEnd w:id="443"/>
      <w:bookmarkEnd w:id="444"/>
      <w:bookmarkEnd w:id="445"/>
      <w:bookmarkEnd w:id="446"/>
      <w:bookmarkEnd w:id="447"/>
      <w:bookmarkEnd w:id="448"/>
      <w:bookmarkEnd w:id="449"/>
      <w:bookmarkEnd w:id="450"/>
    </w:p>
    <w:p>
      <w:pPr>
        <w:pStyle w:val="33"/>
        <w:pBdr>
          <w:bottom w:val="none" w:color="auto" w:sz="0" w:space="0"/>
        </w:pBdr>
        <w:snapToGrid/>
        <w:spacing w:line="360" w:lineRule="auto"/>
        <w:ind w:firstLine="480" w:firstLineChars="200"/>
        <w:jc w:val="both"/>
        <w:rPr>
          <w:sz w:val="24"/>
        </w:rPr>
      </w:pPr>
      <w:r>
        <w:rPr>
          <w:sz w:val="24"/>
        </w:rPr>
        <w:t>根据河南省环境保护厅豫环审</w:t>
      </w:r>
      <w:r>
        <w:rPr>
          <w:sz w:val="24"/>
          <w:szCs w:val="24"/>
        </w:rPr>
        <w:t>【2016】</w:t>
      </w:r>
      <w:r>
        <w:rPr>
          <w:rFonts w:eastAsia="汉鼎简书宋"/>
          <w:sz w:val="24"/>
        </w:rPr>
        <w:t>134</w:t>
      </w:r>
      <w:r>
        <w:rPr>
          <w:sz w:val="24"/>
        </w:rPr>
        <w:t>号文《关于灵宝金源晨光有色矿冶有限公司银家沟硫铁矿综合回收扩建工程项目环境影响报告书的批复》，对项目在建设过程中落具体落实环境保护措施情况分析，见表4.2-1。</w:t>
      </w:r>
    </w:p>
    <w:p>
      <w:pPr>
        <w:adjustRightInd w:val="0"/>
        <w:snapToGrid w:val="0"/>
        <w:ind w:firstLine="440" w:firstLineChars="200"/>
        <w:rPr>
          <w:rFonts w:eastAsia="黑体"/>
          <w:sz w:val="22"/>
          <w:szCs w:val="22"/>
        </w:rPr>
      </w:pPr>
      <w:r>
        <w:rPr>
          <w:rFonts w:eastAsia="黑体"/>
          <w:bCs/>
          <w:sz w:val="22"/>
          <w:szCs w:val="22"/>
        </w:rPr>
        <w:t xml:space="preserve">表4.2-1                   </w:t>
      </w:r>
      <w:r>
        <w:rPr>
          <w:rFonts w:eastAsia="黑体"/>
          <w:sz w:val="22"/>
          <w:szCs w:val="22"/>
        </w:rPr>
        <w:t>环评批复落实情况分析表</w:t>
      </w:r>
    </w:p>
    <w:tbl>
      <w:tblPr>
        <w:tblStyle w:val="55"/>
        <w:tblW w:w="85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511"/>
        <w:gridCol w:w="3047"/>
        <w:gridCol w:w="3047"/>
        <w:gridCol w:w="5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4974" w:type="dxa"/>
            <w:gridSpan w:val="3"/>
            <w:tcBorders>
              <w:top w:val="single" w:color="auto" w:sz="12" w:space="0"/>
              <w:left w:val="single" w:color="auto" w:sz="12" w:space="0"/>
              <w:bottom w:val="single" w:color="auto" w:sz="4" w:space="0"/>
            </w:tcBorders>
            <w:vAlign w:val="center"/>
          </w:tcPr>
          <w:p>
            <w:pPr>
              <w:adjustRightInd w:val="0"/>
              <w:snapToGrid w:val="0"/>
              <w:jc w:val="center"/>
              <w:rPr>
                <w:rFonts w:eastAsiaTheme="minorEastAsia"/>
                <w:b/>
                <w:sz w:val="20"/>
                <w:szCs w:val="20"/>
              </w:rPr>
            </w:pPr>
            <w:r>
              <w:rPr>
                <w:rFonts w:eastAsiaTheme="minorEastAsia"/>
                <w:b/>
                <w:sz w:val="20"/>
                <w:szCs w:val="20"/>
              </w:rPr>
              <w:t>批复意见</w:t>
            </w:r>
          </w:p>
        </w:tc>
        <w:tc>
          <w:tcPr>
            <w:tcW w:w="3047" w:type="dxa"/>
            <w:tcBorders>
              <w:top w:val="single" w:color="auto" w:sz="12" w:space="0"/>
              <w:bottom w:val="single" w:color="auto" w:sz="4" w:space="0"/>
            </w:tcBorders>
            <w:vAlign w:val="center"/>
          </w:tcPr>
          <w:p>
            <w:pPr>
              <w:adjustRightInd w:val="0"/>
              <w:snapToGrid w:val="0"/>
              <w:jc w:val="center"/>
              <w:rPr>
                <w:rFonts w:eastAsiaTheme="minorEastAsia"/>
                <w:b/>
                <w:sz w:val="20"/>
                <w:szCs w:val="20"/>
              </w:rPr>
            </w:pPr>
            <w:r>
              <w:rPr>
                <w:rFonts w:eastAsiaTheme="minorEastAsia"/>
                <w:b/>
                <w:sz w:val="20"/>
                <w:szCs w:val="20"/>
              </w:rPr>
              <w:t>落实情况</w:t>
            </w:r>
          </w:p>
        </w:tc>
        <w:tc>
          <w:tcPr>
            <w:tcW w:w="507" w:type="dxa"/>
            <w:tcBorders>
              <w:top w:val="single" w:color="auto" w:sz="12" w:space="0"/>
              <w:bottom w:val="single" w:color="auto" w:sz="4" w:space="0"/>
              <w:right w:val="single" w:color="auto" w:sz="12" w:space="0"/>
            </w:tcBorders>
            <w:vAlign w:val="center"/>
          </w:tcPr>
          <w:p>
            <w:pPr>
              <w:adjustRightInd w:val="0"/>
              <w:snapToGrid w:val="0"/>
              <w:jc w:val="center"/>
              <w:rPr>
                <w:rFonts w:eastAsiaTheme="minorEastAsia"/>
                <w:b/>
                <w:sz w:val="20"/>
                <w:szCs w:val="20"/>
              </w:rPr>
            </w:pPr>
            <w:r>
              <w:rPr>
                <w:rFonts w:eastAsiaTheme="minorEastAsia"/>
                <w:b/>
                <w:sz w:val="20"/>
                <w:szCs w:val="20"/>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416" w:type="dxa"/>
            <w:tcBorders>
              <w:top w:val="single" w:color="auto" w:sz="4" w:space="0"/>
              <w:left w:val="single" w:color="auto" w:sz="12" w:space="0"/>
              <w:bottom w:val="single" w:color="auto" w:sz="4" w:space="0"/>
            </w:tcBorders>
            <w:vAlign w:val="center"/>
          </w:tcPr>
          <w:p>
            <w:pPr>
              <w:adjustRightInd w:val="0"/>
              <w:snapToGrid w:val="0"/>
              <w:jc w:val="center"/>
              <w:rPr>
                <w:rFonts w:eastAsiaTheme="majorEastAsia"/>
                <w:sz w:val="20"/>
                <w:szCs w:val="20"/>
              </w:rPr>
            </w:pPr>
            <w:r>
              <w:rPr>
                <w:rFonts w:eastAsiaTheme="majorEastAsia"/>
                <w:sz w:val="20"/>
                <w:szCs w:val="20"/>
              </w:rPr>
              <w:t>一</w:t>
            </w:r>
          </w:p>
        </w:tc>
        <w:tc>
          <w:tcPr>
            <w:tcW w:w="4558" w:type="dxa"/>
            <w:gridSpan w:val="2"/>
            <w:tcBorders>
              <w:top w:val="single" w:color="auto" w:sz="4" w:space="0"/>
              <w:bottom w:val="single" w:color="auto" w:sz="4" w:space="0"/>
            </w:tcBorders>
            <w:vAlign w:val="center"/>
          </w:tcPr>
          <w:p>
            <w:pPr>
              <w:adjustRightInd w:val="0"/>
              <w:snapToGrid w:val="0"/>
              <w:jc w:val="left"/>
              <w:rPr>
                <w:sz w:val="20"/>
                <w:szCs w:val="20"/>
              </w:rPr>
            </w:pPr>
            <w:r>
              <w:rPr>
                <w:sz w:val="20"/>
                <w:szCs w:val="20"/>
              </w:rPr>
              <w:t>针对项目意见工程存在的环保问题，严格按照《报告书》要求，逐项落实整改，确保整改到位，重点是利用废石填充地面塌陷坑，并进行覆土、平整、绿化；废石堆场周边修建截排水沟和雨水收集池；破碎工段设置集气罩4个、袋式除尘器1台，筛分工段设置集气罩2个、袋式除尘器1台；新建精矿沉淀池，尾矿库东侧山坡设置截排水沟，实现雨污分流；建设尾矿库澄清水回用系统，包括选厂1500立方米高位水池、回水管路、泵房等。</w:t>
            </w:r>
          </w:p>
        </w:tc>
        <w:tc>
          <w:tcPr>
            <w:tcW w:w="3047" w:type="dxa"/>
            <w:tcBorders>
              <w:top w:val="single" w:color="auto" w:sz="4" w:space="0"/>
              <w:bottom w:val="single" w:color="auto" w:sz="4" w:space="0"/>
            </w:tcBorders>
            <w:vAlign w:val="center"/>
          </w:tcPr>
          <w:p>
            <w:pPr>
              <w:adjustRightInd w:val="0"/>
              <w:snapToGrid w:val="0"/>
              <w:jc w:val="left"/>
              <w:rPr>
                <w:sz w:val="20"/>
                <w:szCs w:val="20"/>
              </w:rPr>
            </w:pPr>
            <w:r>
              <w:rPr>
                <w:rFonts w:eastAsiaTheme="minorEastAsia"/>
                <w:sz w:val="20"/>
                <w:szCs w:val="20"/>
              </w:rPr>
              <w:t>已按照报告书措施逐项落实整改措施，废石场堆场</w:t>
            </w:r>
            <w:r>
              <w:rPr>
                <w:sz w:val="20"/>
                <w:szCs w:val="20"/>
              </w:rPr>
              <w:t>利用废石填充地面塌陷坑，并进行覆土、平整、绿化；废石堆场周边修建截排水沟和雨水收集池；破碎工段设置集气罩4个、袋式除尘器1台，筛分工段设置集气罩2个、袋式除尘器1台；新建精矿沉淀池，尾矿库东侧山坡设置截排水沟，实现雨污分流；建设尾矿库澄清水回用系统，包括选厂1500立方米高位水池、回水管路、泵房等。</w:t>
            </w:r>
          </w:p>
        </w:tc>
        <w:tc>
          <w:tcPr>
            <w:tcW w:w="507" w:type="dxa"/>
            <w:tcBorders>
              <w:top w:val="single" w:color="auto" w:sz="4" w:space="0"/>
              <w:bottom w:val="single" w:color="auto" w:sz="4" w:space="0"/>
              <w:right w:val="single" w:color="auto" w:sz="12" w:space="0"/>
            </w:tcBorders>
            <w:vAlign w:val="center"/>
          </w:tcPr>
          <w:p>
            <w:pPr>
              <w:adjustRightInd w:val="0"/>
              <w:snapToGrid w:val="0"/>
              <w:jc w:val="center"/>
              <w:rPr>
                <w:rFonts w:eastAsiaTheme="minorEastAsia"/>
                <w:sz w:val="20"/>
                <w:szCs w:val="20"/>
              </w:rPr>
            </w:pPr>
            <w:r>
              <w:rPr>
                <w:rFonts w:eastAsiaTheme="minorEastAsia"/>
                <w:sz w:val="20"/>
                <w:szCs w:val="20"/>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6" w:type="dxa"/>
            <w:tcBorders>
              <w:top w:val="single" w:color="auto" w:sz="4" w:space="0"/>
              <w:left w:val="single" w:color="auto" w:sz="12" w:space="0"/>
              <w:bottom w:val="single" w:color="auto" w:sz="4" w:space="0"/>
            </w:tcBorders>
            <w:vAlign w:val="center"/>
          </w:tcPr>
          <w:p>
            <w:pPr>
              <w:adjustRightInd w:val="0"/>
              <w:snapToGrid w:val="0"/>
              <w:jc w:val="center"/>
              <w:rPr>
                <w:rFonts w:eastAsiaTheme="majorEastAsia"/>
                <w:sz w:val="20"/>
                <w:szCs w:val="20"/>
              </w:rPr>
            </w:pPr>
            <w:r>
              <w:rPr>
                <w:rFonts w:eastAsiaTheme="majorEastAsia"/>
                <w:sz w:val="20"/>
                <w:szCs w:val="20"/>
              </w:rPr>
              <w:t>二</w:t>
            </w:r>
          </w:p>
        </w:tc>
        <w:tc>
          <w:tcPr>
            <w:tcW w:w="1511" w:type="dxa"/>
            <w:tcBorders>
              <w:top w:val="single" w:color="auto" w:sz="4" w:space="0"/>
              <w:bottom w:val="single" w:color="auto" w:sz="4" w:space="0"/>
              <w:right w:val="single" w:color="auto" w:sz="6" w:space="0"/>
            </w:tcBorders>
            <w:vAlign w:val="center"/>
          </w:tcPr>
          <w:p>
            <w:pPr>
              <w:adjustRightInd w:val="0"/>
              <w:snapToGrid w:val="0"/>
              <w:rPr>
                <w:rFonts w:eastAsiaTheme="minorEastAsia"/>
                <w:sz w:val="20"/>
                <w:szCs w:val="20"/>
              </w:rPr>
            </w:pPr>
            <w:r>
              <w:rPr>
                <w:sz w:val="20"/>
                <w:szCs w:val="20"/>
              </w:rPr>
              <w:t>做好固废处置处理工作。</w:t>
            </w:r>
          </w:p>
        </w:tc>
        <w:tc>
          <w:tcPr>
            <w:tcW w:w="3047" w:type="dxa"/>
            <w:tcBorders>
              <w:top w:val="single" w:color="auto" w:sz="4" w:space="0"/>
              <w:left w:val="single" w:color="auto" w:sz="6" w:space="0"/>
              <w:bottom w:val="single" w:color="auto" w:sz="4" w:space="0"/>
            </w:tcBorders>
            <w:vAlign w:val="center"/>
          </w:tcPr>
          <w:p>
            <w:pPr>
              <w:adjustRightInd w:val="0"/>
              <w:snapToGrid w:val="0"/>
              <w:jc w:val="left"/>
              <w:rPr>
                <w:sz w:val="20"/>
                <w:szCs w:val="20"/>
              </w:rPr>
            </w:pPr>
            <w:r>
              <w:rPr>
                <w:sz w:val="20"/>
                <w:szCs w:val="20"/>
              </w:rPr>
              <w:t>项目设置一处废石场，基建期废石部分用于填充塌陷区，剩余部分全部堆存至废石场。营运期废石3万吨/年，全部堆存至废石场。项目尾矿12.4万吨/年全部排入银家沟尾矿库。废石场要委托有资质的单位进行设计与施工，按规范建设拦渣墙、截排水沟等防护措施。银家沟尾矿库设计与施工，按规范建设拦渣墙、截排水沟等措施。银家沟尾矿库闭库前，需完成接替尾矿库的初步设计和环评工作。</w:t>
            </w:r>
          </w:p>
        </w:tc>
        <w:tc>
          <w:tcPr>
            <w:tcW w:w="3047" w:type="dxa"/>
            <w:tcBorders>
              <w:top w:val="single" w:color="auto" w:sz="4" w:space="0"/>
              <w:bottom w:val="single" w:color="auto" w:sz="4" w:space="0"/>
            </w:tcBorders>
            <w:vAlign w:val="center"/>
          </w:tcPr>
          <w:p>
            <w:pPr>
              <w:rPr>
                <w:rFonts w:eastAsiaTheme="minorEastAsia"/>
                <w:sz w:val="20"/>
                <w:szCs w:val="20"/>
              </w:rPr>
            </w:pPr>
            <w:r>
              <w:rPr>
                <w:sz w:val="20"/>
                <w:szCs w:val="20"/>
              </w:rPr>
              <w:t>项目设置一处废石场，基建期废石部分用于填充塌陷区，剩余部分全部堆存至废石场。营运期废石3万吨/年，全部堆存至废石场。项目尾全部排入银家沟尾矿库。</w:t>
            </w:r>
            <w:r>
              <w:rPr>
                <w:b/>
                <w:sz w:val="20"/>
                <w:szCs w:val="20"/>
                <w:u w:val="single"/>
              </w:rPr>
              <w:t>河南有色岩土工程公司</w:t>
            </w:r>
            <w:r>
              <w:rPr>
                <w:rFonts w:hint="eastAsia"/>
                <w:b/>
                <w:sz w:val="20"/>
                <w:szCs w:val="20"/>
                <w:u w:val="single"/>
              </w:rPr>
              <w:t>对</w:t>
            </w:r>
            <w:r>
              <w:rPr>
                <w:b/>
                <w:sz w:val="20"/>
                <w:szCs w:val="20"/>
                <w:u w:val="single"/>
              </w:rPr>
              <w:t>本项目</w:t>
            </w:r>
            <w:r>
              <w:rPr>
                <w:rFonts w:hint="eastAsia"/>
                <w:b/>
                <w:sz w:val="20"/>
                <w:szCs w:val="20"/>
                <w:u w:val="single"/>
              </w:rPr>
              <w:t>废石场进行了规范设计，江苏大汉工程有限公司建设了本项目废石场，并按照设计建设了</w:t>
            </w:r>
            <w:r>
              <w:rPr>
                <w:b/>
                <w:sz w:val="20"/>
                <w:szCs w:val="20"/>
                <w:u w:val="single"/>
              </w:rPr>
              <w:t>拦渣墙、截排水沟等防护措施。</w:t>
            </w:r>
            <w:r>
              <w:rPr>
                <w:sz w:val="20"/>
                <w:szCs w:val="20"/>
              </w:rPr>
              <w:t>银家沟尾矿库设计与施工，按规范建设拦渣墙、截排水沟等措施。银家沟尾矿库闭库前，需完成接替尾矿库的初步设计和环评工作。</w:t>
            </w:r>
          </w:p>
        </w:tc>
        <w:tc>
          <w:tcPr>
            <w:tcW w:w="507" w:type="dxa"/>
            <w:tcBorders>
              <w:top w:val="single" w:color="auto" w:sz="4" w:space="0"/>
              <w:bottom w:val="single" w:color="auto" w:sz="4" w:space="0"/>
              <w:right w:val="single" w:color="auto" w:sz="12" w:space="0"/>
            </w:tcBorders>
            <w:vAlign w:val="center"/>
          </w:tcPr>
          <w:p>
            <w:pPr>
              <w:adjustRightInd w:val="0"/>
              <w:snapToGrid w:val="0"/>
              <w:jc w:val="center"/>
              <w:rPr>
                <w:rFonts w:eastAsiaTheme="minorEastAsia"/>
                <w:sz w:val="20"/>
                <w:szCs w:val="20"/>
              </w:rPr>
            </w:pPr>
            <w:r>
              <w:rPr>
                <w:rFonts w:eastAsiaTheme="minorEastAsia"/>
                <w:sz w:val="20"/>
                <w:szCs w:val="20"/>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6" w:type="dxa"/>
            <w:tcBorders>
              <w:top w:val="single" w:color="auto" w:sz="4" w:space="0"/>
              <w:left w:val="single" w:color="auto" w:sz="12" w:space="0"/>
              <w:bottom w:val="single" w:color="auto" w:sz="4" w:space="0"/>
            </w:tcBorders>
            <w:vAlign w:val="center"/>
          </w:tcPr>
          <w:p>
            <w:pPr>
              <w:adjustRightInd w:val="0"/>
              <w:snapToGrid w:val="0"/>
              <w:jc w:val="center"/>
              <w:rPr>
                <w:rFonts w:eastAsiaTheme="majorEastAsia"/>
                <w:sz w:val="20"/>
                <w:szCs w:val="20"/>
              </w:rPr>
            </w:pPr>
            <w:r>
              <w:rPr>
                <w:rFonts w:eastAsiaTheme="majorEastAsia"/>
                <w:sz w:val="20"/>
                <w:szCs w:val="20"/>
              </w:rPr>
              <w:t>三</w:t>
            </w:r>
          </w:p>
        </w:tc>
        <w:tc>
          <w:tcPr>
            <w:tcW w:w="1511" w:type="dxa"/>
            <w:tcBorders>
              <w:top w:val="single" w:color="auto" w:sz="4" w:space="0"/>
              <w:bottom w:val="single" w:color="auto" w:sz="4" w:space="0"/>
              <w:right w:val="single" w:color="auto" w:sz="6" w:space="0"/>
            </w:tcBorders>
            <w:vAlign w:val="center"/>
          </w:tcPr>
          <w:p>
            <w:pPr>
              <w:adjustRightInd w:val="0"/>
              <w:snapToGrid w:val="0"/>
              <w:rPr>
                <w:rFonts w:eastAsiaTheme="minorEastAsia"/>
                <w:sz w:val="20"/>
                <w:szCs w:val="20"/>
              </w:rPr>
            </w:pPr>
            <w:r>
              <w:rPr>
                <w:sz w:val="20"/>
                <w:szCs w:val="20"/>
              </w:rPr>
              <w:t>做好生产废水和生活污水的处理处置工作。</w:t>
            </w:r>
          </w:p>
        </w:tc>
        <w:tc>
          <w:tcPr>
            <w:tcW w:w="3047" w:type="dxa"/>
            <w:tcBorders>
              <w:top w:val="single" w:color="auto" w:sz="4" w:space="0"/>
              <w:left w:val="single" w:color="auto" w:sz="6" w:space="0"/>
              <w:bottom w:val="single" w:color="auto" w:sz="4" w:space="0"/>
            </w:tcBorders>
            <w:vAlign w:val="center"/>
          </w:tcPr>
          <w:p>
            <w:pPr>
              <w:adjustRightInd w:val="0"/>
              <w:snapToGrid w:val="0"/>
              <w:rPr>
                <w:sz w:val="20"/>
                <w:szCs w:val="20"/>
              </w:rPr>
            </w:pPr>
            <w:r>
              <w:rPr>
                <w:sz w:val="20"/>
                <w:szCs w:val="20"/>
              </w:rPr>
              <w:t>项目首采期矿井涌水量约为6910～9121立方米/天，部分用于矿区生产生活及周边居民点供水，多余部分直接排放至麻家河。生活污水、选矿废水与尾矿渣一并排放至尾矿库，尾矿库澄清水经絮凝车间处理后返回选产高位水池用于选矿生产，尾矿库澄清水不外排，选厂设置120立方米事故池，收集选厂事故状态下生产废水，尾矿库下游建设1600立方米事故池，并配套建设事故池与尾矿库之间的回水管路和备用发电系统，确保事故状态废水不外排。</w:t>
            </w:r>
          </w:p>
        </w:tc>
        <w:tc>
          <w:tcPr>
            <w:tcW w:w="3047" w:type="dxa"/>
            <w:tcBorders>
              <w:top w:val="single" w:color="auto" w:sz="4" w:space="0"/>
              <w:bottom w:val="single" w:color="auto" w:sz="4" w:space="0"/>
            </w:tcBorders>
            <w:vAlign w:val="center"/>
          </w:tcPr>
          <w:p>
            <w:pPr>
              <w:adjustRightInd w:val="0"/>
              <w:snapToGrid w:val="0"/>
              <w:rPr>
                <w:rFonts w:eastAsiaTheme="minorEastAsia"/>
                <w:sz w:val="20"/>
                <w:szCs w:val="20"/>
              </w:rPr>
            </w:pPr>
            <w:r>
              <w:rPr>
                <w:sz w:val="20"/>
                <w:szCs w:val="20"/>
              </w:rPr>
              <w:t>项目首采期矿井涌水量约为6400立方米/天，部分用于矿区生产生活及周边居民点供水，多余部分直接排放至麻家河。生活污水、选矿废水与尾矿渣一并排放至尾矿库，尾矿库澄清水经絮凝车间处理后返回选产高位水池用于选矿生产，尾矿库澄清水不外排，选厂设置120立方米事故池，收集选厂事故状态下生产废水，尾矿库下游建设1864立方米事故池，并配套建设事故池与尾矿库之间的回水管路和备用发电系统，确保事故状态废水不外排。</w:t>
            </w:r>
          </w:p>
        </w:tc>
        <w:tc>
          <w:tcPr>
            <w:tcW w:w="507" w:type="dxa"/>
            <w:tcBorders>
              <w:top w:val="single" w:color="auto" w:sz="4" w:space="0"/>
              <w:bottom w:val="single" w:color="auto" w:sz="4" w:space="0"/>
              <w:right w:val="single" w:color="auto" w:sz="12" w:space="0"/>
            </w:tcBorders>
            <w:vAlign w:val="center"/>
          </w:tcPr>
          <w:p>
            <w:pPr>
              <w:adjustRightInd w:val="0"/>
              <w:snapToGrid w:val="0"/>
              <w:jc w:val="center"/>
              <w:rPr>
                <w:rFonts w:eastAsiaTheme="minorEastAsia"/>
                <w:sz w:val="20"/>
                <w:szCs w:val="20"/>
              </w:rPr>
            </w:pPr>
            <w:r>
              <w:rPr>
                <w:rFonts w:eastAsiaTheme="minorEastAsia"/>
                <w:sz w:val="20"/>
                <w:szCs w:val="20"/>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6" w:type="dxa"/>
            <w:tcBorders>
              <w:top w:val="single" w:color="auto" w:sz="4" w:space="0"/>
              <w:left w:val="single" w:color="auto" w:sz="12" w:space="0"/>
              <w:bottom w:val="single" w:color="auto" w:sz="4" w:space="0"/>
            </w:tcBorders>
            <w:vAlign w:val="center"/>
          </w:tcPr>
          <w:p>
            <w:pPr>
              <w:adjustRightInd w:val="0"/>
              <w:snapToGrid w:val="0"/>
              <w:jc w:val="center"/>
              <w:rPr>
                <w:rFonts w:eastAsiaTheme="majorEastAsia"/>
                <w:sz w:val="20"/>
                <w:szCs w:val="20"/>
              </w:rPr>
            </w:pPr>
            <w:r>
              <w:rPr>
                <w:rFonts w:eastAsiaTheme="majorEastAsia"/>
                <w:sz w:val="20"/>
                <w:szCs w:val="20"/>
              </w:rPr>
              <w:t>四</w:t>
            </w:r>
          </w:p>
        </w:tc>
        <w:tc>
          <w:tcPr>
            <w:tcW w:w="1511" w:type="dxa"/>
            <w:tcBorders>
              <w:top w:val="single" w:color="auto" w:sz="4" w:space="0"/>
              <w:bottom w:val="single" w:color="auto" w:sz="4" w:space="0"/>
              <w:right w:val="single" w:color="auto" w:sz="6" w:space="0"/>
            </w:tcBorders>
            <w:vAlign w:val="center"/>
          </w:tcPr>
          <w:p>
            <w:pPr>
              <w:adjustRightInd w:val="0"/>
              <w:snapToGrid w:val="0"/>
              <w:rPr>
                <w:rFonts w:eastAsiaTheme="minorEastAsia"/>
                <w:sz w:val="20"/>
                <w:szCs w:val="20"/>
              </w:rPr>
            </w:pPr>
            <w:r>
              <w:rPr>
                <w:sz w:val="20"/>
                <w:szCs w:val="20"/>
              </w:rPr>
              <w:t>做好矿山、选厂、尾矿库及运输道路的烟尘与噪声控制工作。</w:t>
            </w:r>
          </w:p>
        </w:tc>
        <w:tc>
          <w:tcPr>
            <w:tcW w:w="3047" w:type="dxa"/>
            <w:tcBorders>
              <w:top w:val="single" w:color="auto" w:sz="4" w:space="0"/>
              <w:left w:val="single" w:color="auto" w:sz="6" w:space="0"/>
              <w:bottom w:val="single" w:color="auto" w:sz="4" w:space="0"/>
            </w:tcBorders>
            <w:vAlign w:val="center"/>
          </w:tcPr>
          <w:p>
            <w:pPr>
              <w:adjustRightInd w:val="0"/>
              <w:snapToGrid w:val="0"/>
              <w:rPr>
                <w:sz w:val="20"/>
                <w:szCs w:val="20"/>
              </w:rPr>
            </w:pPr>
            <w:r>
              <w:rPr>
                <w:sz w:val="20"/>
                <w:szCs w:val="20"/>
              </w:rPr>
              <w:t>对原矿堆场、废石场、尾矿库、运矿道路定时洒水抑尘；对运矿车辆采取苫盖篷布、禁鸣、限速、禁止夜间运输等综合防控措施，以降低或减轻粉尘及噪声对选厂、道路沿线等环境敏感点的不良影响。</w:t>
            </w:r>
          </w:p>
        </w:tc>
        <w:tc>
          <w:tcPr>
            <w:tcW w:w="3047" w:type="dxa"/>
            <w:tcBorders>
              <w:top w:val="single" w:color="auto" w:sz="4" w:space="0"/>
              <w:bottom w:val="single" w:color="auto" w:sz="4" w:space="0"/>
            </w:tcBorders>
            <w:vAlign w:val="center"/>
          </w:tcPr>
          <w:p>
            <w:pPr>
              <w:adjustRightInd w:val="0"/>
              <w:snapToGrid w:val="0"/>
              <w:rPr>
                <w:sz w:val="20"/>
                <w:szCs w:val="20"/>
              </w:rPr>
            </w:pPr>
            <w:r>
              <w:rPr>
                <w:sz w:val="20"/>
                <w:szCs w:val="20"/>
              </w:rPr>
              <w:t>对原矿堆场、废石场、尾矿库、运矿道路定时洒水抑尘；对运矿车辆采取苫盖篷布、禁鸣、限速、禁止夜间运输等综合防控措施，以降低或减轻粉尘及噪声对选厂、道路沿线等环境敏感点的不良影响。</w:t>
            </w:r>
          </w:p>
        </w:tc>
        <w:tc>
          <w:tcPr>
            <w:tcW w:w="507" w:type="dxa"/>
            <w:tcBorders>
              <w:top w:val="single" w:color="auto" w:sz="4" w:space="0"/>
              <w:bottom w:val="single" w:color="auto" w:sz="4" w:space="0"/>
              <w:right w:val="single" w:color="auto" w:sz="12" w:space="0"/>
            </w:tcBorders>
            <w:vAlign w:val="center"/>
          </w:tcPr>
          <w:p>
            <w:pPr>
              <w:adjustRightInd w:val="0"/>
              <w:snapToGrid w:val="0"/>
              <w:jc w:val="center"/>
              <w:rPr>
                <w:rFonts w:eastAsiaTheme="minorEastAsia"/>
                <w:sz w:val="20"/>
                <w:szCs w:val="20"/>
              </w:rPr>
            </w:pPr>
            <w:r>
              <w:rPr>
                <w:rFonts w:eastAsiaTheme="minorEastAsia"/>
                <w:sz w:val="20"/>
                <w:szCs w:val="20"/>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6" w:type="dxa"/>
            <w:tcBorders>
              <w:top w:val="single" w:color="auto" w:sz="4" w:space="0"/>
              <w:left w:val="single" w:color="auto" w:sz="12" w:space="0"/>
              <w:bottom w:val="single" w:color="auto" w:sz="4" w:space="0"/>
            </w:tcBorders>
            <w:vAlign w:val="center"/>
          </w:tcPr>
          <w:p>
            <w:pPr>
              <w:adjustRightInd w:val="0"/>
              <w:snapToGrid w:val="0"/>
              <w:jc w:val="center"/>
              <w:rPr>
                <w:rFonts w:eastAsiaTheme="majorEastAsia"/>
                <w:sz w:val="20"/>
                <w:szCs w:val="20"/>
              </w:rPr>
            </w:pPr>
            <w:r>
              <w:rPr>
                <w:rFonts w:eastAsiaTheme="majorEastAsia"/>
                <w:sz w:val="20"/>
                <w:szCs w:val="20"/>
              </w:rPr>
              <w:t>五</w:t>
            </w:r>
          </w:p>
        </w:tc>
        <w:tc>
          <w:tcPr>
            <w:tcW w:w="1511" w:type="dxa"/>
            <w:tcBorders>
              <w:top w:val="single" w:color="auto" w:sz="4" w:space="0"/>
              <w:bottom w:val="single" w:color="auto" w:sz="4" w:space="0"/>
              <w:right w:val="single" w:color="auto" w:sz="6" w:space="0"/>
            </w:tcBorders>
            <w:vAlign w:val="center"/>
          </w:tcPr>
          <w:p>
            <w:pPr>
              <w:adjustRightInd w:val="0"/>
              <w:snapToGrid w:val="0"/>
              <w:rPr>
                <w:rFonts w:eastAsiaTheme="minorEastAsia"/>
                <w:sz w:val="20"/>
                <w:szCs w:val="20"/>
              </w:rPr>
            </w:pPr>
            <w:r>
              <w:rPr>
                <w:sz w:val="20"/>
                <w:szCs w:val="20"/>
              </w:rPr>
              <w:t>做好生态保护及恢复工作。</w:t>
            </w:r>
          </w:p>
        </w:tc>
        <w:tc>
          <w:tcPr>
            <w:tcW w:w="3047" w:type="dxa"/>
            <w:tcBorders>
              <w:top w:val="single" w:color="auto" w:sz="4" w:space="0"/>
              <w:left w:val="single" w:color="auto" w:sz="6" w:space="0"/>
              <w:bottom w:val="single" w:color="auto" w:sz="4" w:space="0"/>
            </w:tcBorders>
            <w:vAlign w:val="center"/>
          </w:tcPr>
          <w:p>
            <w:pPr>
              <w:adjustRightInd w:val="0"/>
              <w:snapToGrid w:val="0"/>
              <w:rPr>
                <w:sz w:val="20"/>
                <w:szCs w:val="20"/>
              </w:rPr>
            </w:pPr>
            <w:r>
              <w:rPr>
                <w:sz w:val="20"/>
                <w:szCs w:val="20"/>
              </w:rPr>
              <w:t>运营期间，及时对废石进行整治，对地表沉陷进行观测、监控，对出现的塌陷坑、裂缝及时回填，稳定后覆土绿化。服务期满后，应按照相关要求闭库，将项目工业场地、废石场、尾矿库、地面塌陷区恢复为灌草地。要按照水利行政主管部门核准的水土保持方案，落实水土保持措施，做好矿区的水土保持工作。</w:t>
            </w:r>
          </w:p>
        </w:tc>
        <w:tc>
          <w:tcPr>
            <w:tcW w:w="3047" w:type="dxa"/>
            <w:tcBorders>
              <w:top w:val="single" w:color="auto" w:sz="4" w:space="0"/>
              <w:bottom w:val="single" w:color="auto" w:sz="4" w:space="0"/>
            </w:tcBorders>
            <w:vAlign w:val="center"/>
          </w:tcPr>
          <w:p>
            <w:pPr>
              <w:adjustRightInd w:val="0"/>
              <w:snapToGrid w:val="0"/>
              <w:rPr>
                <w:sz w:val="20"/>
                <w:szCs w:val="20"/>
              </w:rPr>
            </w:pPr>
            <w:r>
              <w:rPr>
                <w:sz w:val="20"/>
                <w:szCs w:val="20"/>
              </w:rPr>
              <w:t>运营期间，及时对废石进行整治，对地表沉陷进行观测、监控，对出现的塌陷坑、裂缝及时回填，稳定后覆土绿化。服务期满后，应按照相关要求闭库，将项目工业场地、废石场、尾矿库、地面塌陷区恢复为灌草地。要按照水利行政主管部门核准的水土保持方案，落实水土保持措施，做好矿区的水土保持工作。</w:t>
            </w:r>
          </w:p>
        </w:tc>
        <w:tc>
          <w:tcPr>
            <w:tcW w:w="507" w:type="dxa"/>
            <w:tcBorders>
              <w:top w:val="single" w:color="auto" w:sz="4" w:space="0"/>
              <w:bottom w:val="single" w:color="auto" w:sz="4" w:space="0"/>
              <w:right w:val="single" w:color="auto" w:sz="12" w:space="0"/>
            </w:tcBorders>
            <w:vAlign w:val="center"/>
          </w:tcPr>
          <w:p>
            <w:pPr>
              <w:adjustRightInd w:val="0"/>
              <w:snapToGrid w:val="0"/>
              <w:jc w:val="center"/>
              <w:rPr>
                <w:rFonts w:eastAsiaTheme="minorEastAsia"/>
                <w:sz w:val="20"/>
                <w:szCs w:val="20"/>
              </w:rPr>
            </w:pPr>
            <w:r>
              <w:rPr>
                <w:rFonts w:eastAsiaTheme="minorEastAsia"/>
                <w:sz w:val="20"/>
                <w:szCs w:val="20"/>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6" w:type="dxa"/>
            <w:tcBorders>
              <w:top w:val="single" w:color="auto" w:sz="4" w:space="0"/>
              <w:left w:val="single" w:color="auto" w:sz="12" w:space="0"/>
              <w:bottom w:val="single" w:color="auto" w:sz="4" w:space="0"/>
            </w:tcBorders>
            <w:vAlign w:val="center"/>
          </w:tcPr>
          <w:p>
            <w:pPr>
              <w:adjustRightInd w:val="0"/>
              <w:snapToGrid w:val="0"/>
              <w:jc w:val="center"/>
              <w:rPr>
                <w:rFonts w:eastAsiaTheme="majorEastAsia"/>
                <w:sz w:val="20"/>
                <w:szCs w:val="20"/>
              </w:rPr>
            </w:pPr>
            <w:r>
              <w:rPr>
                <w:rFonts w:eastAsiaTheme="majorEastAsia"/>
                <w:sz w:val="20"/>
                <w:szCs w:val="20"/>
              </w:rPr>
              <w:t>六</w:t>
            </w:r>
          </w:p>
        </w:tc>
        <w:tc>
          <w:tcPr>
            <w:tcW w:w="1511" w:type="dxa"/>
            <w:tcBorders>
              <w:top w:val="single" w:color="auto" w:sz="4" w:space="0"/>
              <w:bottom w:val="single" w:color="auto" w:sz="4" w:space="0"/>
              <w:right w:val="single" w:color="auto" w:sz="6" w:space="0"/>
            </w:tcBorders>
            <w:vAlign w:val="center"/>
          </w:tcPr>
          <w:p>
            <w:pPr>
              <w:adjustRightInd w:val="0"/>
              <w:snapToGrid w:val="0"/>
              <w:rPr>
                <w:rFonts w:eastAsiaTheme="minorEastAsia"/>
                <w:sz w:val="20"/>
                <w:szCs w:val="20"/>
              </w:rPr>
            </w:pPr>
            <w:r>
              <w:rPr>
                <w:sz w:val="20"/>
                <w:szCs w:val="20"/>
              </w:rPr>
              <w:t>在建设施工期，应委托有换进工程监理资质的机构及人员进行全程监理，工程监理报告将作为批准试生产和竣工环保验收的依据之一。</w:t>
            </w:r>
          </w:p>
        </w:tc>
        <w:tc>
          <w:tcPr>
            <w:tcW w:w="3047" w:type="dxa"/>
            <w:tcBorders>
              <w:top w:val="single" w:color="auto" w:sz="4" w:space="0"/>
              <w:left w:val="single" w:color="auto" w:sz="6" w:space="0"/>
              <w:bottom w:val="single" w:color="auto" w:sz="4" w:space="0"/>
            </w:tcBorders>
            <w:vAlign w:val="center"/>
          </w:tcPr>
          <w:p>
            <w:pPr>
              <w:adjustRightInd w:val="0"/>
              <w:snapToGrid w:val="0"/>
              <w:rPr>
                <w:sz w:val="20"/>
                <w:szCs w:val="20"/>
              </w:rPr>
            </w:pPr>
            <w:r>
              <w:rPr>
                <w:sz w:val="20"/>
                <w:szCs w:val="20"/>
              </w:rPr>
              <w:t>应建立健全环保责任制度，指定专人负责选厂的环保管理工作，建立尾矿库运行管理档案制度， 制定并实施矿区生态恢复计划和环境风险事故应急预案。</w:t>
            </w:r>
          </w:p>
        </w:tc>
        <w:tc>
          <w:tcPr>
            <w:tcW w:w="3047" w:type="dxa"/>
            <w:tcBorders>
              <w:top w:val="single" w:color="auto" w:sz="4" w:space="0"/>
              <w:bottom w:val="single" w:color="auto" w:sz="4" w:space="0"/>
            </w:tcBorders>
            <w:vAlign w:val="center"/>
          </w:tcPr>
          <w:p>
            <w:pPr>
              <w:adjustRightInd w:val="0"/>
              <w:snapToGrid w:val="0"/>
              <w:rPr>
                <w:sz w:val="20"/>
                <w:szCs w:val="20"/>
              </w:rPr>
            </w:pPr>
            <w:r>
              <w:rPr>
                <w:sz w:val="20"/>
                <w:szCs w:val="20"/>
              </w:rPr>
              <w:t>已建立健全环保责任制度，指定专人负责选厂的环保管理工作，建立尾矿库运行管理档案制度， 制定并实施矿区生态恢复计划和环境风险事故应急预案。</w:t>
            </w:r>
          </w:p>
        </w:tc>
        <w:tc>
          <w:tcPr>
            <w:tcW w:w="507" w:type="dxa"/>
            <w:tcBorders>
              <w:top w:val="single" w:color="auto" w:sz="4" w:space="0"/>
              <w:bottom w:val="single" w:color="auto" w:sz="4" w:space="0"/>
              <w:right w:val="single" w:color="auto" w:sz="12" w:space="0"/>
            </w:tcBorders>
            <w:vAlign w:val="center"/>
          </w:tcPr>
          <w:p>
            <w:pPr>
              <w:adjustRightInd w:val="0"/>
              <w:snapToGrid w:val="0"/>
              <w:jc w:val="center"/>
              <w:rPr>
                <w:rFonts w:eastAsiaTheme="minorEastAsia"/>
                <w:sz w:val="20"/>
                <w:szCs w:val="20"/>
              </w:rPr>
            </w:pPr>
            <w:r>
              <w:rPr>
                <w:rFonts w:eastAsiaTheme="minorEastAsia"/>
                <w:sz w:val="20"/>
                <w:szCs w:val="20"/>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6" w:type="dxa"/>
            <w:tcBorders>
              <w:top w:val="single" w:color="auto" w:sz="4" w:space="0"/>
              <w:left w:val="single" w:color="auto" w:sz="12" w:space="0"/>
              <w:bottom w:val="single" w:color="auto" w:sz="12" w:space="0"/>
            </w:tcBorders>
            <w:vAlign w:val="center"/>
          </w:tcPr>
          <w:p>
            <w:pPr>
              <w:adjustRightInd w:val="0"/>
              <w:snapToGrid w:val="0"/>
              <w:jc w:val="center"/>
              <w:rPr>
                <w:rFonts w:eastAsiaTheme="majorEastAsia"/>
                <w:sz w:val="20"/>
                <w:szCs w:val="20"/>
              </w:rPr>
            </w:pPr>
            <w:r>
              <w:rPr>
                <w:rFonts w:eastAsiaTheme="majorEastAsia"/>
                <w:sz w:val="20"/>
                <w:szCs w:val="20"/>
              </w:rPr>
              <w:t>七</w:t>
            </w:r>
          </w:p>
        </w:tc>
        <w:tc>
          <w:tcPr>
            <w:tcW w:w="1511" w:type="dxa"/>
            <w:tcBorders>
              <w:top w:val="single" w:color="auto" w:sz="4" w:space="0"/>
              <w:bottom w:val="single" w:color="auto" w:sz="12" w:space="0"/>
              <w:right w:val="single" w:color="auto" w:sz="6" w:space="0"/>
            </w:tcBorders>
            <w:vAlign w:val="center"/>
          </w:tcPr>
          <w:p>
            <w:pPr>
              <w:adjustRightInd w:val="0"/>
              <w:snapToGrid w:val="0"/>
              <w:rPr>
                <w:rFonts w:eastAsiaTheme="minorEastAsia"/>
                <w:sz w:val="20"/>
                <w:szCs w:val="20"/>
              </w:rPr>
            </w:pPr>
            <w:r>
              <w:rPr>
                <w:sz w:val="20"/>
                <w:szCs w:val="20"/>
              </w:rPr>
              <w:t>在项目建设和实施过程中，你公司要切实遵守环境保护“三同时”制度，自觉接受三门峡市级灵宝市环保部门的日常监督管理。</w:t>
            </w:r>
          </w:p>
        </w:tc>
        <w:tc>
          <w:tcPr>
            <w:tcW w:w="3047" w:type="dxa"/>
            <w:tcBorders>
              <w:top w:val="single" w:color="auto" w:sz="4" w:space="0"/>
              <w:left w:val="single" w:color="auto" w:sz="6" w:space="0"/>
              <w:bottom w:val="single" w:color="auto" w:sz="12" w:space="0"/>
            </w:tcBorders>
            <w:vAlign w:val="center"/>
          </w:tcPr>
          <w:p>
            <w:pPr>
              <w:adjustRightInd w:val="0"/>
              <w:snapToGrid w:val="0"/>
              <w:rPr>
                <w:sz w:val="20"/>
                <w:szCs w:val="20"/>
              </w:rPr>
            </w:pPr>
            <w:r>
              <w:rPr>
                <w:sz w:val="20"/>
                <w:szCs w:val="20"/>
              </w:rPr>
              <w:t>项目建成后需及时依法申请试运行和环境保护竣工验收，未经我厅验收或验收不合格，不得正式投入生产。</w:t>
            </w:r>
          </w:p>
        </w:tc>
        <w:tc>
          <w:tcPr>
            <w:tcW w:w="3047" w:type="dxa"/>
            <w:tcBorders>
              <w:top w:val="single" w:color="auto" w:sz="4" w:space="0"/>
              <w:bottom w:val="single" w:color="auto" w:sz="12" w:space="0"/>
            </w:tcBorders>
            <w:vAlign w:val="center"/>
          </w:tcPr>
          <w:p>
            <w:pPr>
              <w:adjustRightInd w:val="0"/>
              <w:snapToGrid w:val="0"/>
              <w:rPr>
                <w:sz w:val="20"/>
                <w:szCs w:val="20"/>
              </w:rPr>
            </w:pPr>
            <w:r>
              <w:rPr>
                <w:sz w:val="20"/>
                <w:szCs w:val="20"/>
              </w:rPr>
              <w:t>项目建成后依法环境保护竣工验收，目前尚未正式生产。</w:t>
            </w:r>
          </w:p>
        </w:tc>
        <w:tc>
          <w:tcPr>
            <w:tcW w:w="507" w:type="dxa"/>
            <w:tcBorders>
              <w:top w:val="single" w:color="auto" w:sz="4" w:space="0"/>
              <w:bottom w:val="single" w:color="auto" w:sz="12" w:space="0"/>
              <w:right w:val="single" w:color="auto" w:sz="12" w:space="0"/>
            </w:tcBorders>
            <w:vAlign w:val="center"/>
          </w:tcPr>
          <w:p>
            <w:pPr>
              <w:adjustRightInd w:val="0"/>
              <w:snapToGrid w:val="0"/>
              <w:jc w:val="center"/>
              <w:rPr>
                <w:rFonts w:eastAsiaTheme="minorEastAsia"/>
                <w:sz w:val="20"/>
                <w:szCs w:val="20"/>
              </w:rPr>
            </w:pPr>
            <w:r>
              <w:rPr>
                <w:rFonts w:eastAsiaTheme="minorEastAsia"/>
                <w:sz w:val="20"/>
                <w:szCs w:val="20"/>
              </w:rPr>
              <w:t>已落实</w:t>
            </w:r>
          </w:p>
        </w:tc>
      </w:tr>
    </w:tbl>
    <w:p>
      <w:bookmarkStart w:id="451" w:name="_Toc420663673"/>
      <w:bookmarkStart w:id="452" w:name="_Toc326681033"/>
      <w:bookmarkStart w:id="453" w:name="_Toc322624399"/>
      <w:bookmarkStart w:id="454" w:name="_Toc407217355"/>
      <w:bookmarkStart w:id="455" w:name="_Toc406504207"/>
      <w:bookmarkStart w:id="456" w:name="_Toc407153489"/>
      <w:bookmarkStart w:id="457" w:name="_Toc325611107"/>
      <w:bookmarkStart w:id="458" w:name="_Toc322621489"/>
    </w:p>
    <w:p>
      <w:pPr>
        <w:sectPr>
          <w:pgSz w:w="11906" w:h="16838"/>
          <w:pgMar w:top="1440" w:right="1797" w:bottom="1440" w:left="1797" w:header="851" w:footer="992" w:gutter="0"/>
          <w:cols w:space="425" w:num="1"/>
          <w:docGrid w:linePitch="312" w:charSpace="0"/>
        </w:sectPr>
      </w:pPr>
    </w:p>
    <w:p>
      <w:pPr>
        <w:pStyle w:val="10"/>
        <w:spacing w:line="360" w:lineRule="auto"/>
        <w:rPr>
          <w:rFonts w:ascii="Times New Roman" w:hAnsi="Times New Roman"/>
        </w:rPr>
      </w:pPr>
      <w:bookmarkStart w:id="459" w:name="_Toc470358687"/>
      <w:r>
        <w:rPr>
          <w:rFonts w:ascii="Times New Roman" w:hAnsi="Times New Roman"/>
        </w:rPr>
        <w:t>4.3 环保投资落实情况</w:t>
      </w:r>
    </w:p>
    <w:p>
      <w:pPr>
        <w:spacing w:line="360" w:lineRule="auto"/>
        <w:ind w:firstLine="480" w:firstLineChars="200"/>
        <w:rPr>
          <w:rFonts w:eastAsia="黑体"/>
          <w:sz w:val="24"/>
        </w:rPr>
      </w:pPr>
      <w:r>
        <w:rPr>
          <w:sz w:val="24"/>
        </w:rPr>
        <w:t>遗留环保问题整改措施落实情况具体见表4.3-1。</w:t>
      </w:r>
    </w:p>
    <w:p>
      <w:pPr>
        <w:ind w:firstLine="440" w:firstLineChars="200"/>
        <w:rPr>
          <w:rFonts w:eastAsia="黑体"/>
          <w:sz w:val="22"/>
          <w:szCs w:val="22"/>
        </w:rPr>
      </w:pPr>
      <w:r>
        <w:rPr>
          <w:rFonts w:eastAsia="黑体"/>
          <w:sz w:val="22"/>
          <w:szCs w:val="22"/>
        </w:rPr>
        <w:t>表4.3-1             遗留环保问题措施落实情况一览表</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5"/>
        <w:gridCol w:w="768"/>
        <w:gridCol w:w="682"/>
        <w:gridCol w:w="2303"/>
        <w:gridCol w:w="2308"/>
        <w:gridCol w:w="737"/>
        <w:gridCol w:w="708"/>
        <w:gridCol w:w="6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173" w:type="dxa"/>
            <w:gridSpan w:val="2"/>
            <w:vAlign w:val="center"/>
          </w:tcPr>
          <w:p>
            <w:pPr>
              <w:adjustRightInd w:val="0"/>
              <w:snapToGrid w:val="0"/>
              <w:jc w:val="center"/>
              <w:rPr>
                <w:sz w:val="20"/>
                <w:szCs w:val="20"/>
              </w:rPr>
            </w:pPr>
            <w:r>
              <w:rPr>
                <w:sz w:val="20"/>
                <w:szCs w:val="20"/>
              </w:rPr>
              <w:t>项目</w:t>
            </w:r>
          </w:p>
        </w:tc>
        <w:tc>
          <w:tcPr>
            <w:tcW w:w="682" w:type="dxa"/>
            <w:vAlign w:val="center"/>
          </w:tcPr>
          <w:p>
            <w:pPr>
              <w:adjustRightInd w:val="0"/>
              <w:snapToGrid w:val="0"/>
              <w:jc w:val="center"/>
              <w:rPr>
                <w:sz w:val="20"/>
                <w:szCs w:val="20"/>
              </w:rPr>
            </w:pPr>
            <w:r>
              <w:rPr>
                <w:sz w:val="20"/>
                <w:szCs w:val="20"/>
              </w:rPr>
              <w:t>存在问题</w:t>
            </w:r>
          </w:p>
        </w:tc>
        <w:tc>
          <w:tcPr>
            <w:tcW w:w="2303" w:type="dxa"/>
            <w:vAlign w:val="center"/>
          </w:tcPr>
          <w:p>
            <w:pPr>
              <w:adjustRightInd w:val="0"/>
              <w:snapToGrid w:val="0"/>
              <w:jc w:val="center"/>
              <w:rPr>
                <w:sz w:val="20"/>
                <w:szCs w:val="20"/>
              </w:rPr>
            </w:pPr>
            <w:r>
              <w:rPr>
                <w:sz w:val="20"/>
                <w:szCs w:val="20"/>
              </w:rPr>
              <w:t>环评提出整改措施</w:t>
            </w:r>
          </w:p>
        </w:tc>
        <w:tc>
          <w:tcPr>
            <w:tcW w:w="2308" w:type="dxa"/>
            <w:vAlign w:val="center"/>
          </w:tcPr>
          <w:p>
            <w:pPr>
              <w:adjustRightInd w:val="0"/>
              <w:snapToGrid w:val="0"/>
              <w:jc w:val="center"/>
              <w:rPr>
                <w:sz w:val="20"/>
                <w:szCs w:val="20"/>
              </w:rPr>
            </w:pPr>
            <w:r>
              <w:rPr>
                <w:sz w:val="20"/>
                <w:szCs w:val="20"/>
              </w:rPr>
              <w:t>实际整改措施</w:t>
            </w:r>
          </w:p>
        </w:tc>
        <w:tc>
          <w:tcPr>
            <w:tcW w:w="737" w:type="dxa"/>
            <w:vAlign w:val="center"/>
          </w:tcPr>
          <w:p>
            <w:pPr>
              <w:adjustRightInd w:val="0"/>
              <w:snapToGrid w:val="0"/>
              <w:jc w:val="center"/>
              <w:rPr>
                <w:sz w:val="20"/>
                <w:szCs w:val="20"/>
              </w:rPr>
            </w:pPr>
            <w:r>
              <w:rPr>
                <w:sz w:val="20"/>
                <w:szCs w:val="20"/>
              </w:rPr>
              <w:t>落实情况</w:t>
            </w:r>
          </w:p>
        </w:tc>
        <w:tc>
          <w:tcPr>
            <w:tcW w:w="708" w:type="dxa"/>
          </w:tcPr>
          <w:p>
            <w:pPr>
              <w:adjustRightInd w:val="0"/>
              <w:snapToGrid w:val="0"/>
              <w:jc w:val="center"/>
              <w:rPr>
                <w:sz w:val="20"/>
                <w:szCs w:val="20"/>
              </w:rPr>
            </w:pPr>
            <w:r>
              <w:rPr>
                <w:sz w:val="20"/>
                <w:szCs w:val="20"/>
              </w:rPr>
              <w:t>环评估算（万元）</w:t>
            </w:r>
          </w:p>
        </w:tc>
        <w:tc>
          <w:tcPr>
            <w:tcW w:w="617" w:type="dxa"/>
          </w:tcPr>
          <w:p>
            <w:pPr>
              <w:adjustRightInd w:val="0"/>
              <w:snapToGrid w:val="0"/>
              <w:jc w:val="center"/>
              <w:rPr>
                <w:sz w:val="20"/>
                <w:szCs w:val="20"/>
              </w:rPr>
            </w:pPr>
            <w:r>
              <w:rPr>
                <w:sz w:val="20"/>
                <w:szCs w:val="20"/>
              </w:rPr>
              <w:t>实际投资（万元）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restart"/>
            <w:vAlign w:val="center"/>
          </w:tcPr>
          <w:p>
            <w:pPr>
              <w:adjustRightInd w:val="0"/>
              <w:snapToGrid w:val="0"/>
              <w:jc w:val="center"/>
              <w:rPr>
                <w:sz w:val="20"/>
                <w:szCs w:val="20"/>
              </w:rPr>
            </w:pPr>
            <w:r>
              <w:rPr>
                <w:sz w:val="20"/>
                <w:szCs w:val="20"/>
              </w:rPr>
              <w:t>采矿</w:t>
            </w:r>
          </w:p>
        </w:tc>
        <w:tc>
          <w:tcPr>
            <w:tcW w:w="768" w:type="dxa"/>
            <w:vAlign w:val="center"/>
          </w:tcPr>
          <w:p>
            <w:pPr>
              <w:adjustRightInd w:val="0"/>
              <w:snapToGrid w:val="0"/>
              <w:jc w:val="center"/>
              <w:rPr>
                <w:sz w:val="20"/>
                <w:szCs w:val="20"/>
              </w:rPr>
            </w:pPr>
            <w:r>
              <w:rPr>
                <w:sz w:val="20"/>
                <w:szCs w:val="20"/>
              </w:rPr>
              <w:t>采矿</w:t>
            </w:r>
          </w:p>
        </w:tc>
        <w:tc>
          <w:tcPr>
            <w:tcW w:w="682" w:type="dxa"/>
            <w:vAlign w:val="center"/>
          </w:tcPr>
          <w:p>
            <w:pPr>
              <w:adjustRightInd w:val="0"/>
              <w:snapToGrid w:val="0"/>
              <w:rPr>
                <w:sz w:val="20"/>
                <w:szCs w:val="20"/>
              </w:rPr>
            </w:pPr>
            <w:r>
              <w:rPr>
                <w:sz w:val="20"/>
                <w:szCs w:val="20"/>
              </w:rPr>
              <w:t>地面塌陷两处</w:t>
            </w:r>
          </w:p>
        </w:tc>
        <w:tc>
          <w:tcPr>
            <w:tcW w:w="2303" w:type="dxa"/>
            <w:vAlign w:val="center"/>
          </w:tcPr>
          <w:p>
            <w:pPr>
              <w:adjustRightInd w:val="0"/>
              <w:snapToGrid w:val="0"/>
              <w:rPr>
                <w:sz w:val="20"/>
                <w:szCs w:val="20"/>
              </w:rPr>
            </w:pPr>
            <w:r>
              <w:rPr>
                <w:sz w:val="20"/>
                <w:szCs w:val="20"/>
              </w:rPr>
              <w:t>废石进行填充塌陷坑，填充后覆土、平整、绿化</w:t>
            </w:r>
          </w:p>
        </w:tc>
        <w:tc>
          <w:tcPr>
            <w:tcW w:w="2308" w:type="dxa"/>
            <w:vAlign w:val="center"/>
          </w:tcPr>
          <w:p>
            <w:pPr>
              <w:adjustRightInd w:val="0"/>
              <w:snapToGrid w:val="0"/>
              <w:rPr>
                <w:sz w:val="20"/>
                <w:szCs w:val="20"/>
              </w:rPr>
            </w:pPr>
            <w:r>
              <w:rPr>
                <w:sz w:val="20"/>
                <w:szCs w:val="20"/>
              </w:rPr>
              <w:t>基建期产生的废石已对塌陷处进行了填充，填充面积分别为</w:t>
            </w:r>
            <w:r>
              <w:rPr>
                <w:rFonts w:hint="eastAsia"/>
                <w:sz w:val="20"/>
                <w:szCs w:val="20"/>
              </w:rPr>
              <w:t>4900m</w:t>
            </w:r>
            <w:r>
              <w:rPr>
                <w:rFonts w:hint="eastAsia"/>
                <w:sz w:val="20"/>
                <w:szCs w:val="20"/>
                <w:vertAlign w:val="superscript"/>
              </w:rPr>
              <w:t>2</w:t>
            </w:r>
            <w:r>
              <w:rPr>
                <w:rFonts w:hint="eastAsia"/>
                <w:sz w:val="20"/>
                <w:szCs w:val="20"/>
              </w:rPr>
              <w:t>和6100m</w:t>
            </w:r>
            <w:r>
              <w:rPr>
                <w:rFonts w:hint="eastAsia"/>
                <w:sz w:val="20"/>
                <w:szCs w:val="20"/>
                <w:vertAlign w:val="superscript"/>
              </w:rPr>
              <w:t>2</w:t>
            </w:r>
            <w:r>
              <w:rPr>
                <w:rFonts w:hint="eastAsia"/>
                <w:sz w:val="20"/>
                <w:szCs w:val="20"/>
              </w:rPr>
              <w:t>。</w:t>
            </w:r>
            <w:r>
              <w:rPr>
                <w:sz w:val="20"/>
                <w:szCs w:val="20"/>
              </w:rPr>
              <w:t>并覆土播撒草籽</w:t>
            </w:r>
          </w:p>
        </w:tc>
        <w:tc>
          <w:tcPr>
            <w:tcW w:w="737" w:type="dxa"/>
            <w:vAlign w:val="center"/>
          </w:tcPr>
          <w:p>
            <w:pPr>
              <w:adjustRightInd w:val="0"/>
              <w:snapToGrid w:val="0"/>
              <w:jc w:val="center"/>
              <w:rPr>
                <w:sz w:val="20"/>
                <w:szCs w:val="20"/>
              </w:rPr>
            </w:pPr>
            <w:r>
              <w:rPr>
                <w:sz w:val="20"/>
                <w:szCs w:val="20"/>
              </w:rPr>
              <w:t>已整改</w:t>
            </w:r>
          </w:p>
        </w:tc>
        <w:tc>
          <w:tcPr>
            <w:tcW w:w="708" w:type="dxa"/>
            <w:vAlign w:val="center"/>
          </w:tcPr>
          <w:p>
            <w:pPr>
              <w:adjustRightInd w:val="0"/>
              <w:snapToGrid w:val="0"/>
              <w:jc w:val="center"/>
              <w:rPr>
                <w:sz w:val="20"/>
                <w:szCs w:val="20"/>
              </w:rPr>
            </w:pPr>
            <w:r>
              <w:rPr>
                <w:sz w:val="20"/>
                <w:szCs w:val="20"/>
              </w:rPr>
              <w:t>6</w:t>
            </w:r>
          </w:p>
        </w:tc>
        <w:tc>
          <w:tcPr>
            <w:tcW w:w="617" w:type="dxa"/>
            <w:vAlign w:val="center"/>
          </w:tcPr>
          <w:p>
            <w:pPr>
              <w:adjustRightInd w:val="0"/>
              <w:snapToGrid w:val="0"/>
              <w:jc w:val="center"/>
              <w:rPr>
                <w:sz w:val="20"/>
                <w:szCs w:val="20"/>
              </w:rPr>
            </w:pPr>
            <w:r>
              <w:rPr>
                <w:sz w:val="20"/>
                <w:szCs w:val="20"/>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vAlign w:val="center"/>
          </w:tcPr>
          <w:p>
            <w:pPr>
              <w:adjustRightInd w:val="0"/>
              <w:snapToGrid w:val="0"/>
              <w:jc w:val="center"/>
              <w:rPr>
                <w:sz w:val="20"/>
                <w:szCs w:val="20"/>
              </w:rPr>
            </w:pPr>
          </w:p>
        </w:tc>
        <w:tc>
          <w:tcPr>
            <w:tcW w:w="768" w:type="dxa"/>
            <w:vAlign w:val="center"/>
          </w:tcPr>
          <w:p>
            <w:pPr>
              <w:adjustRightInd w:val="0"/>
              <w:snapToGrid w:val="0"/>
              <w:jc w:val="center"/>
              <w:rPr>
                <w:sz w:val="20"/>
                <w:szCs w:val="20"/>
              </w:rPr>
            </w:pPr>
            <w:r>
              <w:rPr>
                <w:sz w:val="20"/>
                <w:szCs w:val="20"/>
              </w:rPr>
              <w:t>废石堆场</w:t>
            </w:r>
          </w:p>
        </w:tc>
        <w:tc>
          <w:tcPr>
            <w:tcW w:w="682" w:type="dxa"/>
            <w:vAlign w:val="center"/>
          </w:tcPr>
          <w:p>
            <w:pPr>
              <w:adjustRightInd w:val="0"/>
              <w:snapToGrid w:val="0"/>
              <w:rPr>
                <w:sz w:val="20"/>
                <w:szCs w:val="20"/>
              </w:rPr>
            </w:pPr>
            <w:r>
              <w:rPr>
                <w:sz w:val="20"/>
                <w:szCs w:val="20"/>
              </w:rPr>
              <w:t>无截水沟雨水和雨水收集池；</w:t>
            </w:r>
          </w:p>
          <w:p>
            <w:pPr>
              <w:adjustRightInd w:val="0"/>
              <w:snapToGrid w:val="0"/>
              <w:rPr>
                <w:sz w:val="20"/>
                <w:szCs w:val="20"/>
              </w:rPr>
            </w:pPr>
            <w:r>
              <w:rPr>
                <w:sz w:val="20"/>
                <w:szCs w:val="20"/>
              </w:rPr>
              <w:t>无抑尘措施</w:t>
            </w:r>
          </w:p>
        </w:tc>
        <w:tc>
          <w:tcPr>
            <w:tcW w:w="2303" w:type="dxa"/>
            <w:vAlign w:val="center"/>
          </w:tcPr>
          <w:p>
            <w:pPr>
              <w:adjustRightInd w:val="0"/>
              <w:snapToGrid w:val="0"/>
              <w:rPr>
                <w:sz w:val="20"/>
                <w:szCs w:val="20"/>
              </w:rPr>
            </w:pPr>
            <w:r>
              <w:rPr>
                <w:sz w:val="20"/>
                <w:szCs w:val="20"/>
              </w:rPr>
              <w:t>在废石堆场周边修建浆砌石截水沟和雨水收集池。加强对废水堆场下游雨水收集池水质监测，若水有酸化，则投加石灰处理。洒水抑尘</w:t>
            </w:r>
          </w:p>
        </w:tc>
        <w:tc>
          <w:tcPr>
            <w:tcW w:w="2308" w:type="dxa"/>
            <w:vAlign w:val="center"/>
          </w:tcPr>
          <w:p>
            <w:pPr>
              <w:adjustRightInd w:val="0"/>
              <w:snapToGrid w:val="0"/>
              <w:rPr>
                <w:sz w:val="20"/>
                <w:szCs w:val="20"/>
              </w:rPr>
            </w:pPr>
            <w:r>
              <w:rPr>
                <w:sz w:val="20"/>
                <w:szCs w:val="20"/>
              </w:rPr>
              <w:t>废石堆场上游设置截水沟，下游设置2m拦渣墙，并设置雨水收集池，雨季对雨水收集池内进行检测，如有酸化添加石灰处理。</w:t>
            </w:r>
            <w:r>
              <w:rPr>
                <w:rFonts w:hint="eastAsia"/>
                <w:sz w:val="20"/>
                <w:szCs w:val="20"/>
              </w:rPr>
              <w:t>废石堆场</w:t>
            </w:r>
            <w:r>
              <w:rPr>
                <w:sz w:val="20"/>
                <w:szCs w:val="20"/>
              </w:rPr>
              <w:t>设置移动式洒水喷头</w:t>
            </w:r>
            <w:r>
              <w:rPr>
                <w:rFonts w:hint="eastAsia"/>
                <w:sz w:val="20"/>
                <w:szCs w:val="20"/>
              </w:rPr>
              <w:t>3个，定期洒水抑尘。</w:t>
            </w:r>
          </w:p>
        </w:tc>
        <w:tc>
          <w:tcPr>
            <w:tcW w:w="737" w:type="dxa"/>
            <w:vAlign w:val="center"/>
          </w:tcPr>
          <w:p>
            <w:pPr>
              <w:adjustRightInd w:val="0"/>
              <w:snapToGrid w:val="0"/>
              <w:jc w:val="center"/>
              <w:rPr>
                <w:sz w:val="20"/>
                <w:szCs w:val="20"/>
              </w:rPr>
            </w:pPr>
            <w:r>
              <w:rPr>
                <w:sz w:val="20"/>
                <w:szCs w:val="20"/>
              </w:rPr>
              <w:t>已整改</w:t>
            </w:r>
          </w:p>
        </w:tc>
        <w:tc>
          <w:tcPr>
            <w:tcW w:w="708" w:type="dxa"/>
            <w:vAlign w:val="center"/>
          </w:tcPr>
          <w:p>
            <w:pPr>
              <w:adjustRightInd w:val="0"/>
              <w:snapToGrid w:val="0"/>
              <w:jc w:val="center"/>
              <w:rPr>
                <w:sz w:val="20"/>
                <w:szCs w:val="20"/>
              </w:rPr>
            </w:pPr>
            <w:r>
              <w:rPr>
                <w:sz w:val="20"/>
                <w:szCs w:val="20"/>
              </w:rPr>
              <w:t>10</w:t>
            </w:r>
          </w:p>
        </w:tc>
        <w:tc>
          <w:tcPr>
            <w:tcW w:w="617" w:type="dxa"/>
            <w:vAlign w:val="center"/>
          </w:tcPr>
          <w:p>
            <w:pPr>
              <w:adjustRightInd w:val="0"/>
              <w:snapToGrid w:val="0"/>
              <w:jc w:val="center"/>
              <w:rPr>
                <w:sz w:val="20"/>
                <w:szCs w:val="20"/>
              </w:rPr>
            </w:pPr>
            <w:r>
              <w:rPr>
                <w:sz w:val="20"/>
                <w:szCs w:val="20"/>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restart"/>
            <w:vAlign w:val="center"/>
          </w:tcPr>
          <w:p>
            <w:pPr>
              <w:adjustRightInd w:val="0"/>
              <w:snapToGrid w:val="0"/>
              <w:jc w:val="center"/>
              <w:rPr>
                <w:sz w:val="20"/>
                <w:szCs w:val="20"/>
              </w:rPr>
            </w:pPr>
            <w:r>
              <w:rPr>
                <w:sz w:val="20"/>
                <w:szCs w:val="20"/>
              </w:rPr>
              <w:t>650t/d选矿</w:t>
            </w:r>
          </w:p>
        </w:tc>
        <w:tc>
          <w:tcPr>
            <w:tcW w:w="768" w:type="dxa"/>
            <w:vAlign w:val="center"/>
          </w:tcPr>
          <w:p>
            <w:pPr>
              <w:adjustRightInd w:val="0"/>
              <w:snapToGrid w:val="0"/>
              <w:jc w:val="center"/>
              <w:rPr>
                <w:sz w:val="20"/>
                <w:szCs w:val="20"/>
              </w:rPr>
            </w:pPr>
            <w:r>
              <w:rPr>
                <w:sz w:val="20"/>
                <w:szCs w:val="20"/>
              </w:rPr>
              <w:t>破碎车间</w:t>
            </w:r>
          </w:p>
        </w:tc>
        <w:tc>
          <w:tcPr>
            <w:tcW w:w="682" w:type="dxa"/>
            <w:vMerge w:val="restart"/>
            <w:vAlign w:val="center"/>
          </w:tcPr>
          <w:p>
            <w:pPr>
              <w:adjustRightInd w:val="0"/>
              <w:snapToGrid w:val="0"/>
              <w:rPr>
                <w:sz w:val="20"/>
                <w:szCs w:val="20"/>
              </w:rPr>
            </w:pPr>
            <w:r>
              <w:rPr>
                <w:sz w:val="20"/>
                <w:szCs w:val="20"/>
              </w:rPr>
              <w:t>无粉尘收集及处理装置</w:t>
            </w:r>
          </w:p>
        </w:tc>
        <w:tc>
          <w:tcPr>
            <w:tcW w:w="2303" w:type="dxa"/>
            <w:vMerge w:val="restart"/>
            <w:vAlign w:val="center"/>
          </w:tcPr>
          <w:p>
            <w:pPr>
              <w:adjustRightInd w:val="0"/>
              <w:snapToGrid w:val="0"/>
              <w:rPr>
                <w:sz w:val="20"/>
                <w:szCs w:val="20"/>
              </w:rPr>
            </w:pPr>
            <w:r>
              <w:rPr>
                <w:bCs/>
                <w:sz w:val="20"/>
                <w:szCs w:val="20"/>
              </w:rPr>
              <w:t>破碎工段集气罩4个，袋式除尘器1台，</w:t>
            </w:r>
            <w:r>
              <w:rPr>
                <w:sz w:val="20"/>
                <w:szCs w:val="20"/>
              </w:rPr>
              <w:t>Φ0.6×15m排气筒一个；</w:t>
            </w:r>
          </w:p>
          <w:p>
            <w:pPr>
              <w:adjustRightInd w:val="0"/>
              <w:snapToGrid w:val="0"/>
              <w:rPr>
                <w:bCs/>
                <w:sz w:val="20"/>
                <w:szCs w:val="20"/>
              </w:rPr>
            </w:pPr>
            <w:r>
              <w:rPr>
                <w:bCs/>
                <w:sz w:val="20"/>
                <w:szCs w:val="20"/>
              </w:rPr>
              <w:t>筛分工段集气罩2个，袋式除尘器1台，</w:t>
            </w:r>
            <w:r>
              <w:rPr>
                <w:sz w:val="20"/>
                <w:szCs w:val="20"/>
              </w:rPr>
              <w:t>Φ0.8×15m排气筒一个</w:t>
            </w:r>
          </w:p>
        </w:tc>
        <w:tc>
          <w:tcPr>
            <w:tcW w:w="2308" w:type="dxa"/>
            <w:vMerge w:val="restart"/>
            <w:vAlign w:val="center"/>
          </w:tcPr>
          <w:p>
            <w:pPr>
              <w:adjustRightInd w:val="0"/>
              <w:snapToGrid w:val="0"/>
              <w:rPr>
                <w:sz w:val="20"/>
                <w:szCs w:val="20"/>
              </w:rPr>
            </w:pPr>
            <w:r>
              <w:rPr>
                <w:bCs/>
                <w:sz w:val="20"/>
                <w:szCs w:val="20"/>
              </w:rPr>
              <w:t>破碎工段集气罩4个，袋式除尘器1台，</w:t>
            </w:r>
            <w:r>
              <w:rPr>
                <w:sz w:val="20"/>
                <w:szCs w:val="20"/>
              </w:rPr>
              <w:t>Φ0.6×15m排气筒一个；</w:t>
            </w:r>
          </w:p>
          <w:p>
            <w:pPr>
              <w:adjustRightInd w:val="0"/>
              <w:snapToGrid w:val="0"/>
              <w:rPr>
                <w:sz w:val="20"/>
                <w:szCs w:val="20"/>
              </w:rPr>
            </w:pPr>
            <w:r>
              <w:rPr>
                <w:bCs/>
                <w:sz w:val="20"/>
                <w:szCs w:val="20"/>
              </w:rPr>
              <w:t>筛分工段集气罩2个，袋式除尘器1台，</w:t>
            </w:r>
            <w:r>
              <w:rPr>
                <w:sz w:val="20"/>
                <w:szCs w:val="20"/>
              </w:rPr>
              <w:t>Φ0.8×15m排气筒一个，皮带密闭</w:t>
            </w:r>
          </w:p>
        </w:tc>
        <w:tc>
          <w:tcPr>
            <w:tcW w:w="737" w:type="dxa"/>
            <w:vMerge w:val="restart"/>
            <w:vAlign w:val="center"/>
          </w:tcPr>
          <w:p>
            <w:pPr>
              <w:adjustRightInd w:val="0"/>
              <w:snapToGrid w:val="0"/>
              <w:jc w:val="center"/>
              <w:rPr>
                <w:sz w:val="20"/>
                <w:szCs w:val="20"/>
              </w:rPr>
            </w:pPr>
            <w:r>
              <w:rPr>
                <w:sz w:val="20"/>
                <w:szCs w:val="20"/>
              </w:rPr>
              <w:t>已整改，并于2013年3月26日河南省环境保护厅豫环审【2013】124号文通过了该整改内容环境综合整治验收</w:t>
            </w:r>
          </w:p>
        </w:tc>
        <w:tc>
          <w:tcPr>
            <w:tcW w:w="708" w:type="dxa"/>
            <w:vMerge w:val="restart"/>
            <w:vAlign w:val="center"/>
          </w:tcPr>
          <w:p>
            <w:pPr>
              <w:adjustRightInd w:val="0"/>
              <w:snapToGrid w:val="0"/>
              <w:jc w:val="center"/>
              <w:rPr>
                <w:sz w:val="20"/>
                <w:szCs w:val="20"/>
              </w:rPr>
            </w:pPr>
            <w:r>
              <w:rPr>
                <w:sz w:val="20"/>
                <w:szCs w:val="20"/>
              </w:rPr>
              <w:t>20</w:t>
            </w:r>
          </w:p>
        </w:tc>
        <w:tc>
          <w:tcPr>
            <w:tcW w:w="617" w:type="dxa"/>
            <w:vMerge w:val="restart"/>
            <w:vAlign w:val="center"/>
          </w:tcPr>
          <w:p>
            <w:pPr>
              <w:adjustRightInd w:val="0"/>
              <w:snapToGrid w:val="0"/>
              <w:jc w:val="center"/>
              <w:rPr>
                <w:sz w:val="20"/>
                <w:szCs w:val="20"/>
              </w:rPr>
            </w:pPr>
            <w:r>
              <w:rPr>
                <w:sz w:val="20"/>
                <w:szCs w:val="20"/>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vAlign w:val="center"/>
          </w:tcPr>
          <w:p>
            <w:pPr>
              <w:adjustRightInd w:val="0"/>
              <w:snapToGrid w:val="0"/>
              <w:jc w:val="center"/>
              <w:rPr>
                <w:sz w:val="20"/>
                <w:szCs w:val="20"/>
              </w:rPr>
            </w:pPr>
          </w:p>
        </w:tc>
        <w:tc>
          <w:tcPr>
            <w:tcW w:w="768" w:type="dxa"/>
            <w:vAlign w:val="center"/>
          </w:tcPr>
          <w:p>
            <w:pPr>
              <w:adjustRightInd w:val="0"/>
              <w:snapToGrid w:val="0"/>
              <w:jc w:val="center"/>
              <w:rPr>
                <w:sz w:val="20"/>
                <w:szCs w:val="20"/>
              </w:rPr>
            </w:pPr>
            <w:r>
              <w:rPr>
                <w:sz w:val="20"/>
                <w:szCs w:val="20"/>
              </w:rPr>
              <w:t>筛分车间</w:t>
            </w:r>
          </w:p>
        </w:tc>
        <w:tc>
          <w:tcPr>
            <w:tcW w:w="682" w:type="dxa"/>
            <w:vMerge w:val="continue"/>
            <w:vAlign w:val="center"/>
          </w:tcPr>
          <w:p>
            <w:pPr>
              <w:adjustRightInd w:val="0"/>
              <w:snapToGrid w:val="0"/>
              <w:rPr>
                <w:sz w:val="20"/>
                <w:szCs w:val="20"/>
              </w:rPr>
            </w:pPr>
          </w:p>
        </w:tc>
        <w:tc>
          <w:tcPr>
            <w:tcW w:w="2303" w:type="dxa"/>
            <w:vMerge w:val="continue"/>
            <w:vAlign w:val="center"/>
          </w:tcPr>
          <w:p>
            <w:pPr>
              <w:adjustRightInd w:val="0"/>
              <w:snapToGrid w:val="0"/>
              <w:rPr>
                <w:sz w:val="20"/>
                <w:szCs w:val="20"/>
              </w:rPr>
            </w:pPr>
          </w:p>
        </w:tc>
        <w:tc>
          <w:tcPr>
            <w:tcW w:w="2308" w:type="dxa"/>
            <w:vMerge w:val="continue"/>
            <w:vAlign w:val="center"/>
          </w:tcPr>
          <w:p>
            <w:pPr>
              <w:adjustRightInd w:val="0"/>
              <w:snapToGrid w:val="0"/>
              <w:rPr>
                <w:sz w:val="20"/>
                <w:szCs w:val="20"/>
              </w:rPr>
            </w:pPr>
          </w:p>
        </w:tc>
        <w:tc>
          <w:tcPr>
            <w:tcW w:w="737" w:type="dxa"/>
            <w:vMerge w:val="continue"/>
            <w:vAlign w:val="center"/>
          </w:tcPr>
          <w:p>
            <w:pPr>
              <w:adjustRightInd w:val="0"/>
              <w:snapToGrid w:val="0"/>
              <w:jc w:val="center"/>
              <w:rPr>
                <w:sz w:val="20"/>
                <w:szCs w:val="20"/>
              </w:rPr>
            </w:pPr>
          </w:p>
        </w:tc>
        <w:tc>
          <w:tcPr>
            <w:tcW w:w="708" w:type="dxa"/>
            <w:vMerge w:val="continue"/>
            <w:vAlign w:val="center"/>
          </w:tcPr>
          <w:p>
            <w:pPr>
              <w:adjustRightInd w:val="0"/>
              <w:snapToGrid w:val="0"/>
              <w:jc w:val="center"/>
              <w:rPr>
                <w:sz w:val="20"/>
                <w:szCs w:val="20"/>
              </w:rPr>
            </w:pPr>
          </w:p>
        </w:tc>
        <w:tc>
          <w:tcPr>
            <w:tcW w:w="617" w:type="dxa"/>
            <w:vMerge w:val="continue"/>
            <w:vAlign w:val="center"/>
          </w:tcPr>
          <w:p>
            <w:pPr>
              <w:adjustRightInd w:val="0"/>
              <w:snapToGrid w:val="0"/>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vAlign w:val="center"/>
          </w:tcPr>
          <w:p>
            <w:pPr>
              <w:adjustRightInd w:val="0"/>
              <w:snapToGrid w:val="0"/>
              <w:jc w:val="center"/>
              <w:rPr>
                <w:sz w:val="20"/>
                <w:szCs w:val="20"/>
              </w:rPr>
            </w:pPr>
          </w:p>
        </w:tc>
        <w:tc>
          <w:tcPr>
            <w:tcW w:w="768" w:type="dxa"/>
            <w:vAlign w:val="center"/>
          </w:tcPr>
          <w:p>
            <w:pPr>
              <w:adjustRightInd w:val="0"/>
              <w:snapToGrid w:val="0"/>
              <w:jc w:val="center"/>
              <w:rPr>
                <w:sz w:val="20"/>
                <w:szCs w:val="20"/>
              </w:rPr>
            </w:pPr>
            <w:r>
              <w:rPr>
                <w:sz w:val="20"/>
                <w:szCs w:val="20"/>
              </w:rPr>
              <w:t>皮带仓</w:t>
            </w:r>
          </w:p>
        </w:tc>
        <w:tc>
          <w:tcPr>
            <w:tcW w:w="682" w:type="dxa"/>
            <w:vMerge w:val="continue"/>
            <w:vAlign w:val="center"/>
          </w:tcPr>
          <w:p>
            <w:pPr>
              <w:adjustRightInd w:val="0"/>
              <w:snapToGrid w:val="0"/>
              <w:rPr>
                <w:sz w:val="20"/>
                <w:szCs w:val="20"/>
              </w:rPr>
            </w:pPr>
          </w:p>
        </w:tc>
        <w:tc>
          <w:tcPr>
            <w:tcW w:w="2303" w:type="dxa"/>
            <w:vMerge w:val="continue"/>
            <w:tcBorders>
              <w:bottom w:val="single" w:color="auto" w:sz="4" w:space="0"/>
            </w:tcBorders>
            <w:vAlign w:val="center"/>
          </w:tcPr>
          <w:p>
            <w:pPr>
              <w:adjustRightInd w:val="0"/>
              <w:snapToGrid w:val="0"/>
              <w:rPr>
                <w:sz w:val="20"/>
                <w:szCs w:val="20"/>
              </w:rPr>
            </w:pPr>
          </w:p>
        </w:tc>
        <w:tc>
          <w:tcPr>
            <w:tcW w:w="2308" w:type="dxa"/>
            <w:vMerge w:val="continue"/>
            <w:tcBorders>
              <w:bottom w:val="single" w:color="auto" w:sz="4" w:space="0"/>
            </w:tcBorders>
            <w:vAlign w:val="center"/>
          </w:tcPr>
          <w:p>
            <w:pPr>
              <w:adjustRightInd w:val="0"/>
              <w:snapToGrid w:val="0"/>
              <w:rPr>
                <w:sz w:val="20"/>
                <w:szCs w:val="20"/>
              </w:rPr>
            </w:pPr>
          </w:p>
        </w:tc>
        <w:tc>
          <w:tcPr>
            <w:tcW w:w="737" w:type="dxa"/>
            <w:vMerge w:val="continue"/>
            <w:vAlign w:val="center"/>
          </w:tcPr>
          <w:p>
            <w:pPr>
              <w:adjustRightInd w:val="0"/>
              <w:snapToGrid w:val="0"/>
              <w:jc w:val="center"/>
              <w:rPr>
                <w:sz w:val="20"/>
                <w:szCs w:val="20"/>
              </w:rPr>
            </w:pPr>
          </w:p>
        </w:tc>
        <w:tc>
          <w:tcPr>
            <w:tcW w:w="708" w:type="dxa"/>
            <w:vMerge w:val="continue"/>
            <w:vAlign w:val="center"/>
          </w:tcPr>
          <w:p>
            <w:pPr>
              <w:adjustRightInd w:val="0"/>
              <w:snapToGrid w:val="0"/>
              <w:jc w:val="center"/>
              <w:rPr>
                <w:sz w:val="20"/>
                <w:szCs w:val="20"/>
              </w:rPr>
            </w:pPr>
          </w:p>
        </w:tc>
        <w:tc>
          <w:tcPr>
            <w:tcW w:w="617" w:type="dxa"/>
            <w:vMerge w:val="continue"/>
            <w:vAlign w:val="center"/>
          </w:tcPr>
          <w:p>
            <w:pPr>
              <w:adjustRightInd w:val="0"/>
              <w:snapToGrid w:val="0"/>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vAlign w:val="center"/>
          </w:tcPr>
          <w:p>
            <w:pPr>
              <w:adjustRightInd w:val="0"/>
              <w:snapToGrid w:val="0"/>
              <w:jc w:val="center"/>
              <w:rPr>
                <w:sz w:val="20"/>
                <w:szCs w:val="20"/>
              </w:rPr>
            </w:pPr>
          </w:p>
        </w:tc>
        <w:tc>
          <w:tcPr>
            <w:tcW w:w="768" w:type="dxa"/>
            <w:vAlign w:val="center"/>
          </w:tcPr>
          <w:p>
            <w:pPr>
              <w:adjustRightInd w:val="0"/>
              <w:snapToGrid w:val="0"/>
              <w:jc w:val="center"/>
              <w:rPr>
                <w:sz w:val="20"/>
                <w:szCs w:val="20"/>
              </w:rPr>
            </w:pPr>
            <w:r>
              <w:rPr>
                <w:sz w:val="20"/>
                <w:szCs w:val="20"/>
              </w:rPr>
              <w:t>事故水池</w:t>
            </w:r>
          </w:p>
        </w:tc>
        <w:tc>
          <w:tcPr>
            <w:tcW w:w="682" w:type="dxa"/>
            <w:vAlign w:val="center"/>
          </w:tcPr>
          <w:p>
            <w:pPr>
              <w:adjustRightInd w:val="0"/>
              <w:snapToGrid w:val="0"/>
              <w:rPr>
                <w:sz w:val="20"/>
                <w:szCs w:val="20"/>
              </w:rPr>
            </w:pPr>
            <w:r>
              <w:rPr>
                <w:sz w:val="20"/>
                <w:szCs w:val="20"/>
              </w:rPr>
              <w:t>事故水池堆满精矿</w:t>
            </w:r>
          </w:p>
        </w:tc>
        <w:tc>
          <w:tcPr>
            <w:tcW w:w="2303" w:type="dxa"/>
            <w:tcBorders>
              <w:top w:val="single" w:color="auto" w:sz="4" w:space="0"/>
              <w:bottom w:val="single" w:color="auto" w:sz="4" w:space="0"/>
            </w:tcBorders>
            <w:vAlign w:val="center"/>
          </w:tcPr>
          <w:p>
            <w:pPr>
              <w:adjustRightInd w:val="0"/>
              <w:snapToGrid w:val="0"/>
              <w:rPr>
                <w:sz w:val="20"/>
                <w:szCs w:val="20"/>
              </w:rPr>
            </w:pPr>
            <w:r>
              <w:rPr>
                <w:sz w:val="20"/>
                <w:szCs w:val="20"/>
              </w:rPr>
              <w:t>精矿转移出选矿厂事故水池至精粉沉淀池</w:t>
            </w:r>
          </w:p>
        </w:tc>
        <w:tc>
          <w:tcPr>
            <w:tcW w:w="2308" w:type="dxa"/>
            <w:tcBorders>
              <w:top w:val="single" w:color="auto" w:sz="4" w:space="0"/>
              <w:bottom w:val="single" w:color="auto" w:sz="4" w:space="0"/>
            </w:tcBorders>
            <w:vAlign w:val="center"/>
          </w:tcPr>
          <w:p>
            <w:pPr>
              <w:adjustRightInd w:val="0"/>
              <w:snapToGrid w:val="0"/>
              <w:rPr>
                <w:sz w:val="20"/>
                <w:szCs w:val="20"/>
              </w:rPr>
            </w:pPr>
            <w:r>
              <w:rPr>
                <w:sz w:val="20"/>
                <w:szCs w:val="20"/>
              </w:rPr>
              <w:t>精矿转移出选矿厂事故水池至精粉沉淀池</w:t>
            </w:r>
          </w:p>
        </w:tc>
        <w:tc>
          <w:tcPr>
            <w:tcW w:w="737" w:type="dxa"/>
            <w:vMerge w:val="continue"/>
            <w:vAlign w:val="center"/>
          </w:tcPr>
          <w:p>
            <w:pPr>
              <w:adjustRightInd w:val="0"/>
              <w:snapToGrid w:val="0"/>
              <w:jc w:val="center"/>
              <w:rPr>
                <w:sz w:val="20"/>
                <w:szCs w:val="20"/>
              </w:rPr>
            </w:pPr>
          </w:p>
        </w:tc>
        <w:tc>
          <w:tcPr>
            <w:tcW w:w="708" w:type="dxa"/>
            <w:vAlign w:val="center"/>
          </w:tcPr>
          <w:p>
            <w:pPr>
              <w:adjustRightInd w:val="0"/>
              <w:snapToGrid w:val="0"/>
              <w:jc w:val="center"/>
              <w:rPr>
                <w:sz w:val="20"/>
                <w:szCs w:val="20"/>
              </w:rPr>
            </w:pPr>
            <w:r>
              <w:rPr>
                <w:sz w:val="20"/>
                <w:szCs w:val="20"/>
              </w:rPr>
              <w:t>0.5</w:t>
            </w:r>
          </w:p>
        </w:tc>
        <w:tc>
          <w:tcPr>
            <w:tcW w:w="617" w:type="dxa"/>
            <w:vAlign w:val="center"/>
          </w:tcPr>
          <w:p>
            <w:pPr>
              <w:adjustRightInd w:val="0"/>
              <w:snapToGrid w:val="0"/>
              <w:jc w:val="center"/>
              <w:rPr>
                <w:sz w:val="20"/>
                <w:szCs w:val="20"/>
              </w:rPr>
            </w:pPr>
            <w:r>
              <w:rPr>
                <w:sz w:val="20"/>
                <w:szCs w:val="20"/>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vAlign w:val="center"/>
          </w:tcPr>
          <w:p>
            <w:pPr>
              <w:adjustRightInd w:val="0"/>
              <w:snapToGrid w:val="0"/>
              <w:jc w:val="center"/>
              <w:rPr>
                <w:sz w:val="20"/>
                <w:szCs w:val="20"/>
              </w:rPr>
            </w:pPr>
          </w:p>
        </w:tc>
        <w:tc>
          <w:tcPr>
            <w:tcW w:w="768" w:type="dxa"/>
            <w:vAlign w:val="center"/>
          </w:tcPr>
          <w:p>
            <w:pPr>
              <w:adjustRightInd w:val="0"/>
              <w:snapToGrid w:val="0"/>
              <w:jc w:val="center"/>
              <w:rPr>
                <w:sz w:val="20"/>
                <w:szCs w:val="20"/>
              </w:rPr>
            </w:pPr>
            <w:r>
              <w:rPr>
                <w:sz w:val="20"/>
                <w:szCs w:val="20"/>
              </w:rPr>
              <w:t>选矿废水</w:t>
            </w:r>
          </w:p>
        </w:tc>
        <w:tc>
          <w:tcPr>
            <w:tcW w:w="682" w:type="dxa"/>
            <w:vAlign w:val="center"/>
          </w:tcPr>
          <w:p>
            <w:pPr>
              <w:adjustRightInd w:val="0"/>
              <w:snapToGrid w:val="0"/>
              <w:rPr>
                <w:sz w:val="20"/>
                <w:szCs w:val="20"/>
              </w:rPr>
            </w:pPr>
            <w:r>
              <w:rPr>
                <w:sz w:val="20"/>
                <w:szCs w:val="20"/>
              </w:rPr>
              <w:t>车间排放口水中铅、镉超标</w:t>
            </w:r>
          </w:p>
        </w:tc>
        <w:tc>
          <w:tcPr>
            <w:tcW w:w="2303" w:type="dxa"/>
            <w:tcBorders>
              <w:top w:val="single" w:color="auto" w:sz="4" w:space="0"/>
              <w:bottom w:val="single" w:color="auto" w:sz="4" w:space="0"/>
            </w:tcBorders>
            <w:vAlign w:val="center"/>
          </w:tcPr>
          <w:p>
            <w:pPr>
              <w:adjustRightInd w:val="0"/>
              <w:snapToGrid w:val="0"/>
              <w:rPr>
                <w:sz w:val="20"/>
                <w:szCs w:val="20"/>
              </w:rPr>
            </w:pPr>
            <w:r>
              <w:rPr>
                <w:sz w:val="20"/>
                <w:szCs w:val="20"/>
              </w:rPr>
              <w:t>重金属捕收剂+絮凝沉淀法去除重金属离子</w:t>
            </w:r>
          </w:p>
        </w:tc>
        <w:tc>
          <w:tcPr>
            <w:tcW w:w="2308" w:type="dxa"/>
            <w:tcBorders>
              <w:top w:val="single" w:color="auto" w:sz="4" w:space="0"/>
              <w:bottom w:val="single" w:color="auto" w:sz="4" w:space="0"/>
            </w:tcBorders>
            <w:vAlign w:val="center"/>
          </w:tcPr>
          <w:p>
            <w:pPr>
              <w:adjustRightInd w:val="0"/>
              <w:snapToGrid w:val="0"/>
              <w:rPr>
                <w:sz w:val="20"/>
                <w:szCs w:val="20"/>
              </w:rPr>
            </w:pPr>
            <w:r>
              <w:rPr>
                <w:sz w:val="20"/>
                <w:szCs w:val="20"/>
              </w:rPr>
              <w:t>重金属捕收剂+絮凝沉淀法去除重金属离子</w:t>
            </w:r>
          </w:p>
        </w:tc>
        <w:tc>
          <w:tcPr>
            <w:tcW w:w="737" w:type="dxa"/>
            <w:vMerge w:val="continue"/>
            <w:vAlign w:val="center"/>
          </w:tcPr>
          <w:p>
            <w:pPr>
              <w:adjustRightInd w:val="0"/>
              <w:snapToGrid w:val="0"/>
              <w:jc w:val="center"/>
              <w:rPr>
                <w:sz w:val="20"/>
                <w:szCs w:val="20"/>
              </w:rPr>
            </w:pPr>
          </w:p>
        </w:tc>
        <w:tc>
          <w:tcPr>
            <w:tcW w:w="708" w:type="dxa"/>
            <w:vAlign w:val="center"/>
          </w:tcPr>
          <w:p>
            <w:pPr>
              <w:adjustRightInd w:val="0"/>
              <w:snapToGrid w:val="0"/>
              <w:jc w:val="center"/>
              <w:rPr>
                <w:sz w:val="20"/>
                <w:szCs w:val="20"/>
              </w:rPr>
            </w:pPr>
            <w:r>
              <w:rPr>
                <w:sz w:val="20"/>
                <w:szCs w:val="20"/>
              </w:rPr>
              <w:t>6</w:t>
            </w:r>
          </w:p>
        </w:tc>
        <w:tc>
          <w:tcPr>
            <w:tcW w:w="617" w:type="dxa"/>
            <w:vAlign w:val="center"/>
          </w:tcPr>
          <w:p>
            <w:pPr>
              <w:adjustRightInd w:val="0"/>
              <w:snapToGrid w:val="0"/>
              <w:jc w:val="center"/>
              <w:rPr>
                <w:sz w:val="20"/>
                <w:szCs w:val="20"/>
              </w:rPr>
            </w:pPr>
            <w:r>
              <w:rPr>
                <w:sz w:val="20"/>
                <w:szCs w:val="20"/>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vAlign w:val="center"/>
          </w:tcPr>
          <w:p>
            <w:pPr>
              <w:adjustRightInd w:val="0"/>
              <w:snapToGrid w:val="0"/>
              <w:jc w:val="center"/>
              <w:rPr>
                <w:sz w:val="20"/>
                <w:szCs w:val="20"/>
              </w:rPr>
            </w:pPr>
          </w:p>
        </w:tc>
        <w:tc>
          <w:tcPr>
            <w:tcW w:w="768" w:type="dxa"/>
            <w:vAlign w:val="center"/>
          </w:tcPr>
          <w:p>
            <w:pPr>
              <w:adjustRightInd w:val="0"/>
              <w:snapToGrid w:val="0"/>
              <w:jc w:val="center"/>
              <w:rPr>
                <w:sz w:val="20"/>
                <w:szCs w:val="20"/>
              </w:rPr>
            </w:pPr>
            <w:r>
              <w:rPr>
                <w:sz w:val="20"/>
                <w:szCs w:val="20"/>
              </w:rPr>
              <w:t>精矿沉淀池</w:t>
            </w:r>
          </w:p>
        </w:tc>
        <w:tc>
          <w:tcPr>
            <w:tcW w:w="682" w:type="dxa"/>
            <w:vAlign w:val="center"/>
          </w:tcPr>
          <w:p>
            <w:pPr>
              <w:adjustRightInd w:val="0"/>
              <w:snapToGrid w:val="0"/>
              <w:rPr>
                <w:sz w:val="20"/>
                <w:szCs w:val="20"/>
              </w:rPr>
            </w:pPr>
            <w:r>
              <w:rPr>
                <w:sz w:val="20"/>
                <w:szCs w:val="20"/>
              </w:rPr>
              <w:t>未建防雨棚</w:t>
            </w:r>
          </w:p>
        </w:tc>
        <w:tc>
          <w:tcPr>
            <w:tcW w:w="2303" w:type="dxa"/>
            <w:tcBorders>
              <w:top w:val="single" w:color="auto" w:sz="4" w:space="0"/>
              <w:bottom w:val="single" w:color="auto" w:sz="4" w:space="0"/>
            </w:tcBorders>
            <w:vAlign w:val="center"/>
          </w:tcPr>
          <w:p>
            <w:pPr>
              <w:adjustRightInd w:val="0"/>
              <w:snapToGrid w:val="0"/>
              <w:rPr>
                <w:sz w:val="20"/>
                <w:szCs w:val="20"/>
              </w:rPr>
            </w:pPr>
            <w:r>
              <w:rPr>
                <w:sz w:val="20"/>
                <w:szCs w:val="20"/>
              </w:rPr>
              <w:t>搭建防雨棚</w:t>
            </w:r>
          </w:p>
        </w:tc>
        <w:tc>
          <w:tcPr>
            <w:tcW w:w="2308" w:type="dxa"/>
            <w:tcBorders>
              <w:top w:val="single" w:color="auto" w:sz="4" w:space="0"/>
              <w:bottom w:val="single" w:color="auto" w:sz="4" w:space="0"/>
            </w:tcBorders>
            <w:vAlign w:val="center"/>
          </w:tcPr>
          <w:p>
            <w:pPr>
              <w:adjustRightInd w:val="0"/>
              <w:snapToGrid w:val="0"/>
              <w:rPr>
                <w:sz w:val="20"/>
                <w:szCs w:val="20"/>
              </w:rPr>
            </w:pPr>
            <w:r>
              <w:rPr>
                <w:sz w:val="20"/>
                <w:szCs w:val="20"/>
              </w:rPr>
              <w:t>搭建防雨棚</w:t>
            </w:r>
          </w:p>
        </w:tc>
        <w:tc>
          <w:tcPr>
            <w:tcW w:w="737" w:type="dxa"/>
            <w:vMerge w:val="continue"/>
            <w:vAlign w:val="center"/>
          </w:tcPr>
          <w:p>
            <w:pPr>
              <w:adjustRightInd w:val="0"/>
              <w:snapToGrid w:val="0"/>
              <w:jc w:val="center"/>
              <w:rPr>
                <w:sz w:val="20"/>
                <w:szCs w:val="20"/>
              </w:rPr>
            </w:pPr>
          </w:p>
        </w:tc>
        <w:tc>
          <w:tcPr>
            <w:tcW w:w="708" w:type="dxa"/>
            <w:vAlign w:val="center"/>
          </w:tcPr>
          <w:p>
            <w:pPr>
              <w:adjustRightInd w:val="0"/>
              <w:snapToGrid w:val="0"/>
              <w:jc w:val="center"/>
              <w:rPr>
                <w:sz w:val="20"/>
                <w:szCs w:val="20"/>
              </w:rPr>
            </w:pPr>
            <w:r>
              <w:rPr>
                <w:sz w:val="20"/>
                <w:szCs w:val="20"/>
              </w:rPr>
              <w:t>2</w:t>
            </w:r>
          </w:p>
        </w:tc>
        <w:tc>
          <w:tcPr>
            <w:tcW w:w="617" w:type="dxa"/>
            <w:vAlign w:val="center"/>
          </w:tcPr>
          <w:p>
            <w:pPr>
              <w:adjustRightInd w:val="0"/>
              <w:snapToGrid w:val="0"/>
              <w:jc w:val="center"/>
              <w:rPr>
                <w:sz w:val="20"/>
                <w:szCs w:val="20"/>
              </w:rPr>
            </w:pPr>
            <w:r>
              <w:rPr>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vAlign w:val="center"/>
          </w:tcPr>
          <w:p>
            <w:pPr>
              <w:adjustRightInd w:val="0"/>
              <w:snapToGrid w:val="0"/>
              <w:jc w:val="center"/>
              <w:rPr>
                <w:sz w:val="20"/>
                <w:szCs w:val="20"/>
              </w:rPr>
            </w:pPr>
          </w:p>
        </w:tc>
        <w:tc>
          <w:tcPr>
            <w:tcW w:w="768" w:type="dxa"/>
            <w:vAlign w:val="center"/>
          </w:tcPr>
          <w:p>
            <w:pPr>
              <w:adjustRightInd w:val="0"/>
              <w:snapToGrid w:val="0"/>
              <w:jc w:val="center"/>
              <w:rPr>
                <w:sz w:val="20"/>
                <w:szCs w:val="20"/>
              </w:rPr>
            </w:pPr>
            <w:r>
              <w:rPr>
                <w:sz w:val="20"/>
                <w:szCs w:val="20"/>
              </w:rPr>
              <w:t>浮磨车间</w:t>
            </w:r>
          </w:p>
        </w:tc>
        <w:tc>
          <w:tcPr>
            <w:tcW w:w="682" w:type="dxa"/>
            <w:vAlign w:val="center"/>
          </w:tcPr>
          <w:p>
            <w:pPr>
              <w:adjustRightInd w:val="0"/>
              <w:snapToGrid w:val="0"/>
              <w:rPr>
                <w:sz w:val="20"/>
                <w:szCs w:val="20"/>
              </w:rPr>
            </w:pPr>
            <w:r>
              <w:rPr>
                <w:sz w:val="20"/>
                <w:szCs w:val="20"/>
              </w:rPr>
              <w:t>浮选药剂乱堆乱放</w:t>
            </w:r>
          </w:p>
        </w:tc>
        <w:tc>
          <w:tcPr>
            <w:tcW w:w="2303" w:type="dxa"/>
            <w:tcBorders>
              <w:top w:val="single" w:color="auto" w:sz="4" w:space="0"/>
              <w:bottom w:val="single" w:color="auto" w:sz="4" w:space="0"/>
            </w:tcBorders>
            <w:vAlign w:val="center"/>
          </w:tcPr>
          <w:p>
            <w:pPr>
              <w:adjustRightInd w:val="0"/>
              <w:snapToGrid w:val="0"/>
              <w:rPr>
                <w:sz w:val="20"/>
                <w:szCs w:val="20"/>
              </w:rPr>
            </w:pPr>
            <w:r>
              <w:rPr>
                <w:sz w:val="20"/>
                <w:szCs w:val="20"/>
              </w:rPr>
              <w:t>将浮选药剂转移至专门药剂库</w:t>
            </w:r>
          </w:p>
        </w:tc>
        <w:tc>
          <w:tcPr>
            <w:tcW w:w="2308" w:type="dxa"/>
            <w:tcBorders>
              <w:top w:val="single" w:color="auto" w:sz="4" w:space="0"/>
              <w:bottom w:val="single" w:color="auto" w:sz="4" w:space="0"/>
            </w:tcBorders>
            <w:vAlign w:val="center"/>
          </w:tcPr>
          <w:p>
            <w:pPr>
              <w:adjustRightInd w:val="0"/>
              <w:snapToGrid w:val="0"/>
              <w:rPr>
                <w:sz w:val="20"/>
                <w:szCs w:val="20"/>
              </w:rPr>
            </w:pPr>
            <w:r>
              <w:rPr>
                <w:sz w:val="20"/>
                <w:szCs w:val="20"/>
              </w:rPr>
              <w:t>将浮选药剂转移至专门药剂库</w:t>
            </w:r>
          </w:p>
        </w:tc>
        <w:tc>
          <w:tcPr>
            <w:tcW w:w="737" w:type="dxa"/>
            <w:vMerge w:val="continue"/>
            <w:vAlign w:val="center"/>
          </w:tcPr>
          <w:p>
            <w:pPr>
              <w:adjustRightInd w:val="0"/>
              <w:snapToGrid w:val="0"/>
              <w:jc w:val="center"/>
              <w:rPr>
                <w:sz w:val="20"/>
                <w:szCs w:val="20"/>
              </w:rPr>
            </w:pPr>
          </w:p>
        </w:tc>
        <w:tc>
          <w:tcPr>
            <w:tcW w:w="708" w:type="dxa"/>
            <w:vAlign w:val="center"/>
          </w:tcPr>
          <w:p>
            <w:pPr>
              <w:adjustRightInd w:val="0"/>
              <w:snapToGrid w:val="0"/>
              <w:jc w:val="center"/>
              <w:rPr>
                <w:sz w:val="20"/>
                <w:szCs w:val="20"/>
              </w:rPr>
            </w:pPr>
            <w:r>
              <w:rPr>
                <w:sz w:val="20"/>
                <w:szCs w:val="20"/>
              </w:rPr>
              <w:t>0.4</w:t>
            </w:r>
          </w:p>
        </w:tc>
        <w:tc>
          <w:tcPr>
            <w:tcW w:w="617" w:type="dxa"/>
            <w:vAlign w:val="center"/>
          </w:tcPr>
          <w:p>
            <w:pPr>
              <w:adjustRightInd w:val="0"/>
              <w:snapToGrid w:val="0"/>
              <w:jc w:val="center"/>
              <w:rPr>
                <w:sz w:val="20"/>
                <w:szCs w:val="20"/>
              </w:rPr>
            </w:pPr>
            <w:r>
              <w:rPr>
                <w:sz w:val="20"/>
                <w:szCs w:val="20"/>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vAlign w:val="center"/>
          </w:tcPr>
          <w:p>
            <w:pPr>
              <w:adjustRightInd w:val="0"/>
              <w:snapToGrid w:val="0"/>
              <w:jc w:val="center"/>
              <w:rPr>
                <w:sz w:val="20"/>
                <w:szCs w:val="20"/>
              </w:rPr>
            </w:pPr>
          </w:p>
        </w:tc>
        <w:tc>
          <w:tcPr>
            <w:tcW w:w="768" w:type="dxa"/>
            <w:vAlign w:val="center"/>
          </w:tcPr>
          <w:p>
            <w:pPr>
              <w:adjustRightInd w:val="0"/>
              <w:snapToGrid w:val="0"/>
              <w:jc w:val="center"/>
              <w:rPr>
                <w:sz w:val="20"/>
                <w:szCs w:val="20"/>
              </w:rPr>
            </w:pPr>
            <w:r>
              <w:rPr>
                <w:sz w:val="20"/>
                <w:szCs w:val="20"/>
              </w:rPr>
              <w:t>生态环境</w:t>
            </w:r>
          </w:p>
        </w:tc>
        <w:tc>
          <w:tcPr>
            <w:tcW w:w="682" w:type="dxa"/>
            <w:vAlign w:val="center"/>
          </w:tcPr>
          <w:p>
            <w:pPr>
              <w:adjustRightInd w:val="0"/>
              <w:snapToGrid w:val="0"/>
              <w:rPr>
                <w:sz w:val="20"/>
                <w:szCs w:val="20"/>
              </w:rPr>
            </w:pPr>
            <w:r>
              <w:rPr>
                <w:sz w:val="20"/>
                <w:szCs w:val="20"/>
              </w:rPr>
              <w:t>厂区及道路两侧的绿化较差</w:t>
            </w:r>
          </w:p>
        </w:tc>
        <w:tc>
          <w:tcPr>
            <w:tcW w:w="2303" w:type="dxa"/>
            <w:tcBorders>
              <w:top w:val="single" w:color="auto" w:sz="4" w:space="0"/>
            </w:tcBorders>
            <w:vAlign w:val="center"/>
          </w:tcPr>
          <w:p>
            <w:pPr>
              <w:adjustRightInd w:val="0"/>
              <w:snapToGrid w:val="0"/>
              <w:rPr>
                <w:sz w:val="20"/>
                <w:szCs w:val="20"/>
              </w:rPr>
            </w:pPr>
            <w:r>
              <w:rPr>
                <w:sz w:val="20"/>
                <w:szCs w:val="20"/>
              </w:rPr>
              <w:t>统一规划，加强厂区及道路两侧的绿化工作</w:t>
            </w:r>
          </w:p>
        </w:tc>
        <w:tc>
          <w:tcPr>
            <w:tcW w:w="2308" w:type="dxa"/>
            <w:tcBorders>
              <w:top w:val="single" w:color="auto" w:sz="4" w:space="0"/>
            </w:tcBorders>
            <w:vAlign w:val="center"/>
          </w:tcPr>
          <w:p>
            <w:pPr>
              <w:adjustRightInd w:val="0"/>
              <w:snapToGrid w:val="0"/>
              <w:rPr>
                <w:sz w:val="20"/>
                <w:szCs w:val="20"/>
              </w:rPr>
            </w:pPr>
            <w:r>
              <w:rPr>
                <w:sz w:val="20"/>
                <w:szCs w:val="20"/>
              </w:rPr>
              <w:t>加强厂区及道路两侧的绿化工作</w:t>
            </w:r>
          </w:p>
        </w:tc>
        <w:tc>
          <w:tcPr>
            <w:tcW w:w="737" w:type="dxa"/>
            <w:vMerge w:val="continue"/>
            <w:vAlign w:val="center"/>
          </w:tcPr>
          <w:p>
            <w:pPr>
              <w:adjustRightInd w:val="0"/>
              <w:snapToGrid w:val="0"/>
              <w:jc w:val="center"/>
              <w:rPr>
                <w:sz w:val="20"/>
                <w:szCs w:val="20"/>
              </w:rPr>
            </w:pPr>
          </w:p>
        </w:tc>
        <w:tc>
          <w:tcPr>
            <w:tcW w:w="708" w:type="dxa"/>
            <w:vAlign w:val="center"/>
          </w:tcPr>
          <w:p>
            <w:pPr>
              <w:adjustRightInd w:val="0"/>
              <w:snapToGrid w:val="0"/>
              <w:jc w:val="center"/>
              <w:rPr>
                <w:sz w:val="20"/>
                <w:szCs w:val="20"/>
              </w:rPr>
            </w:pPr>
            <w:r>
              <w:rPr>
                <w:sz w:val="20"/>
                <w:szCs w:val="20"/>
              </w:rPr>
              <w:t>4</w:t>
            </w:r>
          </w:p>
        </w:tc>
        <w:tc>
          <w:tcPr>
            <w:tcW w:w="617" w:type="dxa"/>
            <w:vAlign w:val="center"/>
          </w:tcPr>
          <w:p>
            <w:pPr>
              <w:adjustRightInd w:val="0"/>
              <w:snapToGrid w:val="0"/>
              <w:jc w:val="center"/>
              <w:rPr>
                <w:sz w:val="20"/>
                <w:szCs w:val="20"/>
              </w:rPr>
            </w:pPr>
            <w:r>
              <w:rPr>
                <w:sz w:val="20"/>
                <w:szCs w:val="20"/>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restart"/>
          </w:tcPr>
          <w:p>
            <w:pPr>
              <w:adjustRightInd w:val="0"/>
              <w:snapToGrid w:val="0"/>
              <w:jc w:val="center"/>
              <w:rPr>
                <w:sz w:val="20"/>
                <w:szCs w:val="20"/>
              </w:rPr>
            </w:pPr>
            <w:r>
              <w:rPr>
                <w:sz w:val="20"/>
                <w:szCs w:val="20"/>
              </w:rPr>
              <w:t>尾矿库</w:t>
            </w:r>
          </w:p>
        </w:tc>
        <w:tc>
          <w:tcPr>
            <w:tcW w:w="1450" w:type="dxa"/>
            <w:gridSpan w:val="2"/>
            <w:vAlign w:val="center"/>
          </w:tcPr>
          <w:p>
            <w:pPr>
              <w:adjustRightInd w:val="0"/>
              <w:snapToGrid w:val="0"/>
              <w:rPr>
                <w:sz w:val="20"/>
                <w:szCs w:val="20"/>
              </w:rPr>
            </w:pPr>
            <w:r>
              <w:rPr>
                <w:sz w:val="20"/>
                <w:szCs w:val="20"/>
              </w:rPr>
              <w:t>尾矿未建设雨污分流</w:t>
            </w:r>
          </w:p>
        </w:tc>
        <w:tc>
          <w:tcPr>
            <w:tcW w:w="2303" w:type="dxa"/>
            <w:vAlign w:val="center"/>
          </w:tcPr>
          <w:p>
            <w:pPr>
              <w:adjustRightInd w:val="0"/>
              <w:snapToGrid w:val="0"/>
              <w:rPr>
                <w:sz w:val="20"/>
                <w:szCs w:val="20"/>
              </w:rPr>
            </w:pPr>
            <w:r>
              <w:rPr>
                <w:sz w:val="20"/>
                <w:szCs w:val="20"/>
              </w:rPr>
              <w:t>尾矿库东侧山坡设置浆砌石截水沟，实现雨污分离</w:t>
            </w:r>
          </w:p>
        </w:tc>
        <w:tc>
          <w:tcPr>
            <w:tcW w:w="2308" w:type="dxa"/>
            <w:vAlign w:val="center"/>
          </w:tcPr>
          <w:p>
            <w:pPr>
              <w:adjustRightInd w:val="0"/>
              <w:snapToGrid w:val="0"/>
              <w:rPr>
                <w:sz w:val="20"/>
                <w:szCs w:val="20"/>
              </w:rPr>
            </w:pPr>
            <w:r>
              <w:rPr>
                <w:sz w:val="20"/>
                <w:szCs w:val="20"/>
              </w:rPr>
              <w:t>尾矿库东侧山坡设置浆砌石截水沟，实现雨污分离</w:t>
            </w:r>
          </w:p>
        </w:tc>
        <w:tc>
          <w:tcPr>
            <w:tcW w:w="737" w:type="dxa"/>
            <w:vAlign w:val="center"/>
          </w:tcPr>
          <w:p>
            <w:pPr>
              <w:adjustRightInd w:val="0"/>
              <w:snapToGrid w:val="0"/>
              <w:jc w:val="center"/>
              <w:rPr>
                <w:sz w:val="20"/>
                <w:szCs w:val="20"/>
              </w:rPr>
            </w:pPr>
            <w:r>
              <w:rPr>
                <w:sz w:val="20"/>
                <w:szCs w:val="20"/>
              </w:rPr>
              <w:t>已整改</w:t>
            </w:r>
          </w:p>
        </w:tc>
        <w:tc>
          <w:tcPr>
            <w:tcW w:w="708" w:type="dxa"/>
            <w:vAlign w:val="center"/>
          </w:tcPr>
          <w:p>
            <w:pPr>
              <w:adjustRightInd w:val="0"/>
              <w:snapToGrid w:val="0"/>
              <w:jc w:val="center"/>
              <w:rPr>
                <w:sz w:val="20"/>
                <w:szCs w:val="20"/>
              </w:rPr>
            </w:pPr>
            <w:r>
              <w:rPr>
                <w:sz w:val="20"/>
                <w:szCs w:val="20"/>
              </w:rPr>
              <w:t>20</w:t>
            </w:r>
          </w:p>
        </w:tc>
        <w:tc>
          <w:tcPr>
            <w:tcW w:w="617" w:type="dxa"/>
            <w:vAlign w:val="center"/>
          </w:tcPr>
          <w:p>
            <w:pPr>
              <w:adjustRightInd w:val="0"/>
              <w:snapToGrid w:val="0"/>
              <w:jc w:val="center"/>
              <w:rPr>
                <w:sz w:val="20"/>
                <w:szCs w:val="20"/>
              </w:rPr>
            </w:pPr>
            <w:r>
              <w:rPr>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tcPr>
          <w:p>
            <w:pPr>
              <w:adjustRightInd w:val="0"/>
              <w:snapToGrid w:val="0"/>
              <w:jc w:val="center"/>
              <w:rPr>
                <w:sz w:val="20"/>
                <w:szCs w:val="20"/>
              </w:rPr>
            </w:pPr>
          </w:p>
        </w:tc>
        <w:tc>
          <w:tcPr>
            <w:tcW w:w="1450" w:type="dxa"/>
            <w:gridSpan w:val="2"/>
            <w:vAlign w:val="center"/>
          </w:tcPr>
          <w:p>
            <w:pPr>
              <w:adjustRightInd w:val="0"/>
              <w:snapToGrid w:val="0"/>
              <w:rPr>
                <w:sz w:val="20"/>
                <w:szCs w:val="20"/>
              </w:rPr>
            </w:pPr>
            <w:r>
              <w:rPr>
                <w:bCs/>
                <w:sz w:val="20"/>
                <w:szCs w:val="20"/>
              </w:rPr>
              <w:t>尾矿库下游废水排放口未有明显标志</w:t>
            </w:r>
          </w:p>
        </w:tc>
        <w:tc>
          <w:tcPr>
            <w:tcW w:w="2303" w:type="dxa"/>
            <w:vAlign w:val="center"/>
          </w:tcPr>
          <w:p>
            <w:pPr>
              <w:adjustRightInd w:val="0"/>
              <w:snapToGrid w:val="0"/>
              <w:rPr>
                <w:bCs/>
                <w:sz w:val="20"/>
                <w:szCs w:val="20"/>
              </w:rPr>
            </w:pPr>
            <w:r>
              <w:rPr>
                <w:bCs/>
                <w:sz w:val="20"/>
                <w:szCs w:val="20"/>
              </w:rPr>
              <w:t>尾矿库下游废水排放口置明显排放标志</w:t>
            </w:r>
          </w:p>
        </w:tc>
        <w:tc>
          <w:tcPr>
            <w:tcW w:w="2308" w:type="dxa"/>
            <w:vAlign w:val="center"/>
          </w:tcPr>
          <w:p>
            <w:pPr>
              <w:adjustRightInd w:val="0"/>
              <w:snapToGrid w:val="0"/>
              <w:rPr>
                <w:bCs/>
                <w:sz w:val="20"/>
                <w:szCs w:val="20"/>
              </w:rPr>
            </w:pPr>
            <w:r>
              <w:rPr>
                <w:bCs/>
                <w:sz w:val="20"/>
                <w:szCs w:val="20"/>
              </w:rPr>
              <w:t>尾矿库下游废水排放口置明显排放标志</w:t>
            </w:r>
          </w:p>
        </w:tc>
        <w:tc>
          <w:tcPr>
            <w:tcW w:w="737" w:type="dxa"/>
            <w:vAlign w:val="center"/>
          </w:tcPr>
          <w:p>
            <w:pPr>
              <w:adjustRightInd w:val="0"/>
              <w:snapToGrid w:val="0"/>
              <w:jc w:val="center"/>
              <w:rPr>
                <w:sz w:val="20"/>
                <w:szCs w:val="20"/>
              </w:rPr>
            </w:pPr>
            <w:r>
              <w:rPr>
                <w:sz w:val="20"/>
                <w:szCs w:val="20"/>
              </w:rPr>
              <w:t>已整改</w:t>
            </w:r>
          </w:p>
        </w:tc>
        <w:tc>
          <w:tcPr>
            <w:tcW w:w="708" w:type="dxa"/>
            <w:vAlign w:val="center"/>
          </w:tcPr>
          <w:p>
            <w:pPr>
              <w:adjustRightInd w:val="0"/>
              <w:snapToGrid w:val="0"/>
              <w:jc w:val="center"/>
              <w:rPr>
                <w:sz w:val="20"/>
                <w:szCs w:val="20"/>
              </w:rPr>
            </w:pPr>
            <w:r>
              <w:rPr>
                <w:sz w:val="20"/>
                <w:szCs w:val="20"/>
              </w:rPr>
              <w:t>0.1</w:t>
            </w:r>
          </w:p>
        </w:tc>
        <w:tc>
          <w:tcPr>
            <w:tcW w:w="617" w:type="dxa"/>
            <w:vAlign w:val="center"/>
          </w:tcPr>
          <w:p>
            <w:pPr>
              <w:adjustRightInd w:val="0"/>
              <w:snapToGrid w:val="0"/>
              <w:jc w:val="center"/>
              <w:rPr>
                <w:sz w:val="20"/>
                <w:szCs w:val="20"/>
              </w:rPr>
            </w:pPr>
            <w:r>
              <w:rPr>
                <w:sz w:val="20"/>
                <w:szCs w:val="20"/>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tcPr>
          <w:p>
            <w:pPr>
              <w:adjustRightInd w:val="0"/>
              <w:snapToGrid w:val="0"/>
              <w:jc w:val="center"/>
              <w:rPr>
                <w:sz w:val="20"/>
                <w:szCs w:val="20"/>
              </w:rPr>
            </w:pPr>
          </w:p>
        </w:tc>
        <w:tc>
          <w:tcPr>
            <w:tcW w:w="1450" w:type="dxa"/>
            <w:gridSpan w:val="2"/>
            <w:vAlign w:val="center"/>
          </w:tcPr>
          <w:p>
            <w:pPr>
              <w:adjustRightInd w:val="0"/>
              <w:snapToGrid w:val="0"/>
              <w:rPr>
                <w:bCs/>
                <w:sz w:val="20"/>
                <w:szCs w:val="20"/>
              </w:rPr>
            </w:pPr>
            <w:r>
              <w:rPr>
                <w:bCs/>
                <w:sz w:val="20"/>
                <w:szCs w:val="20"/>
              </w:rPr>
              <w:t>尾矿澄清水外排</w:t>
            </w:r>
          </w:p>
        </w:tc>
        <w:tc>
          <w:tcPr>
            <w:tcW w:w="2303" w:type="dxa"/>
            <w:vAlign w:val="center"/>
          </w:tcPr>
          <w:p>
            <w:pPr>
              <w:adjustRightInd w:val="0"/>
              <w:snapToGrid w:val="0"/>
              <w:rPr>
                <w:sz w:val="20"/>
                <w:szCs w:val="20"/>
              </w:rPr>
            </w:pPr>
            <w:r>
              <w:rPr>
                <w:sz w:val="20"/>
                <w:szCs w:val="20"/>
              </w:rPr>
              <w:t>建设选矿废水回用系统；铺设尾矿库回水至高位水池DN120钢管750m、在初期坝下游絮凝处理车间北部建泵房1座），下游事故水池至尾矿库输水管道及泵房。尾矿库澄清水絮凝后回用于选矿作业，避免对外排放带来的水环境影响。</w:t>
            </w:r>
          </w:p>
        </w:tc>
        <w:tc>
          <w:tcPr>
            <w:tcW w:w="2308" w:type="dxa"/>
            <w:vAlign w:val="center"/>
          </w:tcPr>
          <w:p>
            <w:pPr>
              <w:adjustRightInd w:val="0"/>
              <w:snapToGrid w:val="0"/>
              <w:rPr>
                <w:sz w:val="20"/>
                <w:szCs w:val="20"/>
              </w:rPr>
            </w:pPr>
            <w:r>
              <w:rPr>
                <w:sz w:val="20"/>
                <w:szCs w:val="20"/>
              </w:rPr>
              <w:t>尾矿库铺设尾矿库回水至高位水池DN120钢管750m、在初期坝下游絮凝处理车间北部建泵房1座，下游事故水池至尾矿库输水管道及泵房。尾矿库澄清水絮凝后回用于选矿作业，尾矿水不外排</w:t>
            </w:r>
          </w:p>
        </w:tc>
        <w:tc>
          <w:tcPr>
            <w:tcW w:w="737" w:type="dxa"/>
            <w:vAlign w:val="center"/>
          </w:tcPr>
          <w:p>
            <w:pPr>
              <w:adjustRightInd w:val="0"/>
              <w:snapToGrid w:val="0"/>
              <w:jc w:val="center"/>
              <w:rPr>
                <w:sz w:val="20"/>
                <w:szCs w:val="20"/>
              </w:rPr>
            </w:pPr>
            <w:r>
              <w:rPr>
                <w:sz w:val="20"/>
                <w:szCs w:val="20"/>
              </w:rPr>
              <w:t>已整改</w:t>
            </w:r>
          </w:p>
        </w:tc>
        <w:tc>
          <w:tcPr>
            <w:tcW w:w="708" w:type="dxa"/>
            <w:vAlign w:val="center"/>
          </w:tcPr>
          <w:p>
            <w:pPr>
              <w:adjustRightInd w:val="0"/>
              <w:snapToGrid w:val="0"/>
              <w:jc w:val="center"/>
              <w:rPr>
                <w:sz w:val="20"/>
                <w:szCs w:val="20"/>
              </w:rPr>
            </w:pPr>
            <w:r>
              <w:rPr>
                <w:sz w:val="20"/>
                <w:szCs w:val="20"/>
              </w:rPr>
              <w:t>15</w:t>
            </w:r>
          </w:p>
        </w:tc>
        <w:tc>
          <w:tcPr>
            <w:tcW w:w="617" w:type="dxa"/>
            <w:vAlign w:val="center"/>
          </w:tcPr>
          <w:p>
            <w:pPr>
              <w:adjustRightInd w:val="0"/>
              <w:snapToGrid w:val="0"/>
              <w:jc w:val="center"/>
              <w:rPr>
                <w:sz w:val="20"/>
                <w:szCs w:val="20"/>
              </w:rPr>
            </w:pPr>
            <w:r>
              <w:rPr>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vMerge w:val="continue"/>
          </w:tcPr>
          <w:p>
            <w:pPr>
              <w:adjustRightInd w:val="0"/>
              <w:snapToGrid w:val="0"/>
              <w:jc w:val="center"/>
              <w:rPr>
                <w:sz w:val="20"/>
                <w:szCs w:val="20"/>
              </w:rPr>
            </w:pPr>
          </w:p>
        </w:tc>
        <w:tc>
          <w:tcPr>
            <w:tcW w:w="1450" w:type="dxa"/>
            <w:gridSpan w:val="2"/>
            <w:vAlign w:val="center"/>
          </w:tcPr>
          <w:p>
            <w:pPr>
              <w:adjustRightInd w:val="0"/>
              <w:snapToGrid w:val="0"/>
              <w:rPr>
                <w:sz w:val="20"/>
                <w:szCs w:val="20"/>
              </w:rPr>
            </w:pPr>
            <w:r>
              <w:rPr>
                <w:sz w:val="20"/>
                <w:szCs w:val="20"/>
              </w:rPr>
              <w:t>现有尾矿库下游事故水池1座，容量不满足需要。</w:t>
            </w:r>
          </w:p>
        </w:tc>
        <w:tc>
          <w:tcPr>
            <w:tcW w:w="2303" w:type="dxa"/>
            <w:vAlign w:val="center"/>
          </w:tcPr>
          <w:p>
            <w:pPr>
              <w:adjustRightInd w:val="0"/>
              <w:snapToGrid w:val="0"/>
              <w:jc w:val="center"/>
              <w:rPr>
                <w:bCs/>
                <w:sz w:val="20"/>
                <w:szCs w:val="20"/>
              </w:rPr>
            </w:pPr>
            <w:r>
              <w:rPr>
                <w:bCs/>
                <w:sz w:val="20"/>
                <w:szCs w:val="20"/>
              </w:rPr>
              <w:t>增建40m×10m×4m事故水池1座</w:t>
            </w:r>
          </w:p>
        </w:tc>
        <w:tc>
          <w:tcPr>
            <w:tcW w:w="2308" w:type="dxa"/>
            <w:vAlign w:val="center"/>
          </w:tcPr>
          <w:p>
            <w:pPr>
              <w:adjustRightInd w:val="0"/>
              <w:snapToGrid w:val="0"/>
              <w:rPr>
                <w:sz w:val="20"/>
                <w:szCs w:val="20"/>
              </w:rPr>
            </w:pPr>
            <w:r>
              <w:rPr>
                <w:bCs/>
                <w:sz w:val="20"/>
                <w:szCs w:val="20"/>
              </w:rPr>
              <w:t>已建设40m×10m×4m事故水池1座</w:t>
            </w:r>
          </w:p>
        </w:tc>
        <w:tc>
          <w:tcPr>
            <w:tcW w:w="737" w:type="dxa"/>
            <w:vAlign w:val="center"/>
          </w:tcPr>
          <w:p>
            <w:pPr>
              <w:adjustRightInd w:val="0"/>
              <w:snapToGrid w:val="0"/>
              <w:jc w:val="center"/>
              <w:rPr>
                <w:sz w:val="20"/>
                <w:szCs w:val="20"/>
              </w:rPr>
            </w:pPr>
            <w:r>
              <w:rPr>
                <w:sz w:val="20"/>
                <w:szCs w:val="20"/>
              </w:rPr>
              <w:t>已整改</w:t>
            </w:r>
          </w:p>
        </w:tc>
        <w:tc>
          <w:tcPr>
            <w:tcW w:w="708" w:type="dxa"/>
            <w:vAlign w:val="center"/>
          </w:tcPr>
          <w:p>
            <w:pPr>
              <w:adjustRightInd w:val="0"/>
              <w:snapToGrid w:val="0"/>
              <w:jc w:val="center"/>
              <w:rPr>
                <w:sz w:val="20"/>
                <w:szCs w:val="20"/>
              </w:rPr>
            </w:pPr>
            <w:r>
              <w:rPr>
                <w:sz w:val="20"/>
                <w:szCs w:val="20"/>
              </w:rPr>
              <w:t>6</w:t>
            </w:r>
          </w:p>
        </w:tc>
        <w:tc>
          <w:tcPr>
            <w:tcW w:w="617" w:type="dxa"/>
            <w:vAlign w:val="center"/>
          </w:tcPr>
          <w:p>
            <w:pPr>
              <w:adjustRightInd w:val="0"/>
              <w:snapToGrid w:val="0"/>
              <w:jc w:val="center"/>
              <w:rPr>
                <w:sz w:val="20"/>
                <w:szCs w:val="20"/>
              </w:rPr>
            </w:pPr>
            <w:r>
              <w:rPr>
                <w:sz w:val="20"/>
                <w:szCs w:val="20"/>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05" w:type="dxa"/>
          </w:tcPr>
          <w:p>
            <w:pPr>
              <w:adjustRightInd w:val="0"/>
              <w:snapToGrid w:val="0"/>
              <w:jc w:val="center"/>
              <w:rPr>
                <w:sz w:val="20"/>
                <w:szCs w:val="20"/>
              </w:rPr>
            </w:pPr>
            <w:r>
              <w:rPr>
                <w:sz w:val="20"/>
                <w:szCs w:val="20"/>
              </w:rPr>
              <w:t>合计</w:t>
            </w:r>
          </w:p>
        </w:tc>
        <w:tc>
          <w:tcPr>
            <w:tcW w:w="1450" w:type="dxa"/>
            <w:gridSpan w:val="2"/>
          </w:tcPr>
          <w:p>
            <w:pPr>
              <w:adjustRightInd w:val="0"/>
              <w:snapToGrid w:val="0"/>
              <w:rPr>
                <w:sz w:val="20"/>
                <w:szCs w:val="20"/>
              </w:rPr>
            </w:pPr>
          </w:p>
        </w:tc>
        <w:tc>
          <w:tcPr>
            <w:tcW w:w="2303" w:type="dxa"/>
          </w:tcPr>
          <w:p>
            <w:pPr>
              <w:adjustRightInd w:val="0"/>
              <w:snapToGrid w:val="0"/>
              <w:rPr>
                <w:bCs/>
                <w:sz w:val="20"/>
                <w:szCs w:val="20"/>
              </w:rPr>
            </w:pPr>
          </w:p>
        </w:tc>
        <w:tc>
          <w:tcPr>
            <w:tcW w:w="2308" w:type="dxa"/>
          </w:tcPr>
          <w:p>
            <w:pPr>
              <w:adjustRightInd w:val="0"/>
              <w:snapToGrid w:val="0"/>
              <w:rPr>
                <w:bCs/>
                <w:sz w:val="20"/>
                <w:szCs w:val="20"/>
              </w:rPr>
            </w:pPr>
          </w:p>
        </w:tc>
        <w:tc>
          <w:tcPr>
            <w:tcW w:w="737" w:type="dxa"/>
            <w:vAlign w:val="center"/>
          </w:tcPr>
          <w:p>
            <w:pPr>
              <w:adjustRightInd w:val="0"/>
              <w:snapToGrid w:val="0"/>
              <w:jc w:val="center"/>
              <w:rPr>
                <w:sz w:val="20"/>
                <w:szCs w:val="20"/>
              </w:rPr>
            </w:pPr>
          </w:p>
        </w:tc>
        <w:tc>
          <w:tcPr>
            <w:tcW w:w="708" w:type="dxa"/>
            <w:vAlign w:val="center"/>
          </w:tcPr>
          <w:p>
            <w:pPr>
              <w:adjustRightInd w:val="0"/>
              <w:snapToGrid w:val="0"/>
              <w:jc w:val="center"/>
              <w:rPr>
                <w:sz w:val="20"/>
                <w:szCs w:val="20"/>
              </w:rPr>
            </w:pPr>
            <w:r>
              <w:rPr>
                <w:sz w:val="20"/>
                <w:szCs w:val="20"/>
              </w:rPr>
              <w:t>90</w:t>
            </w:r>
          </w:p>
        </w:tc>
        <w:tc>
          <w:tcPr>
            <w:tcW w:w="617" w:type="dxa"/>
            <w:vAlign w:val="center"/>
          </w:tcPr>
          <w:p>
            <w:pPr>
              <w:adjustRightInd w:val="0"/>
              <w:snapToGrid w:val="0"/>
              <w:jc w:val="center"/>
              <w:rPr>
                <w:sz w:val="20"/>
                <w:szCs w:val="20"/>
              </w:rPr>
            </w:pPr>
            <w:r>
              <w:rPr>
                <w:sz w:val="20"/>
                <w:szCs w:val="20"/>
              </w:rPr>
              <w:t>92.3</w:t>
            </w:r>
          </w:p>
        </w:tc>
      </w:tr>
    </w:tbl>
    <w:p>
      <w:pPr>
        <w:pStyle w:val="139"/>
        <w:jc w:val="left"/>
        <w:rPr>
          <w:rFonts w:eastAsia="宋体"/>
        </w:rPr>
      </w:pPr>
      <w:r>
        <w:rPr>
          <w:rFonts w:eastAsia="宋体"/>
        </w:rPr>
        <w:t xml:space="preserve">    </w:t>
      </w:r>
    </w:p>
    <w:p>
      <w:pPr>
        <w:pStyle w:val="139"/>
        <w:jc w:val="left"/>
      </w:pPr>
      <w:r>
        <w:rPr>
          <w:rFonts w:eastAsia="宋体"/>
        </w:rPr>
        <w:t xml:space="preserve">   </w:t>
      </w:r>
      <w:r>
        <w:t xml:space="preserve"> 表4.3-2                 建设期污染防与生态保护措施</w:t>
      </w:r>
    </w:p>
    <w:tbl>
      <w:tblPr>
        <w:tblStyle w:val="54"/>
        <w:tblW w:w="834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99"/>
        <w:gridCol w:w="3367"/>
        <w:gridCol w:w="2199"/>
        <w:gridCol w:w="592"/>
        <w:gridCol w:w="761"/>
        <w:gridCol w:w="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blHeader/>
          <w:jc w:val="center"/>
        </w:trPr>
        <w:tc>
          <w:tcPr>
            <w:tcW w:w="699" w:type="dxa"/>
            <w:vAlign w:val="center"/>
          </w:tcPr>
          <w:p>
            <w:pPr>
              <w:pStyle w:val="135"/>
              <w:spacing w:line="210" w:lineRule="exact"/>
              <w:jc w:val="center"/>
              <w:rPr>
                <w:rFonts w:hAnsi="Times New Roman"/>
                <w:sz w:val="18"/>
                <w:szCs w:val="18"/>
              </w:rPr>
            </w:pPr>
            <w:r>
              <w:rPr>
                <w:rFonts w:hAnsi="Times New Roman"/>
                <w:sz w:val="18"/>
                <w:szCs w:val="18"/>
              </w:rPr>
              <w:t>工程项目</w:t>
            </w:r>
          </w:p>
        </w:tc>
        <w:tc>
          <w:tcPr>
            <w:tcW w:w="3367" w:type="dxa"/>
            <w:vAlign w:val="center"/>
          </w:tcPr>
          <w:p>
            <w:pPr>
              <w:pStyle w:val="135"/>
              <w:spacing w:line="210" w:lineRule="exact"/>
              <w:jc w:val="center"/>
              <w:rPr>
                <w:rFonts w:hAnsi="Times New Roman"/>
                <w:sz w:val="18"/>
                <w:szCs w:val="18"/>
              </w:rPr>
            </w:pPr>
            <w:r>
              <w:rPr>
                <w:rFonts w:hAnsi="Times New Roman"/>
                <w:sz w:val="18"/>
                <w:szCs w:val="18"/>
              </w:rPr>
              <w:t>环评措施</w:t>
            </w:r>
          </w:p>
        </w:tc>
        <w:tc>
          <w:tcPr>
            <w:tcW w:w="2199" w:type="dxa"/>
            <w:vAlign w:val="center"/>
          </w:tcPr>
          <w:p>
            <w:pPr>
              <w:pStyle w:val="135"/>
              <w:spacing w:line="210" w:lineRule="exact"/>
              <w:jc w:val="center"/>
              <w:rPr>
                <w:rFonts w:hAnsi="Times New Roman"/>
                <w:sz w:val="18"/>
                <w:szCs w:val="18"/>
              </w:rPr>
            </w:pPr>
            <w:r>
              <w:rPr>
                <w:rFonts w:hAnsi="Times New Roman"/>
                <w:sz w:val="18"/>
                <w:szCs w:val="18"/>
              </w:rPr>
              <w:t>实际落实措施</w:t>
            </w:r>
          </w:p>
        </w:tc>
        <w:tc>
          <w:tcPr>
            <w:tcW w:w="592" w:type="dxa"/>
            <w:vAlign w:val="center"/>
          </w:tcPr>
          <w:p>
            <w:pPr>
              <w:pStyle w:val="135"/>
              <w:spacing w:line="210" w:lineRule="exact"/>
              <w:jc w:val="center"/>
              <w:rPr>
                <w:rFonts w:hAnsi="Times New Roman"/>
                <w:sz w:val="18"/>
                <w:szCs w:val="18"/>
              </w:rPr>
            </w:pPr>
            <w:r>
              <w:rPr>
                <w:rFonts w:hAnsi="Times New Roman"/>
                <w:sz w:val="18"/>
                <w:szCs w:val="18"/>
              </w:rPr>
              <w:t>落实情况</w:t>
            </w:r>
          </w:p>
        </w:tc>
        <w:tc>
          <w:tcPr>
            <w:tcW w:w="761" w:type="dxa"/>
          </w:tcPr>
          <w:p>
            <w:pPr>
              <w:adjustRightInd w:val="0"/>
              <w:snapToGrid w:val="0"/>
              <w:jc w:val="center"/>
              <w:rPr>
                <w:sz w:val="20"/>
                <w:szCs w:val="20"/>
              </w:rPr>
            </w:pPr>
            <w:r>
              <w:rPr>
                <w:sz w:val="20"/>
                <w:szCs w:val="20"/>
              </w:rPr>
              <w:t>环评估算（万元）</w:t>
            </w:r>
          </w:p>
        </w:tc>
        <w:tc>
          <w:tcPr>
            <w:tcW w:w="724" w:type="dxa"/>
          </w:tcPr>
          <w:p>
            <w:pPr>
              <w:adjustRightInd w:val="0"/>
              <w:snapToGrid w:val="0"/>
              <w:jc w:val="center"/>
              <w:rPr>
                <w:sz w:val="20"/>
                <w:szCs w:val="20"/>
              </w:rPr>
            </w:pPr>
            <w:r>
              <w:rPr>
                <w:sz w:val="20"/>
                <w:szCs w:val="20"/>
              </w:rPr>
              <w:t>实际投资（万元）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699" w:type="dxa"/>
            <w:shd w:val="clear" w:color="auto" w:fill="999999"/>
            <w:vAlign w:val="center"/>
          </w:tcPr>
          <w:p>
            <w:pPr>
              <w:pStyle w:val="135"/>
              <w:spacing w:line="210" w:lineRule="exact"/>
              <w:jc w:val="center"/>
              <w:rPr>
                <w:rFonts w:hAnsi="Times New Roman"/>
                <w:sz w:val="18"/>
                <w:szCs w:val="18"/>
              </w:rPr>
            </w:pPr>
            <w:r>
              <w:rPr>
                <w:rFonts w:hAnsi="Times New Roman"/>
                <w:sz w:val="18"/>
                <w:szCs w:val="18"/>
              </w:rPr>
              <w:t>废气污染防治</w:t>
            </w:r>
          </w:p>
        </w:tc>
        <w:tc>
          <w:tcPr>
            <w:tcW w:w="3367" w:type="dxa"/>
            <w:shd w:val="clear" w:color="auto" w:fill="999999"/>
            <w:vAlign w:val="center"/>
          </w:tcPr>
          <w:p>
            <w:pPr>
              <w:pStyle w:val="137"/>
              <w:spacing w:line="210" w:lineRule="exact"/>
              <w:rPr>
                <w:sz w:val="18"/>
                <w:szCs w:val="18"/>
              </w:rPr>
            </w:pPr>
          </w:p>
        </w:tc>
        <w:tc>
          <w:tcPr>
            <w:tcW w:w="2199" w:type="dxa"/>
            <w:shd w:val="clear" w:color="auto" w:fill="999999"/>
            <w:vAlign w:val="center"/>
          </w:tcPr>
          <w:p>
            <w:pPr>
              <w:pStyle w:val="135"/>
              <w:spacing w:line="210" w:lineRule="exact"/>
              <w:rPr>
                <w:rFonts w:hAnsi="Times New Roman"/>
                <w:sz w:val="18"/>
                <w:szCs w:val="18"/>
              </w:rPr>
            </w:pPr>
          </w:p>
        </w:tc>
        <w:tc>
          <w:tcPr>
            <w:tcW w:w="592" w:type="dxa"/>
            <w:shd w:val="clear" w:color="auto" w:fill="999999"/>
            <w:vAlign w:val="center"/>
          </w:tcPr>
          <w:p>
            <w:pPr>
              <w:pStyle w:val="135"/>
              <w:spacing w:line="210" w:lineRule="exact"/>
              <w:jc w:val="center"/>
              <w:rPr>
                <w:rFonts w:hAnsi="Times New Roman"/>
                <w:sz w:val="18"/>
                <w:szCs w:val="18"/>
              </w:rPr>
            </w:pPr>
          </w:p>
        </w:tc>
        <w:tc>
          <w:tcPr>
            <w:tcW w:w="761" w:type="dxa"/>
            <w:shd w:val="clear" w:color="auto" w:fill="999999"/>
            <w:vAlign w:val="center"/>
          </w:tcPr>
          <w:p>
            <w:pPr>
              <w:pStyle w:val="135"/>
              <w:spacing w:line="210" w:lineRule="exact"/>
              <w:jc w:val="center"/>
              <w:rPr>
                <w:rFonts w:hAnsi="Times New Roman"/>
                <w:sz w:val="18"/>
                <w:szCs w:val="18"/>
              </w:rPr>
            </w:pPr>
          </w:p>
        </w:tc>
        <w:tc>
          <w:tcPr>
            <w:tcW w:w="724" w:type="dxa"/>
            <w:shd w:val="clear" w:color="auto" w:fill="999999"/>
            <w:vAlign w:val="center"/>
          </w:tcPr>
          <w:p>
            <w:pPr>
              <w:pStyle w:val="135"/>
              <w:spacing w:line="210" w:lineRule="exact"/>
              <w:jc w:val="center"/>
              <w:rPr>
                <w:rFonts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699" w:type="dxa"/>
            <w:shd w:val="clear" w:color="auto" w:fill="auto"/>
            <w:vAlign w:val="center"/>
          </w:tcPr>
          <w:p>
            <w:pPr>
              <w:pStyle w:val="135"/>
              <w:spacing w:line="210" w:lineRule="exact"/>
              <w:jc w:val="center"/>
              <w:rPr>
                <w:rFonts w:hAnsi="Times New Roman"/>
                <w:sz w:val="18"/>
                <w:szCs w:val="18"/>
              </w:rPr>
            </w:pPr>
            <w:r>
              <w:rPr>
                <w:rFonts w:hAnsi="Times New Roman"/>
                <w:sz w:val="18"/>
                <w:szCs w:val="18"/>
              </w:rPr>
              <w:t>场地施工扬尘</w:t>
            </w:r>
          </w:p>
        </w:tc>
        <w:tc>
          <w:tcPr>
            <w:tcW w:w="3367" w:type="dxa"/>
            <w:vAlign w:val="center"/>
          </w:tcPr>
          <w:p>
            <w:pPr>
              <w:pStyle w:val="137"/>
              <w:spacing w:line="210" w:lineRule="exact"/>
              <w:rPr>
                <w:sz w:val="18"/>
                <w:szCs w:val="18"/>
              </w:rPr>
            </w:pPr>
            <w:r>
              <w:rPr>
                <w:sz w:val="18"/>
                <w:szCs w:val="18"/>
              </w:rPr>
              <w:t>①土方的挖掘、堆放要规范有序；②施工中土方堆放场地要合理选择；③易产生扬尘的施工材料要加盖帆布篷，洒落的施工材料要及时清理，弃方要及时清运；④施工过程应对工业场地进行洒水</w:t>
            </w:r>
          </w:p>
        </w:tc>
        <w:tc>
          <w:tcPr>
            <w:tcW w:w="2199" w:type="dxa"/>
            <w:vAlign w:val="center"/>
          </w:tcPr>
          <w:p>
            <w:pPr>
              <w:pStyle w:val="135"/>
              <w:spacing w:line="210" w:lineRule="exact"/>
              <w:rPr>
                <w:rFonts w:hAnsi="Times New Roman"/>
                <w:sz w:val="18"/>
                <w:szCs w:val="18"/>
              </w:rPr>
            </w:pPr>
            <w:r>
              <w:rPr>
                <w:rFonts w:hAnsi="Times New Roman"/>
                <w:sz w:val="18"/>
                <w:szCs w:val="18"/>
              </w:rPr>
              <w:t>配备洒水车对施工场地进行洒水。</w:t>
            </w:r>
          </w:p>
        </w:tc>
        <w:tc>
          <w:tcPr>
            <w:tcW w:w="592" w:type="dxa"/>
            <w:vAlign w:val="center"/>
          </w:tcPr>
          <w:p>
            <w:pPr>
              <w:pStyle w:val="135"/>
              <w:spacing w:line="210" w:lineRule="exact"/>
              <w:jc w:val="center"/>
              <w:rPr>
                <w:rFonts w:hAnsi="Times New Roman"/>
                <w:sz w:val="18"/>
                <w:szCs w:val="18"/>
              </w:rPr>
            </w:pPr>
            <w:r>
              <w:rPr>
                <w:rFonts w:hAnsi="Times New Roman"/>
                <w:sz w:val="18"/>
                <w:szCs w:val="18"/>
              </w:rPr>
              <w:t>已落实</w:t>
            </w:r>
          </w:p>
        </w:tc>
        <w:tc>
          <w:tcPr>
            <w:tcW w:w="761" w:type="dxa"/>
            <w:vAlign w:val="center"/>
          </w:tcPr>
          <w:p>
            <w:pPr>
              <w:pStyle w:val="135"/>
              <w:spacing w:line="210" w:lineRule="exact"/>
              <w:jc w:val="center"/>
              <w:rPr>
                <w:rFonts w:hAnsi="Times New Roman"/>
                <w:sz w:val="18"/>
                <w:szCs w:val="18"/>
              </w:rPr>
            </w:pPr>
            <w:r>
              <w:rPr>
                <w:rFonts w:hAnsi="Times New Roman"/>
                <w:sz w:val="18"/>
                <w:szCs w:val="18"/>
              </w:rPr>
              <w:t>/</w:t>
            </w:r>
          </w:p>
        </w:tc>
        <w:tc>
          <w:tcPr>
            <w:tcW w:w="724" w:type="dxa"/>
            <w:vAlign w:val="center"/>
          </w:tcPr>
          <w:p>
            <w:pPr>
              <w:pStyle w:val="135"/>
              <w:spacing w:line="210" w:lineRule="exact"/>
              <w:jc w:val="center"/>
              <w:rPr>
                <w:rFonts w:hAnsi="Times New Roman"/>
                <w:sz w:val="18"/>
                <w:szCs w:val="18"/>
              </w:rPr>
            </w:pPr>
            <w:r>
              <w:rPr>
                <w:rFonts w:hAnsi="Times New Roman"/>
                <w:sz w:val="18"/>
                <w:szCs w:val="18"/>
              </w:rPr>
              <w:t>计入遗留问题整改措施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699" w:type="dxa"/>
            <w:shd w:val="clear" w:color="auto" w:fill="auto"/>
            <w:vAlign w:val="center"/>
          </w:tcPr>
          <w:p>
            <w:pPr>
              <w:pStyle w:val="135"/>
              <w:spacing w:line="210" w:lineRule="exact"/>
              <w:jc w:val="center"/>
              <w:rPr>
                <w:rFonts w:hAnsi="Times New Roman"/>
                <w:sz w:val="18"/>
                <w:szCs w:val="18"/>
              </w:rPr>
            </w:pPr>
            <w:r>
              <w:rPr>
                <w:rFonts w:hAnsi="Times New Roman"/>
                <w:sz w:val="18"/>
                <w:szCs w:val="18"/>
              </w:rPr>
              <w:t>车辆运输扬尘</w:t>
            </w:r>
          </w:p>
        </w:tc>
        <w:tc>
          <w:tcPr>
            <w:tcW w:w="3367" w:type="dxa"/>
            <w:vAlign w:val="center"/>
          </w:tcPr>
          <w:p>
            <w:pPr>
              <w:pStyle w:val="137"/>
              <w:spacing w:line="210" w:lineRule="exact"/>
              <w:rPr>
                <w:sz w:val="18"/>
                <w:szCs w:val="18"/>
              </w:rPr>
            </w:pPr>
            <w:r>
              <w:rPr>
                <w:sz w:val="18"/>
                <w:szCs w:val="18"/>
              </w:rPr>
              <w:t>每日适时定期洒水，加盖帆布篷，限制车速</w:t>
            </w:r>
          </w:p>
        </w:tc>
        <w:tc>
          <w:tcPr>
            <w:tcW w:w="2199" w:type="dxa"/>
            <w:vAlign w:val="center"/>
          </w:tcPr>
          <w:p>
            <w:pPr>
              <w:pStyle w:val="135"/>
              <w:spacing w:line="210" w:lineRule="exact"/>
              <w:rPr>
                <w:rFonts w:hAnsi="Times New Roman"/>
                <w:sz w:val="18"/>
                <w:szCs w:val="18"/>
              </w:rPr>
            </w:pPr>
            <w:r>
              <w:rPr>
                <w:rFonts w:hAnsi="Times New Roman"/>
                <w:sz w:val="18"/>
                <w:szCs w:val="18"/>
              </w:rPr>
              <w:t>配置简易洒水车，定时洒水，抑制扬尘的产生</w:t>
            </w:r>
          </w:p>
        </w:tc>
        <w:tc>
          <w:tcPr>
            <w:tcW w:w="592" w:type="dxa"/>
            <w:vAlign w:val="center"/>
          </w:tcPr>
          <w:p>
            <w:pPr>
              <w:pStyle w:val="135"/>
              <w:spacing w:line="210" w:lineRule="exact"/>
              <w:jc w:val="center"/>
              <w:rPr>
                <w:rFonts w:hAnsi="Times New Roman"/>
                <w:sz w:val="18"/>
                <w:szCs w:val="18"/>
              </w:rPr>
            </w:pPr>
            <w:r>
              <w:rPr>
                <w:rFonts w:hAnsi="Times New Roman"/>
                <w:sz w:val="18"/>
                <w:szCs w:val="18"/>
              </w:rPr>
              <w:t>已落实</w:t>
            </w:r>
          </w:p>
        </w:tc>
        <w:tc>
          <w:tcPr>
            <w:tcW w:w="761" w:type="dxa"/>
            <w:vAlign w:val="center"/>
          </w:tcPr>
          <w:p>
            <w:pPr>
              <w:pStyle w:val="135"/>
              <w:spacing w:line="210" w:lineRule="exact"/>
              <w:jc w:val="center"/>
              <w:rPr>
                <w:rFonts w:hAnsi="Times New Roman"/>
                <w:sz w:val="18"/>
                <w:szCs w:val="18"/>
              </w:rPr>
            </w:pPr>
            <w:r>
              <w:rPr>
                <w:rFonts w:hAnsi="Times New Roman"/>
                <w:sz w:val="18"/>
                <w:szCs w:val="18"/>
              </w:rPr>
              <w:t>/</w:t>
            </w:r>
          </w:p>
        </w:tc>
        <w:tc>
          <w:tcPr>
            <w:tcW w:w="724" w:type="dxa"/>
            <w:vAlign w:val="center"/>
          </w:tcPr>
          <w:p>
            <w:pPr>
              <w:pStyle w:val="135"/>
              <w:spacing w:line="210" w:lineRule="exact"/>
              <w:jc w:val="center"/>
              <w:rPr>
                <w:rFonts w:hAnsi="Times New Roman"/>
                <w:sz w:val="18"/>
                <w:szCs w:val="18"/>
              </w:rPr>
            </w:pPr>
            <w:r>
              <w:rPr>
                <w:rFonts w:hAnsi="Times New Roman"/>
                <w:sz w:val="18"/>
                <w:szCs w:val="18"/>
              </w:rPr>
              <w:t>计入遗留问题整改措施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699" w:type="dxa"/>
            <w:shd w:val="clear" w:color="auto" w:fill="999999"/>
            <w:vAlign w:val="center"/>
          </w:tcPr>
          <w:p>
            <w:pPr>
              <w:pStyle w:val="135"/>
              <w:spacing w:line="210" w:lineRule="exact"/>
              <w:jc w:val="center"/>
              <w:rPr>
                <w:rFonts w:hAnsi="Times New Roman"/>
                <w:sz w:val="18"/>
                <w:szCs w:val="18"/>
              </w:rPr>
            </w:pPr>
            <w:r>
              <w:rPr>
                <w:rFonts w:hAnsi="Times New Roman"/>
                <w:sz w:val="18"/>
                <w:szCs w:val="18"/>
              </w:rPr>
              <w:t>噪声污染防治</w:t>
            </w:r>
          </w:p>
        </w:tc>
        <w:tc>
          <w:tcPr>
            <w:tcW w:w="3367" w:type="dxa"/>
            <w:shd w:val="clear" w:color="auto" w:fill="999999"/>
            <w:vAlign w:val="center"/>
          </w:tcPr>
          <w:p>
            <w:pPr>
              <w:pStyle w:val="137"/>
              <w:spacing w:line="210" w:lineRule="exact"/>
              <w:rPr>
                <w:sz w:val="18"/>
                <w:szCs w:val="18"/>
              </w:rPr>
            </w:pPr>
          </w:p>
        </w:tc>
        <w:tc>
          <w:tcPr>
            <w:tcW w:w="2199" w:type="dxa"/>
            <w:shd w:val="clear" w:color="auto" w:fill="999999"/>
            <w:vAlign w:val="center"/>
          </w:tcPr>
          <w:p>
            <w:pPr>
              <w:pStyle w:val="135"/>
              <w:spacing w:line="210" w:lineRule="exact"/>
              <w:rPr>
                <w:rFonts w:hAnsi="Times New Roman"/>
                <w:sz w:val="18"/>
                <w:szCs w:val="18"/>
              </w:rPr>
            </w:pPr>
          </w:p>
        </w:tc>
        <w:tc>
          <w:tcPr>
            <w:tcW w:w="592" w:type="dxa"/>
            <w:shd w:val="clear" w:color="auto" w:fill="999999"/>
            <w:vAlign w:val="center"/>
          </w:tcPr>
          <w:p>
            <w:pPr>
              <w:pStyle w:val="135"/>
              <w:spacing w:line="210" w:lineRule="exact"/>
              <w:jc w:val="center"/>
              <w:rPr>
                <w:rFonts w:hAnsi="Times New Roman"/>
                <w:sz w:val="18"/>
                <w:szCs w:val="18"/>
              </w:rPr>
            </w:pPr>
          </w:p>
        </w:tc>
        <w:tc>
          <w:tcPr>
            <w:tcW w:w="761" w:type="dxa"/>
            <w:shd w:val="clear" w:color="auto" w:fill="999999"/>
            <w:vAlign w:val="center"/>
          </w:tcPr>
          <w:p>
            <w:pPr>
              <w:pStyle w:val="135"/>
              <w:spacing w:line="210" w:lineRule="exact"/>
              <w:jc w:val="center"/>
              <w:rPr>
                <w:rFonts w:hAnsi="Times New Roman"/>
                <w:sz w:val="18"/>
                <w:szCs w:val="18"/>
              </w:rPr>
            </w:pPr>
          </w:p>
        </w:tc>
        <w:tc>
          <w:tcPr>
            <w:tcW w:w="724" w:type="dxa"/>
            <w:shd w:val="clear" w:color="auto" w:fill="999999"/>
            <w:vAlign w:val="center"/>
          </w:tcPr>
          <w:p>
            <w:pPr>
              <w:pStyle w:val="135"/>
              <w:spacing w:line="210" w:lineRule="exact"/>
              <w:jc w:val="center"/>
              <w:rPr>
                <w:rFonts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99" w:type="dxa"/>
            <w:vAlign w:val="center"/>
          </w:tcPr>
          <w:p>
            <w:pPr>
              <w:pStyle w:val="135"/>
              <w:spacing w:line="210" w:lineRule="exact"/>
              <w:jc w:val="center"/>
              <w:rPr>
                <w:rFonts w:hAnsi="Times New Roman"/>
                <w:sz w:val="18"/>
                <w:szCs w:val="18"/>
              </w:rPr>
            </w:pPr>
            <w:r>
              <w:rPr>
                <w:rFonts w:hAnsi="Times New Roman"/>
                <w:sz w:val="18"/>
                <w:szCs w:val="18"/>
              </w:rPr>
              <w:t>抑噪降噪</w:t>
            </w:r>
          </w:p>
        </w:tc>
        <w:tc>
          <w:tcPr>
            <w:tcW w:w="3367" w:type="dxa"/>
            <w:vAlign w:val="center"/>
          </w:tcPr>
          <w:p>
            <w:pPr>
              <w:pStyle w:val="137"/>
              <w:spacing w:line="210" w:lineRule="exact"/>
              <w:rPr>
                <w:sz w:val="18"/>
                <w:szCs w:val="18"/>
              </w:rPr>
            </w:pPr>
            <w:r>
              <w:rPr>
                <w:sz w:val="18"/>
                <w:szCs w:val="18"/>
              </w:rPr>
              <w:t>及时检修、保养施工设备；白天施工并合理安排时间，除施工作业不允许停止作业的情况外，严禁其他夜间施工行为</w:t>
            </w:r>
          </w:p>
        </w:tc>
        <w:tc>
          <w:tcPr>
            <w:tcW w:w="2199" w:type="dxa"/>
            <w:vAlign w:val="center"/>
          </w:tcPr>
          <w:p>
            <w:pPr>
              <w:pStyle w:val="135"/>
              <w:spacing w:line="210" w:lineRule="exact"/>
              <w:rPr>
                <w:rFonts w:hAnsi="Times New Roman"/>
                <w:sz w:val="18"/>
                <w:szCs w:val="18"/>
              </w:rPr>
            </w:pPr>
            <w:r>
              <w:rPr>
                <w:rFonts w:hAnsi="Times New Roman"/>
                <w:sz w:val="18"/>
                <w:szCs w:val="18"/>
              </w:rPr>
              <w:t>最大限度地减少施工噪声对环境的不利影响</w:t>
            </w:r>
          </w:p>
        </w:tc>
        <w:tc>
          <w:tcPr>
            <w:tcW w:w="592" w:type="dxa"/>
            <w:vAlign w:val="center"/>
          </w:tcPr>
          <w:p>
            <w:pPr>
              <w:pStyle w:val="135"/>
              <w:spacing w:line="210" w:lineRule="exact"/>
              <w:jc w:val="center"/>
              <w:rPr>
                <w:rFonts w:hAnsi="Times New Roman"/>
                <w:sz w:val="18"/>
                <w:szCs w:val="18"/>
              </w:rPr>
            </w:pPr>
            <w:r>
              <w:rPr>
                <w:rFonts w:hAnsi="Times New Roman"/>
                <w:sz w:val="18"/>
                <w:szCs w:val="18"/>
              </w:rPr>
              <w:t>已落实</w:t>
            </w:r>
          </w:p>
        </w:tc>
        <w:tc>
          <w:tcPr>
            <w:tcW w:w="761" w:type="dxa"/>
            <w:vAlign w:val="center"/>
          </w:tcPr>
          <w:p>
            <w:pPr>
              <w:pStyle w:val="135"/>
              <w:spacing w:line="210" w:lineRule="exact"/>
              <w:jc w:val="center"/>
              <w:rPr>
                <w:rFonts w:hAnsi="Times New Roman"/>
                <w:sz w:val="18"/>
                <w:szCs w:val="18"/>
              </w:rPr>
            </w:pPr>
            <w:r>
              <w:rPr>
                <w:rFonts w:hAnsi="Times New Roman"/>
                <w:sz w:val="18"/>
                <w:szCs w:val="18"/>
              </w:rPr>
              <w:t>/</w:t>
            </w:r>
          </w:p>
        </w:tc>
        <w:tc>
          <w:tcPr>
            <w:tcW w:w="724" w:type="dxa"/>
            <w:vAlign w:val="center"/>
          </w:tcPr>
          <w:p>
            <w:pPr>
              <w:pStyle w:val="135"/>
              <w:spacing w:line="210" w:lineRule="exact"/>
              <w:jc w:val="center"/>
              <w:rPr>
                <w:rFonts w:hAnsi="Times New Roman"/>
                <w:sz w:val="18"/>
                <w:szCs w:val="18"/>
              </w:rPr>
            </w:pPr>
            <w:r>
              <w:rPr>
                <w:rFonts w:hAnsi="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99" w:type="dxa"/>
            <w:shd w:val="clear" w:color="auto" w:fill="999999"/>
            <w:vAlign w:val="center"/>
          </w:tcPr>
          <w:p>
            <w:pPr>
              <w:pStyle w:val="135"/>
              <w:spacing w:line="210" w:lineRule="exact"/>
              <w:jc w:val="center"/>
              <w:rPr>
                <w:rFonts w:hAnsi="Times New Roman"/>
                <w:sz w:val="18"/>
                <w:szCs w:val="18"/>
              </w:rPr>
            </w:pPr>
            <w:r>
              <w:rPr>
                <w:rFonts w:hAnsi="Times New Roman"/>
                <w:sz w:val="18"/>
                <w:szCs w:val="18"/>
              </w:rPr>
              <w:t>废水污染防治</w:t>
            </w:r>
          </w:p>
        </w:tc>
        <w:tc>
          <w:tcPr>
            <w:tcW w:w="3367" w:type="dxa"/>
            <w:shd w:val="clear" w:color="auto" w:fill="999999"/>
            <w:vAlign w:val="center"/>
          </w:tcPr>
          <w:p>
            <w:pPr>
              <w:pStyle w:val="137"/>
              <w:spacing w:line="210" w:lineRule="exact"/>
              <w:rPr>
                <w:sz w:val="18"/>
                <w:szCs w:val="18"/>
              </w:rPr>
            </w:pPr>
          </w:p>
        </w:tc>
        <w:tc>
          <w:tcPr>
            <w:tcW w:w="2199" w:type="dxa"/>
            <w:shd w:val="clear" w:color="auto" w:fill="999999"/>
            <w:vAlign w:val="center"/>
          </w:tcPr>
          <w:p>
            <w:pPr>
              <w:pStyle w:val="135"/>
              <w:spacing w:line="210" w:lineRule="exact"/>
              <w:rPr>
                <w:rFonts w:hAnsi="Times New Roman"/>
                <w:sz w:val="18"/>
                <w:szCs w:val="18"/>
              </w:rPr>
            </w:pPr>
          </w:p>
        </w:tc>
        <w:tc>
          <w:tcPr>
            <w:tcW w:w="592" w:type="dxa"/>
            <w:shd w:val="clear" w:color="auto" w:fill="999999"/>
            <w:vAlign w:val="center"/>
          </w:tcPr>
          <w:p>
            <w:pPr>
              <w:pStyle w:val="135"/>
              <w:spacing w:line="210" w:lineRule="exact"/>
              <w:jc w:val="center"/>
              <w:rPr>
                <w:rFonts w:hAnsi="Times New Roman"/>
                <w:sz w:val="18"/>
                <w:szCs w:val="18"/>
              </w:rPr>
            </w:pPr>
          </w:p>
        </w:tc>
        <w:tc>
          <w:tcPr>
            <w:tcW w:w="761" w:type="dxa"/>
            <w:shd w:val="clear" w:color="auto" w:fill="999999"/>
            <w:vAlign w:val="center"/>
          </w:tcPr>
          <w:p>
            <w:pPr>
              <w:pStyle w:val="135"/>
              <w:spacing w:line="210" w:lineRule="exact"/>
              <w:jc w:val="center"/>
              <w:rPr>
                <w:rFonts w:hAnsi="Times New Roman"/>
                <w:sz w:val="18"/>
                <w:szCs w:val="18"/>
              </w:rPr>
            </w:pPr>
          </w:p>
        </w:tc>
        <w:tc>
          <w:tcPr>
            <w:tcW w:w="724" w:type="dxa"/>
            <w:shd w:val="clear" w:color="auto" w:fill="999999"/>
            <w:vAlign w:val="center"/>
          </w:tcPr>
          <w:p>
            <w:pPr>
              <w:pStyle w:val="135"/>
              <w:spacing w:line="210" w:lineRule="exact"/>
              <w:jc w:val="center"/>
              <w:rPr>
                <w:rFonts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99" w:type="dxa"/>
            <w:vAlign w:val="center"/>
          </w:tcPr>
          <w:p>
            <w:pPr>
              <w:pStyle w:val="135"/>
              <w:spacing w:line="210" w:lineRule="exact"/>
              <w:jc w:val="center"/>
              <w:rPr>
                <w:rFonts w:hAnsi="Times New Roman"/>
                <w:sz w:val="18"/>
                <w:szCs w:val="18"/>
              </w:rPr>
            </w:pPr>
            <w:r>
              <w:rPr>
                <w:rFonts w:hAnsi="Times New Roman"/>
                <w:sz w:val="18"/>
                <w:szCs w:val="18"/>
              </w:rPr>
              <w:t>生活污水</w:t>
            </w:r>
          </w:p>
        </w:tc>
        <w:tc>
          <w:tcPr>
            <w:tcW w:w="3367" w:type="dxa"/>
            <w:vAlign w:val="center"/>
          </w:tcPr>
          <w:p>
            <w:pPr>
              <w:pStyle w:val="137"/>
              <w:spacing w:line="210" w:lineRule="exact"/>
              <w:rPr>
                <w:sz w:val="18"/>
                <w:szCs w:val="18"/>
              </w:rPr>
            </w:pPr>
            <w:r>
              <w:rPr>
                <w:sz w:val="18"/>
                <w:szCs w:val="18"/>
              </w:rPr>
              <w:t>依托现有冲水厕所、化粪池</w:t>
            </w:r>
          </w:p>
        </w:tc>
        <w:tc>
          <w:tcPr>
            <w:tcW w:w="2199" w:type="dxa"/>
            <w:vAlign w:val="center"/>
          </w:tcPr>
          <w:p>
            <w:pPr>
              <w:pStyle w:val="135"/>
              <w:spacing w:line="210" w:lineRule="exact"/>
              <w:rPr>
                <w:rFonts w:hAnsi="Times New Roman"/>
                <w:sz w:val="18"/>
                <w:szCs w:val="18"/>
              </w:rPr>
            </w:pPr>
            <w:r>
              <w:rPr>
                <w:rFonts w:hAnsi="Times New Roman"/>
                <w:sz w:val="18"/>
                <w:szCs w:val="18"/>
              </w:rPr>
              <w:t>依托现有冲水厕所、化粪池处理后排入尾矿库沉淀处理后回用选厂生产</w:t>
            </w:r>
          </w:p>
        </w:tc>
        <w:tc>
          <w:tcPr>
            <w:tcW w:w="592" w:type="dxa"/>
            <w:vAlign w:val="center"/>
          </w:tcPr>
          <w:p>
            <w:pPr>
              <w:pStyle w:val="135"/>
              <w:spacing w:line="210" w:lineRule="exact"/>
              <w:jc w:val="center"/>
              <w:rPr>
                <w:rFonts w:hAnsi="Times New Roman"/>
                <w:sz w:val="18"/>
                <w:szCs w:val="18"/>
              </w:rPr>
            </w:pPr>
            <w:r>
              <w:rPr>
                <w:rFonts w:hAnsi="Times New Roman"/>
                <w:sz w:val="18"/>
                <w:szCs w:val="18"/>
              </w:rPr>
              <w:t>已落实</w:t>
            </w:r>
          </w:p>
        </w:tc>
        <w:tc>
          <w:tcPr>
            <w:tcW w:w="761" w:type="dxa"/>
            <w:vAlign w:val="center"/>
          </w:tcPr>
          <w:p>
            <w:pPr>
              <w:pStyle w:val="135"/>
              <w:spacing w:line="210" w:lineRule="exact"/>
              <w:jc w:val="center"/>
              <w:rPr>
                <w:rFonts w:hAnsi="Times New Roman"/>
                <w:sz w:val="18"/>
                <w:szCs w:val="18"/>
              </w:rPr>
            </w:pPr>
            <w:r>
              <w:rPr>
                <w:rFonts w:hAnsi="Times New Roman"/>
                <w:sz w:val="18"/>
                <w:szCs w:val="18"/>
              </w:rPr>
              <w:t>/</w:t>
            </w:r>
          </w:p>
        </w:tc>
        <w:tc>
          <w:tcPr>
            <w:tcW w:w="724" w:type="dxa"/>
            <w:vAlign w:val="center"/>
          </w:tcPr>
          <w:p>
            <w:pPr>
              <w:pStyle w:val="135"/>
              <w:spacing w:line="210" w:lineRule="exact"/>
              <w:jc w:val="center"/>
              <w:rPr>
                <w:rFonts w:hAnsi="Times New Roman"/>
                <w:sz w:val="18"/>
                <w:szCs w:val="18"/>
              </w:rPr>
            </w:pPr>
            <w:r>
              <w:rPr>
                <w:rFonts w:hAnsi="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99" w:type="dxa"/>
            <w:shd w:val="clear" w:color="auto" w:fill="999999"/>
            <w:vAlign w:val="center"/>
          </w:tcPr>
          <w:p>
            <w:pPr>
              <w:pStyle w:val="135"/>
              <w:spacing w:line="210" w:lineRule="exact"/>
              <w:jc w:val="center"/>
              <w:rPr>
                <w:rFonts w:hAnsi="Times New Roman"/>
                <w:sz w:val="18"/>
                <w:szCs w:val="18"/>
              </w:rPr>
            </w:pPr>
            <w:r>
              <w:rPr>
                <w:rFonts w:hAnsi="Times New Roman"/>
                <w:sz w:val="18"/>
                <w:szCs w:val="18"/>
              </w:rPr>
              <w:t>固体废物</w:t>
            </w:r>
          </w:p>
        </w:tc>
        <w:tc>
          <w:tcPr>
            <w:tcW w:w="3367" w:type="dxa"/>
            <w:shd w:val="clear" w:color="auto" w:fill="999999"/>
            <w:vAlign w:val="center"/>
          </w:tcPr>
          <w:p>
            <w:pPr>
              <w:pStyle w:val="137"/>
              <w:spacing w:line="210" w:lineRule="exact"/>
              <w:rPr>
                <w:sz w:val="18"/>
                <w:szCs w:val="18"/>
              </w:rPr>
            </w:pPr>
          </w:p>
        </w:tc>
        <w:tc>
          <w:tcPr>
            <w:tcW w:w="2199" w:type="dxa"/>
            <w:shd w:val="clear" w:color="auto" w:fill="999999"/>
            <w:vAlign w:val="center"/>
          </w:tcPr>
          <w:p>
            <w:pPr>
              <w:pStyle w:val="135"/>
              <w:spacing w:line="210" w:lineRule="exact"/>
              <w:rPr>
                <w:rFonts w:hAnsi="Times New Roman"/>
                <w:sz w:val="18"/>
                <w:szCs w:val="18"/>
              </w:rPr>
            </w:pPr>
          </w:p>
        </w:tc>
        <w:tc>
          <w:tcPr>
            <w:tcW w:w="592" w:type="dxa"/>
            <w:shd w:val="clear" w:color="auto" w:fill="999999"/>
            <w:vAlign w:val="center"/>
          </w:tcPr>
          <w:p>
            <w:pPr>
              <w:pStyle w:val="135"/>
              <w:spacing w:line="210" w:lineRule="exact"/>
              <w:jc w:val="center"/>
              <w:rPr>
                <w:rFonts w:hAnsi="Times New Roman"/>
                <w:sz w:val="18"/>
                <w:szCs w:val="18"/>
              </w:rPr>
            </w:pPr>
          </w:p>
        </w:tc>
        <w:tc>
          <w:tcPr>
            <w:tcW w:w="761" w:type="dxa"/>
            <w:shd w:val="clear" w:color="auto" w:fill="999999"/>
            <w:vAlign w:val="center"/>
          </w:tcPr>
          <w:p>
            <w:pPr>
              <w:pStyle w:val="135"/>
              <w:spacing w:line="210" w:lineRule="exact"/>
              <w:jc w:val="center"/>
              <w:rPr>
                <w:rFonts w:hAnsi="Times New Roman"/>
                <w:sz w:val="18"/>
                <w:szCs w:val="18"/>
              </w:rPr>
            </w:pPr>
          </w:p>
        </w:tc>
        <w:tc>
          <w:tcPr>
            <w:tcW w:w="724" w:type="dxa"/>
            <w:shd w:val="clear" w:color="auto" w:fill="999999"/>
            <w:vAlign w:val="center"/>
          </w:tcPr>
          <w:p>
            <w:pPr>
              <w:pStyle w:val="135"/>
              <w:spacing w:line="210" w:lineRule="exact"/>
              <w:jc w:val="center"/>
              <w:rPr>
                <w:rFonts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699" w:type="dxa"/>
            <w:vAlign w:val="center"/>
          </w:tcPr>
          <w:p>
            <w:pPr>
              <w:pStyle w:val="135"/>
              <w:spacing w:line="210" w:lineRule="exact"/>
              <w:jc w:val="center"/>
              <w:rPr>
                <w:rFonts w:hAnsi="Times New Roman"/>
                <w:sz w:val="18"/>
                <w:szCs w:val="18"/>
              </w:rPr>
            </w:pPr>
            <w:r>
              <w:rPr>
                <w:rFonts w:hAnsi="Times New Roman"/>
                <w:sz w:val="18"/>
                <w:szCs w:val="18"/>
              </w:rPr>
              <w:t>生活垃圾</w:t>
            </w:r>
          </w:p>
        </w:tc>
        <w:tc>
          <w:tcPr>
            <w:tcW w:w="3367" w:type="dxa"/>
            <w:vAlign w:val="center"/>
          </w:tcPr>
          <w:p>
            <w:pPr>
              <w:pStyle w:val="137"/>
              <w:spacing w:line="210" w:lineRule="exact"/>
              <w:rPr>
                <w:sz w:val="18"/>
                <w:szCs w:val="18"/>
              </w:rPr>
            </w:pPr>
            <w:r>
              <w:rPr>
                <w:sz w:val="18"/>
                <w:szCs w:val="18"/>
              </w:rPr>
              <w:t>依托现有各个活动场所分别设置垃圾桶，垃圾委托当地环卫部门统一清运。</w:t>
            </w:r>
          </w:p>
        </w:tc>
        <w:tc>
          <w:tcPr>
            <w:tcW w:w="2199" w:type="dxa"/>
            <w:vAlign w:val="center"/>
          </w:tcPr>
          <w:p>
            <w:pPr>
              <w:pStyle w:val="135"/>
              <w:spacing w:line="210" w:lineRule="exact"/>
              <w:rPr>
                <w:rFonts w:hAnsi="Times New Roman"/>
                <w:sz w:val="18"/>
                <w:szCs w:val="18"/>
              </w:rPr>
            </w:pPr>
            <w:r>
              <w:rPr>
                <w:rFonts w:hAnsi="Times New Roman"/>
                <w:sz w:val="18"/>
                <w:szCs w:val="18"/>
              </w:rPr>
              <w:t>依托现有生活区垃圾桶收集，垃圾委托当地环卫部门统一清运。</w:t>
            </w:r>
          </w:p>
        </w:tc>
        <w:tc>
          <w:tcPr>
            <w:tcW w:w="592" w:type="dxa"/>
            <w:vAlign w:val="center"/>
          </w:tcPr>
          <w:p>
            <w:pPr>
              <w:pStyle w:val="135"/>
              <w:spacing w:line="210" w:lineRule="exact"/>
              <w:jc w:val="center"/>
              <w:rPr>
                <w:rFonts w:hAnsi="Times New Roman"/>
                <w:sz w:val="18"/>
                <w:szCs w:val="18"/>
              </w:rPr>
            </w:pPr>
            <w:r>
              <w:rPr>
                <w:rFonts w:hAnsi="Times New Roman"/>
                <w:sz w:val="18"/>
                <w:szCs w:val="18"/>
              </w:rPr>
              <w:t>已落实</w:t>
            </w:r>
          </w:p>
        </w:tc>
        <w:tc>
          <w:tcPr>
            <w:tcW w:w="761" w:type="dxa"/>
            <w:vAlign w:val="center"/>
          </w:tcPr>
          <w:p>
            <w:pPr>
              <w:pStyle w:val="135"/>
              <w:spacing w:line="210" w:lineRule="exact"/>
              <w:jc w:val="center"/>
              <w:rPr>
                <w:rFonts w:hAnsi="Times New Roman"/>
                <w:sz w:val="18"/>
                <w:szCs w:val="18"/>
              </w:rPr>
            </w:pPr>
            <w:r>
              <w:rPr>
                <w:rFonts w:hAnsi="Times New Roman"/>
                <w:sz w:val="18"/>
                <w:szCs w:val="18"/>
              </w:rPr>
              <w:t>/</w:t>
            </w:r>
          </w:p>
        </w:tc>
        <w:tc>
          <w:tcPr>
            <w:tcW w:w="724" w:type="dxa"/>
            <w:vAlign w:val="center"/>
          </w:tcPr>
          <w:p>
            <w:pPr>
              <w:pStyle w:val="135"/>
              <w:spacing w:line="210" w:lineRule="exact"/>
              <w:jc w:val="center"/>
              <w:rPr>
                <w:rFonts w:hAnsi="Times New Roman"/>
                <w:sz w:val="18"/>
                <w:szCs w:val="18"/>
              </w:rPr>
            </w:pPr>
            <w:r>
              <w:rPr>
                <w:rFonts w:hAnsi="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117" w:hRule="atLeast"/>
          <w:jc w:val="center"/>
        </w:trPr>
        <w:tc>
          <w:tcPr>
            <w:tcW w:w="699" w:type="dxa"/>
            <w:tcBorders>
              <w:bottom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废石</w:t>
            </w:r>
          </w:p>
        </w:tc>
        <w:tc>
          <w:tcPr>
            <w:tcW w:w="3367" w:type="dxa"/>
            <w:tcBorders>
              <w:bottom w:val="single" w:color="auto" w:sz="6" w:space="0"/>
            </w:tcBorders>
            <w:vAlign w:val="center"/>
          </w:tcPr>
          <w:p>
            <w:pPr>
              <w:pStyle w:val="137"/>
              <w:spacing w:line="210" w:lineRule="exact"/>
              <w:rPr>
                <w:sz w:val="18"/>
                <w:szCs w:val="18"/>
              </w:rPr>
            </w:pPr>
            <w:r>
              <w:rPr>
                <w:sz w:val="18"/>
                <w:szCs w:val="18"/>
              </w:rPr>
              <w:t>堆放于废石堆场</w:t>
            </w:r>
          </w:p>
        </w:tc>
        <w:tc>
          <w:tcPr>
            <w:tcW w:w="2199" w:type="dxa"/>
            <w:tcBorders>
              <w:bottom w:val="single" w:color="auto" w:sz="6" w:space="0"/>
            </w:tcBorders>
            <w:vAlign w:val="center"/>
          </w:tcPr>
          <w:p>
            <w:pPr>
              <w:pStyle w:val="135"/>
              <w:spacing w:line="210" w:lineRule="exact"/>
              <w:rPr>
                <w:rFonts w:hAnsi="Times New Roman"/>
                <w:sz w:val="18"/>
                <w:szCs w:val="18"/>
              </w:rPr>
            </w:pPr>
            <w:r>
              <w:rPr>
                <w:rFonts w:hint="eastAsia" w:hAnsi="Times New Roman"/>
                <w:sz w:val="18"/>
                <w:szCs w:val="18"/>
              </w:rPr>
              <w:t>堆放于</w:t>
            </w:r>
            <w:r>
              <w:rPr>
                <w:rFonts w:hAnsi="Times New Roman"/>
                <w:sz w:val="18"/>
                <w:szCs w:val="18"/>
              </w:rPr>
              <w:t>废石场</w:t>
            </w:r>
          </w:p>
        </w:tc>
        <w:tc>
          <w:tcPr>
            <w:tcW w:w="592" w:type="dxa"/>
            <w:tcBorders>
              <w:bottom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已落实</w:t>
            </w:r>
          </w:p>
        </w:tc>
        <w:tc>
          <w:tcPr>
            <w:tcW w:w="761" w:type="dxa"/>
            <w:tcBorders>
              <w:bottom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w:t>
            </w:r>
          </w:p>
        </w:tc>
        <w:tc>
          <w:tcPr>
            <w:tcW w:w="724" w:type="dxa"/>
            <w:tcBorders>
              <w:bottom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17" w:hRule="atLeast"/>
          <w:jc w:val="center"/>
        </w:trPr>
        <w:tc>
          <w:tcPr>
            <w:tcW w:w="699" w:type="dxa"/>
            <w:tcBorders>
              <w:top w:val="single" w:color="auto" w:sz="6" w:space="0"/>
              <w:bottom w:val="single" w:color="auto" w:sz="6" w:space="0"/>
            </w:tcBorders>
            <w:shd w:val="clear" w:color="auto" w:fill="A0A0A0"/>
            <w:vAlign w:val="center"/>
          </w:tcPr>
          <w:p>
            <w:pPr>
              <w:pStyle w:val="135"/>
              <w:spacing w:line="210" w:lineRule="exact"/>
              <w:jc w:val="center"/>
              <w:rPr>
                <w:rFonts w:hAnsi="Times New Roman"/>
                <w:sz w:val="18"/>
                <w:szCs w:val="18"/>
              </w:rPr>
            </w:pPr>
            <w:r>
              <w:rPr>
                <w:rFonts w:hAnsi="Times New Roman"/>
                <w:sz w:val="18"/>
                <w:szCs w:val="18"/>
              </w:rPr>
              <w:t>生态保护措施</w:t>
            </w:r>
          </w:p>
        </w:tc>
        <w:tc>
          <w:tcPr>
            <w:tcW w:w="3367" w:type="dxa"/>
            <w:tcBorders>
              <w:top w:val="single" w:color="auto" w:sz="6" w:space="0"/>
              <w:bottom w:val="single" w:color="auto" w:sz="6" w:space="0"/>
            </w:tcBorders>
            <w:shd w:val="clear" w:color="auto" w:fill="A0A0A0"/>
            <w:vAlign w:val="center"/>
          </w:tcPr>
          <w:p>
            <w:pPr>
              <w:pStyle w:val="137"/>
              <w:spacing w:line="210" w:lineRule="exact"/>
              <w:rPr>
                <w:sz w:val="18"/>
                <w:szCs w:val="18"/>
              </w:rPr>
            </w:pPr>
          </w:p>
        </w:tc>
        <w:tc>
          <w:tcPr>
            <w:tcW w:w="2199" w:type="dxa"/>
            <w:tcBorders>
              <w:top w:val="single" w:color="auto" w:sz="6" w:space="0"/>
              <w:bottom w:val="single" w:color="auto" w:sz="6" w:space="0"/>
            </w:tcBorders>
            <w:shd w:val="clear" w:color="auto" w:fill="A0A0A0"/>
            <w:vAlign w:val="center"/>
          </w:tcPr>
          <w:p>
            <w:pPr>
              <w:pStyle w:val="135"/>
              <w:spacing w:line="210" w:lineRule="exact"/>
              <w:rPr>
                <w:rFonts w:hAnsi="Times New Roman"/>
                <w:sz w:val="18"/>
                <w:szCs w:val="18"/>
              </w:rPr>
            </w:pPr>
          </w:p>
        </w:tc>
        <w:tc>
          <w:tcPr>
            <w:tcW w:w="592" w:type="dxa"/>
            <w:tcBorders>
              <w:top w:val="single" w:color="auto" w:sz="6" w:space="0"/>
              <w:bottom w:val="single" w:color="auto" w:sz="6" w:space="0"/>
            </w:tcBorders>
            <w:shd w:val="clear" w:color="auto" w:fill="A0A0A0"/>
            <w:vAlign w:val="center"/>
          </w:tcPr>
          <w:p>
            <w:pPr>
              <w:pStyle w:val="135"/>
              <w:spacing w:line="210" w:lineRule="exact"/>
              <w:jc w:val="center"/>
              <w:rPr>
                <w:rFonts w:hAnsi="Times New Roman"/>
                <w:sz w:val="18"/>
                <w:szCs w:val="18"/>
              </w:rPr>
            </w:pPr>
          </w:p>
        </w:tc>
        <w:tc>
          <w:tcPr>
            <w:tcW w:w="761" w:type="dxa"/>
            <w:tcBorders>
              <w:top w:val="single" w:color="auto" w:sz="6" w:space="0"/>
              <w:bottom w:val="single" w:color="auto" w:sz="6" w:space="0"/>
            </w:tcBorders>
            <w:shd w:val="clear" w:color="auto" w:fill="A0A0A0"/>
            <w:vAlign w:val="center"/>
          </w:tcPr>
          <w:p>
            <w:pPr>
              <w:pStyle w:val="135"/>
              <w:spacing w:line="210" w:lineRule="exact"/>
              <w:jc w:val="center"/>
              <w:rPr>
                <w:rFonts w:hAnsi="Times New Roman"/>
                <w:sz w:val="18"/>
                <w:szCs w:val="18"/>
              </w:rPr>
            </w:pPr>
          </w:p>
        </w:tc>
        <w:tc>
          <w:tcPr>
            <w:tcW w:w="724" w:type="dxa"/>
            <w:tcBorders>
              <w:top w:val="single" w:color="auto" w:sz="6" w:space="0"/>
              <w:bottom w:val="single" w:color="auto" w:sz="6" w:space="0"/>
            </w:tcBorders>
            <w:shd w:val="clear" w:color="auto" w:fill="A0A0A0"/>
            <w:vAlign w:val="center"/>
          </w:tcPr>
          <w:p>
            <w:pPr>
              <w:pStyle w:val="135"/>
              <w:spacing w:line="210" w:lineRule="exact"/>
              <w:jc w:val="center"/>
              <w:rPr>
                <w:rFonts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34" w:hRule="atLeast"/>
          <w:jc w:val="center"/>
        </w:trPr>
        <w:tc>
          <w:tcPr>
            <w:tcW w:w="699" w:type="dxa"/>
            <w:tcBorders>
              <w:top w:val="single" w:color="auto" w:sz="6" w:space="0"/>
              <w:bottom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生态保护</w:t>
            </w:r>
          </w:p>
        </w:tc>
        <w:tc>
          <w:tcPr>
            <w:tcW w:w="3367" w:type="dxa"/>
            <w:tcBorders>
              <w:top w:val="single" w:color="auto" w:sz="6" w:space="0"/>
              <w:bottom w:val="single" w:color="auto" w:sz="6" w:space="0"/>
            </w:tcBorders>
            <w:vAlign w:val="center"/>
          </w:tcPr>
          <w:p>
            <w:pPr>
              <w:pStyle w:val="137"/>
              <w:spacing w:line="210" w:lineRule="exact"/>
              <w:rPr>
                <w:sz w:val="18"/>
                <w:szCs w:val="18"/>
              </w:rPr>
            </w:pPr>
            <w:r>
              <w:rPr>
                <w:kern w:val="0"/>
                <w:sz w:val="18"/>
                <w:szCs w:val="18"/>
              </w:rPr>
              <w:t>填充现有塌陷坑并平整场地覆土绿化，对于临时占地和新开辟破坏区，竣工后要进行土地复垦和植被重建工作，要进行土地平整、植树、种草工作；加强矿区绿化</w:t>
            </w:r>
          </w:p>
        </w:tc>
        <w:tc>
          <w:tcPr>
            <w:tcW w:w="2199" w:type="dxa"/>
            <w:tcBorders>
              <w:top w:val="single" w:color="auto" w:sz="6" w:space="0"/>
              <w:bottom w:val="single" w:color="auto" w:sz="6" w:space="0"/>
            </w:tcBorders>
            <w:vAlign w:val="center"/>
          </w:tcPr>
          <w:p>
            <w:pPr>
              <w:pStyle w:val="135"/>
              <w:spacing w:line="210" w:lineRule="exact"/>
              <w:rPr>
                <w:rFonts w:hAnsi="Times New Roman"/>
                <w:sz w:val="18"/>
                <w:szCs w:val="18"/>
              </w:rPr>
            </w:pPr>
            <w:r>
              <w:rPr>
                <w:rFonts w:hint="eastAsia" w:hAnsi="Times New Roman"/>
                <w:sz w:val="18"/>
                <w:szCs w:val="18"/>
              </w:rPr>
              <w:t>两处</w:t>
            </w:r>
            <w:r>
              <w:rPr>
                <w:rFonts w:hAnsi="Times New Roman"/>
                <w:sz w:val="18"/>
                <w:szCs w:val="18"/>
              </w:rPr>
              <w:t>塌陷区已填充，填充面积分别为</w:t>
            </w:r>
            <w:r>
              <w:rPr>
                <w:rFonts w:hint="eastAsia" w:hAnsi="Times New Roman"/>
                <w:sz w:val="18"/>
                <w:szCs w:val="18"/>
              </w:rPr>
              <w:t>4900m</w:t>
            </w:r>
            <w:r>
              <w:rPr>
                <w:rFonts w:hint="eastAsia" w:hAnsi="Times New Roman"/>
                <w:sz w:val="18"/>
                <w:szCs w:val="18"/>
                <w:vertAlign w:val="superscript"/>
              </w:rPr>
              <w:t>2</w:t>
            </w:r>
            <w:r>
              <w:rPr>
                <w:rFonts w:hint="eastAsia" w:hAnsi="Times New Roman"/>
                <w:sz w:val="18"/>
                <w:szCs w:val="18"/>
              </w:rPr>
              <w:t>和6100 m</w:t>
            </w:r>
            <w:r>
              <w:rPr>
                <w:rFonts w:hint="eastAsia" w:hAnsi="Times New Roman"/>
                <w:sz w:val="18"/>
                <w:szCs w:val="18"/>
                <w:vertAlign w:val="superscript"/>
              </w:rPr>
              <w:t>2</w:t>
            </w:r>
            <w:r>
              <w:rPr>
                <w:rFonts w:hint="eastAsia" w:hAnsi="Times New Roman"/>
                <w:sz w:val="18"/>
                <w:szCs w:val="18"/>
              </w:rPr>
              <w:t>。</w:t>
            </w:r>
            <w:r>
              <w:rPr>
                <w:rFonts w:hAnsi="Times New Roman"/>
                <w:sz w:val="18"/>
                <w:szCs w:val="18"/>
              </w:rPr>
              <w:t>并播撒槽子。对于临时占地和新开辟破坏区，进行植被重建工作，行土地平整、植树、种草工作</w:t>
            </w:r>
          </w:p>
        </w:tc>
        <w:tc>
          <w:tcPr>
            <w:tcW w:w="592" w:type="dxa"/>
            <w:tcBorders>
              <w:top w:val="single" w:color="auto" w:sz="6" w:space="0"/>
              <w:bottom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已落实</w:t>
            </w:r>
          </w:p>
        </w:tc>
        <w:tc>
          <w:tcPr>
            <w:tcW w:w="761" w:type="dxa"/>
            <w:tcBorders>
              <w:top w:val="single" w:color="auto" w:sz="6" w:space="0"/>
              <w:bottom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20</w:t>
            </w:r>
          </w:p>
        </w:tc>
        <w:tc>
          <w:tcPr>
            <w:tcW w:w="724" w:type="dxa"/>
            <w:tcBorders>
              <w:top w:val="single" w:color="auto" w:sz="6" w:space="0"/>
              <w:bottom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34" w:hRule="atLeast"/>
          <w:jc w:val="center"/>
        </w:trPr>
        <w:tc>
          <w:tcPr>
            <w:tcW w:w="699" w:type="dxa"/>
            <w:tcBorders>
              <w:top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合计</w:t>
            </w:r>
          </w:p>
        </w:tc>
        <w:tc>
          <w:tcPr>
            <w:tcW w:w="3367" w:type="dxa"/>
            <w:tcBorders>
              <w:top w:val="single" w:color="auto" w:sz="6" w:space="0"/>
            </w:tcBorders>
            <w:vAlign w:val="center"/>
          </w:tcPr>
          <w:p>
            <w:pPr>
              <w:pStyle w:val="137"/>
              <w:spacing w:line="210" w:lineRule="exact"/>
              <w:jc w:val="center"/>
              <w:rPr>
                <w:kern w:val="0"/>
                <w:sz w:val="18"/>
                <w:szCs w:val="18"/>
              </w:rPr>
            </w:pPr>
            <w:r>
              <w:rPr>
                <w:kern w:val="0"/>
                <w:sz w:val="18"/>
                <w:szCs w:val="18"/>
              </w:rPr>
              <w:t>/</w:t>
            </w:r>
          </w:p>
        </w:tc>
        <w:tc>
          <w:tcPr>
            <w:tcW w:w="2199" w:type="dxa"/>
            <w:tcBorders>
              <w:top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w:t>
            </w:r>
          </w:p>
        </w:tc>
        <w:tc>
          <w:tcPr>
            <w:tcW w:w="592" w:type="dxa"/>
            <w:tcBorders>
              <w:top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w:t>
            </w:r>
          </w:p>
        </w:tc>
        <w:tc>
          <w:tcPr>
            <w:tcW w:w="761" w:type="dxa"/>
            <w:tcBorders>
              <w:top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20</w:t>
            </w:r>
          </w:p>
        </w:tc>
        <w:tc>
          <w:tcPr>
            <w:tcW w:w="724" w:type="dxa"/>
            <w:tcBorders>
              <w:top w:val="single" w:color="auto" w:sz="6" w:space="0"/>
            </w:tcBorders>
            <w:vAlign w:val="center"/>
          </w:tcPr>
          <w:p>
            <w:pPr>
              <w:pStyle w:val="135"/>
              <w:spacing w:line="210" w:lineRule="exact"/>
              <w:jc w:val="center"/>
              <w:rPr>
                <w:rFonts w:hAnsi="Times New Roman"/>
                <w:sz w:val="18"/>
                <w:szCs w:val="18"/>
              </w:rPr>
            </w:pPr>
            <w:r>
              <w:rPr>
                <w:rFonts w:hAnsi="Times New Roman"/>
                <w:sz w:val="18"/>
                <w:szCs w:val="18"/>
              </w:rPr>
              <w:t>20</w:t>
            </w:r>
          </w:p>
        </w:tc>
      </w:tr>
    </w:tbl>
    <w:p>
      <w:pPr>
        <w:pStyle w:val="139"/>
        <w:jc w:val="left"/>
        <w:rPr>
          <w:rFonts w:eastAsia="宋体"/>
        </w:rPr>
      </w:pPr>
      <w:bookmarkStart w:id="460" w:name="_Toc214206004"/>
      <w:r>
        <w:rPr>
          <w:rFonts w:eastAsia="宋体"/>
        </w:rPr>
        <w:t xml:space="preserve">    </w:t>
      </w:r>
    </w:p>
    <w:p>
      <w:pPr>
        <w:pStyle w:val="139"/>
        <w:jc w:val="left"/>
      </w:pPr>
      <w:r>
        <w:t xml:space="preserve">    表4.3-3               运营期污染防与生态保护措施</w:t>
      </w:r>
      <w:bookmarkEnd w:id="460"/>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4"/>
        <w:gridCol w:w="679"/>
        <w:gridCol w:w="3079"/>
        <w:gridCol w:w="2371"/>
        <w:gridCol w:w="631"/>
        <w:gridCol w:w="634"/>
        <w:gridCol w:w="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163" w:type="dxa"/>
            <w:gridSpan w:val="2"/>
            <w:tcBorders>
              <w:bottom w:val="single" w:color="auto" w:sz="4" w:space="0"/>
            </w:tcBorders>
            <w:vAlign w:val="center"/>
          </w:tcPr>
          <w:p>
            <w:pPr>
              <w:spacing w:line="210" w:lineRule="exact"/>
              <w:jc w:val="center"/>
              <w:rPr>
                <w:sz w:val="20"/>
                <w:szCs w:val="20"/>
              </w:rPr>
            </w:pPr>
            <w:r>
              <w:rPr>
                <w:sz w:val="20"/>
                <w:szCs w:val="20"/>
              </w:rPr>
              <w:t>项目</w:t>
            </w:r>
          </w:p>
        </w:tc>
        <w:tc>
          <w:tcPr>
            <w:tcW w:w="3079" w:type="dxa"/>
            <w:tcBorders>
              <w:bottom w:val="single" w:color="auto" w:sz="4" w:space="0"/>
            </w:tcBorders>
            <w:vAlign w:val="center"/>
          </w:tcPr>
          <w:p>
            <w:pPr>
              <w:spacing w:line="210" w:lineRule="exact"/>
              <w:jc w:val="center"/>
              <w:rPr>
                <w:sz w:val="20"/>
                <w:szCs w:val="20"/>
              </w:rPr>
            </w:pPr>
            <w:r>
              <w:rPr>
                <w:sz w:val="20"/>
                <w:szCs w:val="20"/>
              </w:rPr>
              <w:t>环评处理(保护)措施</w:t>
            </w:r>
          </w:p>
        </w:tc>
        <w:tc>
          <w:tcPr>
            <w:tcW w:w="2371" w:type="dxa"/>
            <w:tcBorders>
              <w:bottom w:val="single" w:color="auto" w:sz="4" w:space="0"/>
            </w:tcBorders>
            <w:vAlign w:val="center"/>
          </w:tcPr>
          <w:p>
            <w:pPr>
              <w:pStyle w:val="135"/>
              <w:spacing w:line="210" w:lineRule="exact"/>
              <w:jc w:val="center"/>
              <w:rPr>
                <w:rFonts w:hAnsi="Times New Roman"/>
              </w:rPr>
            </w:pPr>
            <w:r>
              <w:rPr>
                <w:rFonts w:hAnsi="Times New Roman"/>
              </w:rPr>
              <w:t>实际落实措施</w:t>
            </w:r>
          </w:p>
        </w:tc>
        <w:tc>
          <w:tcPr>
            <w:tcW w:w="631" w:type="dxa"/>
            <w:tcBorders>
              <w:bottom w:val="single" w:color="auto" w:sz="4" w:space="0"/>
            </w:tcBorders>
            <w:vAlign w:val="center"/>
          </w:tcPr>
          <w:p>
            <w:pPr>
              <w:adjustRightInd w:val="0"/>
              <w:snapToGrid w:val="0"/>
              <w:jc w:val="center"/>
              <w:rPr>
                <w:sz w:val="20"/>
                <w:szCs w:val="20"/>
              </w:rPr>
            </w:pPr>
            <w:r>
              <w:rPr>
                <w:sz w:val="20"/>
                <w:szCs w:val="20"/>
              </w:rPr>
              <w:t>落实情况</w:t>
            </w:r>
          </w:p>
        </w:tc>
        <w:tc>
          <w:tcPr>
            <w:tcW w:w="634" w:type="dxa"/>
            <w:tcBorders>
              <w:bottom w:val="single" w:color="auto" w:sz="4" w:space="0"/>
            </w:tcBorders>
            <w:vAlign w:val="center"/>
          </w:tcPr>
          <w:p>
            <w:pPr>
              <w:adjustRightInd w:val="0"/>
              <w:snapToGrid w:val="0"/>
              <w:jc w:val="center"/>
              <w:rPr>
                <w:sz w:val="20"/>
                <w:szCs w:val="20"/>
              </w:rPr>
            </w:pPr>
            <w:r>
              <w:rPr>
                <w:sz w:val="20"/>
                <w:szCs w:val="20"/>
              </w:rPr>
              <w:t>环评估算（万元）</w:t>
            </w:r>
          </w:p>
        </w:tc>
        <w:tc>
          <w:tcPr>
            <w:tcW w:w="650" w:type="dxa"/>
            <w:tcBorders>
              <w:bottom w:val="single" w:color="auto" w:sz="4" w:space="0"/>
            </w:tcBorders>
            <w:vAlign w:val="center"/>
          </w:tcPr>
          <w:p>
            <w:pPr>
              <w:adjustRightInd w:val="0"/>
              <w:snapToGrid w:val="0"/>
              <w:jc w:val="center"/>
              <w:rPr>
                <w:sz w:val="20"/>
                <w:szCs w:val="20"/>
              </w:rPr>
            </w:pPr>
            <w:r>
              <w:rPr>
                <w:sz w:val="20"/>
                <w:szCs w:val="20"/>
              </w:rPr>
              <w:t>实际投资（万元）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878" w:type="dxa"/>
            <w:gridSpan w:val="6"/>
            <w:tcBorders>
              <w:top w:val="single" w:color="auto" w:sz="4" w:space="0"/>
              <w:bottom w:val="single" w:color="auto" w:sz="4" w:space="0"/>
            </w:tcBorders>
            <w:shd w:val="clear" w:color="auto" w:fill="A0A0A0"/>
          </w:tcPr>
          <w:p>
            <w:pPr>
              <w:pStyle w:val="135"/>
              <w:spacing w:line="210" w:lineRule="exact"/>
              <w:jc w:val="center"/>
              <w:rPr>
                <w:rFonts w:hAnsi="Times New Roman"/>
                <w:b/>
              </w:rPr>
            </w:pPr>
            <w:r>
              <w:rPr>
                <w:rFonts w:hAnsi="Times New Roman"/>
                <w:b/>
              </w:rPr>
              <w:t>采矿</w:t>
            </w:r>
          </w:p>
        </w:tc>
        <w:tc>
          <w:tcPr>
            <w:tcW w:w="650" w:type="dxa"/>
            <w:tcBorders>
              <w:top w:val="single" w:color="auto" w:sz="4" w:space="0"/>
              <w:bottom w:val="single" w:color="auto" w:sz="4" w:space="0"/>
            </w:tcBorders>
            <w:shd w:val="clear" w:color="auto" w:fill="A0A0A0"/>
          </w:tcPr>
          <w:p>
            <w:pPr>
              <w:pStyle w:val="135"/>
              <w:spacing w:line="210" w:lineRule="exact"/>
              <w:jc w:val="center"/>
              <w:rPr>
                <w:rFonts w:hAnsi="Times New Roman"/>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84" w:type="dxa"/>
            <w:tcBorders>
              <w:top w:val="single" w:color="auto" w:sz="4" w:space="0"/>
            </w:tcBorders>
          </w:tcPr>
          <w:p>
            <w:pPr>
              <w:spacing w:line="210" w:lineRule="exact"/>
              <w:rPr>
                <w:sz w:val="20"/>
                <w:szCs w:val="20"/>
              </w:rPr>
            </w:pPr>
            <w:r>
              <w:rPr>
                <w:sz w:val="20"/>
                <w:szCs w:val="20"/>
              </w:rPr>
              <w:t>生态环境</w:t>
            </w:r>
          </w:p>
        </w:tc>
        <w:tc>
          <w:tcPr>
            <w:tcW w:w="679" w:type="dxa"/>
            <w:tcBorders>
              <w:top w:val="single" w:color="auto" w:sz="4" w:space="0"/>
            </w:tcBorders>
            <w:vAlign w:val="center"/>
          </w:tcPr>
          <w:p>
            <w:pPr>
              <w:spacing w:line="210" w:lineRule="exact"/>
              <w:rPr>
                <w:sz w:val="20"/>
                <w:szCs w:val="20"/>
              </w:rPr>
            </w:pPr>
            <w:r>
              <w:rPr>
                <w:sz w:val="20"/>
                <w:szCs w:val="20"/>
              </w:rPr>
              <w:t>采矿地面塌陷</w:t>
            </w:r>
          </w:p>
        </w:tc>
        <w:tc>
          <w:tcPr>
            <w:tcW w:w="3079" w:type="dxa"/>
            <w:tcBorders>
              <w:top w:val="single" w:color="auto" w:sz="4" w:space="0"/>
            </w:tcBorders>
            <w:vAlign w:val="center"/>
          </w:tcPr>
          <w:p>
            <w:pPr>
              <w:spacing w:line="210" w:lineRule="exact"/>
              <w:rPr>
                <w:sz w:val="20"/>
                <w:szCs w:val="20"/>
              </w:rPr>
            </w:pPr>
            <w:r>
              <w:rPr>
                <w:sz w:val="20"/>
                <w:szCs w:val="20"/>
              </w:rPr>
              <w:t>废石进行填充塌陷坑，填充后覆土、平整、绿化。加强地表岩石移动监测工作</w:t>
            </w:r>
          </w:p>
        </w:tc>
        <w:tc>
          <w:tcPr>
            <w:tcW w:w="2371" w:type="dxa"/>
            <w:tcBorders>
              <w:top w:val="single" w:color="auto" w:sz="4" w:space="0"/>
            </w:tcBorders>
            <w:vAlign w:val="center"/>
          </w:tcPr>
          <w:p>
            <w:pPr>
              <w:spacing w:line="210" w:lineRule="exact"/>
              <w:jc w:val="center"/>
              <w:rPr>
                <w:sz w:val="20"/>
                <w:szCs w:val="20"/>
              </w:rPr>
            </w:pPr>
            <w:r>
              <w:rPr>
                <w:sz w:val="20"/>
                <w:szCs w:val="20"/>
              </w:rPr>
              <w:t>建设岩移错动检测系统一套</w:t>
            </w:r>
          </w:p>
        </w:tc>
        <w:tc>
          <w:tcPr>
            <w:tcW w:w="631" w:type="dxa"/>
            <w:tcBorders>
              <w:top w:val="single" w:color="auto" w:sz="4" w:space="0"/>
            </w:tcBorders>
            <w:vAlign w:val="center"/>
          </w:tcPr>
          <w:p>
            <w:pPr>
              <w:spacing w:line="210" w:lineRule="exact"/>
              <w:jc w:val="center"/>
              <w:rPr>
                <w:sz w:val="20"/>
                <w:szCs w:val="20"/>
              </w:rPr>
            </w:pPr>
            <w:r>
              <w:rPr>
                <w:sz w:val="20"/>
                <w:szCs w:val="20"/>
              </w:rPr>
              <w:t>已落实</w:t>
            </w:r>
          </w:p>
        </w:tc>
        <w:tc>
          <w:tcPr>
            <w:tcW w:w="634" w:type="dxa"/>
            <w:tcBorders>
              <w:top w:val="single" w:color="auto" w:sz="4" w:space="0"/>
            </w:tcBorders>
            <w:vAlign w:val="center"/>
          </w:tcPr>
          <w:p>
            <w:pPr>
              <w:spacing w:line="210" w:lineRule="exact"/>
              <w:jc w:val="center"/>
              <w:rPr>
                <w:sz w:val="20"/>
                <w:szCs w:val="20"/>
              </w:rPr>
            </w:pPr>
            <w:r>
              <w:rPr>
                <w:sz w:val="20"/>
                <w:szCs w:val="20"/>
              </w:rPr>
              <w:t>8</w:t>
            </w:r>
          </w:p>
        </w:tc>
        <w:tc>
          <w:tcPr>
            <w:tcW w:w="650" w:type="dxa"/>
            <w:tcBorders>
              <w:top w:val="single" w:color="auto" w:sz="4" w:space="0"/>
            </w:tcBorders>
            <w:vAlign w:val="center"/>
          </w:tcPr>
          <w:p>
            <w:pPr>
              <w:spacing w:line="210" w:lineRule="exact"/>
              <w:jc w:val="center"/>
              <w:rPr>
                <w:sz w:val="20"/>
                <w:szCs w:val="20"/>
              </w:rPr>
            </w:pPr>
            <w:r>
              <w:rPr>
                <w:sz w:val="20"/>
                <w:szCs w:val="20"/>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trPr>
        <w:tc>
          <w:tcPr>
            <w:tcW w:w="484" w:type="dxa"/>
            <w:vMerge w:val="restart"/>
          </w:tcPr>
          <w:p>
            <w:pPr>
              <w:spacing w:line="210" w:lineRule="exact"/>
              <w:rPr>
                <w:sz w:val="20"/>
                <w:szCs w:val="20"/>
              </w:rPr>
            </w:pPr>
            <w:r>
              <w:rPr>
                <w:sz w:val="20"/>
                <w:szCs w:val="20"/>
              </w:rPr>
              <w:t>大气环境</w:t>
            </w:r>
          </w:p>
        </w:tc>
        <w:tc>
          <w:tcPr>
            <w:tcW w:w="679" w:type="dxa"/>
            <w:vAlign w:val="center"/>
          </w:tcPr>
          <w:p>
            <w:pPr>
              <w:spacing w:line="210" w:lineRule="exact"/>
              <w:rPr>
                <w:sz w:val="20"/>
                <w:szCs w:val="20"/>
              </w:rPr>
            </w:pPr>
            <w:r>
              <w:rPr>
                <w:sz w:val="20"/>
                <w:szCs w:val="20"/>
              </w:rPr>
              <w:t>地采</w:t>
            </w:r>
          </w:p>
        </w:tc>
        <w:tc>
          <w:tcPr>
            <w:tcW w:w="3079" w:type="dxa"/>
            <w:vAlign w:val="center"/>
          </w:tcPr>
          <w:p>
            <w:pPr>
              <w:spacing w:line="210" w:lineRule="exact"/>
              <w:rPr>
                <w:sz w:val="20"/>
                <w:szCs w:val="20"/>
              </w:rPr>
            </w:pPr>
            <w:r>
              <w:rPr>
                <w:sz w:val="20"/>
                <w:szCs w:val="20"/>
              </w:rPr>
              <w:t>采掘面湿式凿岩</w:t>
            </w:r>
          </w:p>
        </w:tc>
        <w:tc>
          <w:tcPr>
            <w:tcW w:w="2371" w:type="dxa"/>
            <w:vAlign w:val="center"/>
          </w:tcPr>
          <w:p>
            <w:pPr>
              <w:spacing w:line="210" w:lineRule="exact"/>
              <w:jc w:val="center"/>
              <w:rPr>
                <w:sz w:val="20"/>
                <w:szCs w:val="20"/>
              </w:rPr>
            </w:pPr>
            <w:r>
              <w:rPr>
                <w:sz w:val="20"/>
                <w:szCs w:val="20"/>
              </w:rPr>
              <w:t>采掘面湿式凿岩</w:t>
            </w:r>
          </w:p>
        </w:tc>
        <w:tc>
          <w:tcPr>
            <w:tcW w:w="631" w:type="dxa"/>
            <w:vAlign w:val="center"/>
          </w:tcPr>
          <w:p>
            <w:pPr>
              <w:spacing w:line="210" w:lineRule="exact"/>
              <w:jc w:val="center"/>
              <w:rPr>
                <w:sz w:val="20"/>
                <w:szCs w:val="20"/>
              </w:rPr>
            </w:pPr>
            <w:r>
              <w:rPr>
                <w:sz w:val="20"/>
                <w:szCs w:val="20"/>
              </w:rPr>
              <w:t>已落实</w:t>
            </w:r>
          </w:p>
        </w:tc>
        <w:tc>
          <w:tcPr>
            <w:tcW w:w="634" w:type="dxa"/>
            <w:vAlign w:val="center"/>
          </w:tcPr>
          <w:p>
            <w:pPr>
              <w:spacing w:line="210" w:lineRule="exact"/>
              <w:jc w:val="center"/>
              <w:rPr>
                <w:sz w:val="20"/>
                <w:szCs w:val="20"/>
              </w:rPr>
            </w:pPr>
            <w:r>
              <w:rPr>
                <w:sz w:val="20"/>
                <w:szCs w:val="20"/>
              </w:rPr>
              <w:t>/</w:t>
            </w:r>
          </w:p>
        </w:tc>
        <w:tc>
          <w:tcPr>
            <w:tcW w:w="650" w:type="dxa"/>
            <w:vAlign w:val="center"/>
          </w:tcPr>
          <w:p>
            <w:pPr>
              <w:spacing w:line="210" w:lineRule="exact"/>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trPr>
        <w:tc>
          <w:tcPr>
            <w:tcW w:w="484" w:type="dxa"/>
            <w:vMerge w:val="continue"/>
          </w:tcPr>
          <w:p>
            <w:pPr>
              <w:spacing w:line="210" w:lineRule="exact"/>
              <w:rPr>
                <w:sz w:val="20"/>
                <w:szCs w:val="20"/>
              </w:rPr>
            </w:pPr>
          </w:p>
        </w:tc>
        <w:tc>
          <w:tcPr>
            <w:tcW w:w="679" w:type="dxa"/>
            <w:vAlign w:val="center"/>
          </w:tcPr>
          <w:p>
            <w:pPr>
              <w:spacing w:line="210" w:lineRule="exact"/>
              <w:rPr>
                <w:sz w:val="20"/>
                <w:szCs w:val="20"/>
              </w:rPr>
            </w:pPr>
            <w:r>
              <w:rPr>
                <w:sz w:val="20"/>
                <w:szCs w:val="20"/>
              </w:rPr>
              <w:t>废石堆场</w:t>
            </w:r>
          </w:p>
        </w:tc>
        <w:tc>
          <w:tcPr>
            <w:tcW w:w="3079" w:type="dxa"/>
            <w:vAlign w:val="center"/>
          </w:tcPr>
          <w:p>
            <w:pPr>
              <w:spacing w:line="210" w:lineRule="exact"/>
              <w:rPr>
                <w:sz w:val="20"/>
                <w:szCs w:val="20"/>
              </w:rPr>
            </w:pPr>
            <w:r>
              <w:rPr>
                <w:sz w:val="20"/>
                <w:szCs w:val="20"/>
              </w:rPr>
              <w:t>矿区配套专用洒水车和自动洒水设施，专人负责</w:t>
            </w:r>
          </w:p>
        </w:tc>
        <w:tc>
          <w:tcPr>
            <w:tcW w:w="2371" w:type="dxa"/>
            <w:vAlign w:val="center"/>
          </w:tcPr>
          <w:p>
            <w:pPr>
              <w:spacing w:line="210" w:lineRule="exact"/>
              <w:jc w:val="center"/>
              <w:rPr>
                <w:sz w:val="20"/>
                <w:szCs w:val="20"/>
              </w:rPr>
            </w:pPr>
            <w:r>
              <w:rPr>
                <w:sz w:val="20"/>
                <w:szCs w:val="20"/>
              </w:rPr>
              <w:t>矿区配套专用洒水车和自动洒水设施，专人负责</w:t>
            </w:r>
          </w:p>
        </w:tc>
        <w:tc>
          <w:tcPr>
            <w:tcW w:w="631" w:type="dxa"/>
            <w:vAlign w:val="center"/>
          </w:tcPr>
          <w:p>
            <w:pPr>
              <w:spacing w:line="210" w:lineRule="exact"/>
              <w:jc w:val="center"/>
              <w:rPr>
                <w:sz w:val="20"/>
                <w:szCs w:val="20"/>
              </w:rPr>
            </w:pPr>
            <w:r>
              <w:rPr>
                <w:sz w:val="20"/>
                <w:szCs w:val="20"/>
              </w:rPr>
              <w:t>已落实</w:t>
            </w:r>
          </w:p>
        </w:tc>
        <w:tc>
          <w:tcPr>
            <w:tcW w:w="634" w:type="dxa"/>
            <w:vMerge w:val="restart"/>
            <w:vAlign w:val="center"/>
          </w:tcPr>
          <w:p>
            <w:pPr>
              <w:spacing w:line="210" w:lineRule="exact"/>
              <w:jc w:val="center"/>
              <w:rPr>
                <w:sz w:val="20"/>
                <w:szCs w:val="20"/>
              </w:rPr>
            </w:pPr>
            <w:r>
              <w:rPr>
                <w:sz w:val="20"/>
                <w:szCs w:val="20"/>
              </w:rPr>
              <w:t>列入遗留整改措施投资</w:t>
            </w:r>
          </w:p>
          <w:p>
            <w:pPr>
              <w:pStyle w:val="135"/>
              <w:spacing w:line="210" w:lineRule="exact"/>
              <w:jc w:val="center"/>
              <w:rPr>
                <w:rFonts w:hAnsi="Times New Roman"/>
              </w:rPr>
            </w:pPr>
            <w:r>
              <w:rPr>
                <w:rFonts w:hAnsi="Times New Roman"/>
                <w:w w:val="90"/>
              </w:rPr>
              <w:t>已有</w:t>
            </w:r>
          </w:p>
        </w:tc>
        <w:tc>
          <w:tcPr>
            <w:tcW w:w="650" w:type="dxa"/>
            <w:vMerge w:val="restart"/>
            <w:vAlign w:val="center"/>
          </w:tcPr>
          <w:p>
            <w:pPr>
              <w:spacing w:line="210" w:lineRule="exact"/>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484" w:type="dxa"/>
            <w:vMerge w:val="restart"/>
          </w:tcPr>
          <w:p>
            <w:pPr>
              <w:spacing w:line="210" w:lineRule="exact"/>
              <w:rPr>
                <w:sz w:val="20"/>
                <w:szCs w:val="20"/>
              </w:rPr>
            </w:pPr>
            <w:r>
              <w:rPr>
                <w:sz w:val="20"/>
                <w:szCs w:val="20"/>
              </w:rPr>
              <w:t>水环境</w:t>
            </w:r>
          </w:p>
        </w:tc>
        <w:tc>
          <w:tcPr>
            <w:tcW w:w="679" w:type="dxa"/>
            <w:vAlign w:val="center"/>
          </w:tcPr>
          <w:p>
            <w:pPr>
              <w:spacing w:line="210" w:lineRule="exact"/>
              <w:rPr>
                <w:sz w:val="20"/>
                <w:szCs w:val="20"/>
              </w:rPr>
            </w:pPr>
            <w:r>
              <w:rPr>
                <w:sz w:val="20"/>
                <w:szCs w:val="20"/>
              </w:rPr>
              <w:t>废石堆场</w:t>
            </w:r>
          </w:p>
        </w:tc>
        <w:tc>
          <w:tcPr>
            <w:tcW w:w="3079" w:type="dxa"/>
            <w:vAlign w:val="center"/>
          </w:tcPr>
          <w:p>
            <w:pPr>
              <w:spacing w:line="210" w:lineRule="exact"/>
              <w:rPr>
                <w:sz w:val="20"/>
                <w:szCs w:val="20"/>
              </w:rPr>
            </w:pPr>
            <w:r>
              <w:rPr>
                <w:sz w:val="20"/>
                <w:szCs w:val="20"/>
              </w:rPr>
              <w:t>在废石堆场周边修建浆砌石截水沟和雨水收集池。</w:t>
            </w:r>
          </w:p>
        </w:tc>
        <w:tc>
          <w:tcPr>
            <w:tcW w:w="2371" w:type="dxa"/>
            <w:vAlign w:val="center"/>
          </w:tcPr>
          <w:p>
            <w:pPr>
              <w:spacing w:line="210" w:lineRule="exact"/>
              <w:jc w:val="center"/>
              <w:rPr>
                <w:sz w:val="20"/>
                <w:szCs w:val="20"/>
              </w:rPr>
            </w:pPr>
            <w:r>
              <w:rPr>
                <w:sz w:val="20"/>
                <w:szCs w:val="20"/>
              </w:rPr>
              <w:t>废石堆场周边修建浆砌石截水沟和雨水收集池。</w:t>
            </w:r>
          </w:p>
        </w:tc>
        <w:tc>
          <w:tcPr>
            <w:tcW w:w="631" w:type="dxa"/>
            <w:vAlign w:val="center"/>
          </w:tcPr>
          <w:p>
            <w:pPr>
              <w:spacing w:line="210" w:lineRule="exact"/>
              <w:jc w:val="center"/>
              <w:rPr>
                <w:sz w:val="20"/>
                <w:szCs w:val="20"/>
              </w:rPr>
            </w:pPr>
            <w:r>
              <w:rPr>
                <w:sz w:val="20"/>
                <w:szCs w:val="20"/>
              </w:rPr>
              <w:t>已落实</w:t>
            </w:r>
          </w:p>
        </w:tc>
        <w:tc>
          <w:tcPr>
            <w:tcW w:w="634" w:type="dxa"/>
            <w:vMerge w:val="continue"/>
            <w:vAlign w:val="center"/>
          </w:tcPr>
          <w:p>
            <w:pPr>
              <w:pStyle w:val="135"/>
              <w:spacing w:line="210" w:lineRule="exact"/>
              <w:jc w:val="center"/>
              <w:rPr>
                <w:rFonts w:hAnsi="Times New Roman"/>
              </w:rPr>
            </w:pPr>
          </w:p>
        </w:tc>
        <w:tc>
          <w:tcPr>
            <w:tcW w:w="650" w:type="dxa"/>
            <w:vMerge w:val="continue"/>
            <w:vAlign w:val="center"/>
          </w:tcPr>
          <w:p>
            <w:pPr>
              <w:spacing w:line="210" w:lineRule="exact"/>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484" w:type="dxa"/>
            <w:vMerge w:val="continue"/>
            <w:tcBorders>
              <w:bottom w:val="single" w:color="auto" w:sz="4" w:space="0"/>
            </w:tcBorders>
          </w:tcPr>
          <w:p>
            <w:pPr>
              <w:spacing w:line="210" w:lineRule="exact"/>
              <w:rPr>
                <w:sz w:val="20"/>
                <w:szCs w:val="20"/>
              </w:rPr>
            </w:pPr>
          </w:p>
        </w:tc>
        <w:tc>
          <w:tcPr>
            <w:tcW w:w="679" w:type="dxa"/>
            <w:tcBorders>
              <w:bottom w:val="single" w:color="auto" w:sz="4" w:space="0"/>
            </w:tcBorders>
            <w:vAlign w:val="center"/>
          </w:tcPr>
          <w:p>
            <w:pPr>
              <w:spacing w:line="210" w:lineRule="exact"/>
              <w:rPr>
                <w:sz w:val="20"/>
                <w:szCs w:val="20"/>
              </w:rPr>
            </w:pPr>
            <w:r>
              <w:rPr>
                <w:sz w:val="20"/>
                <w:szCs w:val="20"/>
              </w:rPr>
              <w:t>地采涌水</w:t>
            </w:r>
          </w:p>
        </w:tc>
        <w:tc>
          <w:tcPr>
            <w:tcW w:w="3079" w:type="dxa"/>
            <w:tcBorders>
              <w:bottom w:val="single" w:color="auto" w:sz="4" w:space="0"/>
            </w:tcBorders>
            <w:vAlign w:val="center"/>
          </w:tcPr>
          <w:p>
            <w:pPr>
              <w:spacing w:line="210" w:lineRule="exact"/>
              <w:rPr>
                <w:sz w:val="20"/>
                <w:szCs w:val="20"/>
              </w:rPr>
            </w:pPr>
            <w:r>
              <w:rPr>
                <w:sz w:val="20"/>
                <w:szCs w:val="20"/>
              </w:rPr>
              <w:t>设置高位水池和沉淀池</w:t>
            </w:r>
          </w:p>
        </w:tc>
        <w:tc>
          <w:tcPr>
            <w:tcW w:w="2371" w:type="dxa"/>
            <w:tcBorders>
              <w:bottom w:val="single" w:color="auto" w:sz="4" w:space="0"/>
            </w:tcBorders>
            <w:vAlign w:val="center"/>
          </w:tcPr>
          <w:p>
            <w:pPr>
              <w:spacing w:line="210" w:lineRule="exact"/>
              <w:jc w:val="center"/>
              <w:rPr>
                <w:sz w:val="20"/>
                <w:szCs w:val="20"/>
              </w:rPr>
            </w:pPr>
            <w:r>
              <w:rPr>
                <w:sz w:val="20"/>
                <w:szCs w:val="20"/>
              </w:rPr>
              <w:t>设置高位水池和沉淀池</w:t>
            </w:r>
          </w:p>
        </w:tc>
        <w:tc>
          <w:tcPr>
            <w:tcW w:w="631" w:type="dxa"/>
            <w:tcBorders>
              <w:bottom w:val="single" w:color="auto" w:sz="4" w:space="0"/>
            </w:tcBorders>
            <w:vAlign w:val="center"/>
          </w:tcPr>
          <w:p>
            <w:pPr>
              <w:pStyle w:val="135"/>
              <w:spacing w:line="210" w:lineRule="exact"/>
              <w:jc w:val="center"/>
              <w:rPr>
                <w:rFonts w:hAnsi="Times New Roman"/>
                <w:w w:val="90"/>
              </w:rPr>
            </w:pPr>
            <w:r>
              <w:rPr>
                <w:rFonts w:hAnsi="Times New Roman"/>
              </w:rPr>
              <w:t>已落实</w:t>
            </w:r>
          </w:p>
        </w:tc>
        <w:tc>
          <w:tcPr>
            <w:tcW w:w="634" w:type="dxa"/>
            <w:vMerge w:val="continue"/>
            <w:tcBorders>
              <w:bottom w:val="single" w:color="auto" w:sz="4" w:space="0"/>
            </w:tcBorders>
            <w:vAlign w:val="center"/>
          </w:tcPr>
          <w:p>
            <w:pPr>
              <w:pStyle w:val="135"/>
              <w:spacing w:line="210" w:lineRule="exact"/>
              <w:jc w:val="center"/>
              <w:rPr>
                <w:rFonts w:hAnsi="Times New Roman"/>
              </w:rPr>
            </w:pPr>
          </w:p>
        </w:tc>
        <w:tc>
          <w:tcPr>
            <w:tcW w:w="650" w:type="dxa"/>
            <w:vMerge w:val="continue"/>
            <w:tcBorders>
              <w:bottom w:val="single" w:color="auto" w:sz="4" w:space="0"/>
            </w:tcBorders>
            <w:vAlign w:val="center"/>
          </w:tcPr>
          <w:p>
            <w:pPr>
              <w:pStyle w:val="135"/>
              <w:spacing w:line="210" w:lineRule="exact"/>
              <w:jc w:val="center"/>
              <w:rPr>
                <w:rFonts w:hAnsi="Times New Roman"/>
                <w:w w:val="9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trPr>
        <w:tc>
          <w:tcPr>
            <w:tcW w:w="7878" w:type="dxa"/>
            <w:gridSpan w:val="6"/>
            <w:tcBorders>
              <w:top w:val="single" w:color="auto" w:sz="4" w:space="0"/>
              <w:bottom w:val="single" w:color="auto" w:sz="4" w:space="0"/>
            </w:tcBorders>
            <w:shd w:val="clear" w:color="auto" w:fill="A0A0A0"/>
            <w:vAlign w:val="center"/>
          </w:tcPr>
          <w:p>
            <w:pPr>
              <w:spacing w:line="210" w:lineRule="exact"/>
              <w:rPr>
                <w:b/>
                <w:w w:val="90"/>
                <w:sz w:val="20"/>
                <w:szCs w:val="20"/>
              </w:rPr>
            </w:pPr>
            <w:r>
              <w:rPr>
                <w:b/>
                <w:sz w:val="20"/>
                <w:szCs w:val="20"/>
              </w:rPr>
              <w:t>选矿</w:t>
            </w:r>
          </w:p>
        </w:tc>
        <w:tc>
          <w:tcPr>
            <w:tcW w:w="650" w:type="dxa"/>
            <w:tcBorders>
              <w:top w:val="single" w:color="auto" w:sz="4" w:space="0"/>
              <w:bottom w:val="single" w:color="auto" w:sz="4" w:space="0"/>
            </w:tcBorders>
            <w:shd w:val="clear" w:color="auto" w:fill="A0A0A0"/>
            <w:vAlign w:val="center"/>
          </w:tcPr>
          <w:p>
            <w:pPr>
              <w:spacing w:line="210" w:lineRule="exact"/>
              <w:jc w:val="center"/>
              <w:rPr>
                <w:b/>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484" w:type="dxa"/>
            <w:vMerge w:val="restart"/>
            <w:tcBorders>
              <w:top w:val="single" w:color="auto" w:sz="4" w:space="0"/>
            </w:tcBorders>
            <w:vAlign w:val="center"/>
          </w:tcPr>
          <w:p>
            <w:pPr>
              <w:spacing w:line="210" w:lineRule="exact"/>
              <w:jc w:val="center"/>
              <w:rPr>
                <w:sz w:val="20"/>
                <w:szCs w:val="20"/>
              </w:rPr>
            </w:pPr>
            <w:r>
              <w:rPr>
                <w:sz w:val="20"/>
                <w:szCs w:val="20"/>
              </w:rPr>
              <w:t>大气环境</w:t>
            </w:r>
          </w:p>
        </w:tc>
        <w:tc>
          <w:tcPr>
            <w:tcW w:w="679" w:type="dxa"/>
            <w:tcBorders>
              <w:top w:val="single" w:color="auto" w:sz="4" w:space="0"/>
              <w:bottom w:val="single" w:color="auto" w:sz="2" w:space="0"/>
            </w:tcBorders>
            <w:vAlign w:val="center"/>
          </w:tcPr>
          <w:p>
            <w:pPr>
              <w:spacing w:line="210" w:lineRule="exact"/>
              <w:rPr>
                <w:bCs/>
                <w:sz w:val="20"/>
                <w:szCs w:val="20"/>
              </w:rPr>
            </w:pPr>
            <w:r>
              <w:rPr>
                <w:bCs/>
                <w:sz w:val="20"/>
                <w:szCs w:val="20"/>
              </w:rPr>
              <w:t>破碎工段、筛分工段</w:t>
            </w:r>
          </w:p>
        </w:tc>
        <w:tc>
          <w:tcPr>
            <w:tcW w:w="3079" w:type="dxa"/>
            <w:tcBorders>
              <w:top w:val="single" w:color="auto" w:sz="4" w:space="0"/>
              <w:bottom w:val="single" w:color="auto" w:sz="2" w:space="0"/>
            </w:tcBorders>
            <w:vAlign w:val="center"/>
          </w:tcPr>
          <w:p>
            <w:pPr>
              <w:spacing w:line="210" w:lineRule="exact"/>
              <w:rPr>
                <w:sz w:val="20"/>
                <w:szCs w:val="20"/>
              </w:rPr>
            </w:pPr>
            <w:r>
              <w:rPr>
                <w:bCs/>
                <w:sz w:val="20"/>
                <w:szCs w:val="20"/>
              </w:rPr>
              <w:t>破碎工段集气罩4个，袋式除尘器1台，</w:t>
            </w:r>
            <w:r>
              <w:rPr>
                <w:sz w:val="20"/>
                <w:szCs w:val="20"/>
              </w:rPr>
              <w:t>Φ0.6×15m排气筒一个；</w:t>
            </w:r>
          </w:p>
          <w:p>
            <w:pPr>
              <w:spacing w:line="210" w:lineRule="exact"/>
              <w:rPr>
                <w:sz w:val="20"/>
                <w:szCs w:val="20"/>
              </w:rPr>
            </w:pPr>
            <w:r>
              <w:rPr>
                <w:bCs/>
                <w:sz w:val="20"/>
                <w:szCs w:val="20"/>
              </w:rPr>
              <w:t>筛分工段集气罩2个，袋式除尘器1台，</w:t>
            </w:r>
            <w:r>
              <w:rPr>
                <w:sz w:val="20"/>
                <w:szCs w:val="20"/>
              </w:rPr>
              <w:t>Φ0.8×15m排气筒一个。</w:t>
            </w:r>
          </w:p>
        </w:tc>
        <w:tc>
          <w:tcPr>
            <w:tcW w:w="2371" w:type="dxa"/>
            <w:tcBorders>
              <w:top w:val="single" w:color="auto" w:sz="4" w:space="0"/>
              <w:bottom w:val="single" w:color="auto" w:sz="2" w:space="0"/>
            </w:tcBorders>
            <w:vAlign w:val="center"/>
          </w:tcPr>
          <w:p>
            <w:pPr>
              <w:spacing w:line="210" w:lineRule="exact"/>
              <w:rPr>
                <w:sz w:val="20"/>
                <w:szCs w:val="20"/>
              </w:rPr>
            </w:pPr>
            <w:r>
              <w:rPr>
                <w:bCs/>
                <w:sz w:val="20"/>
                <w:szCs w:val="20"/>
              </w:rPr>
              <w:t>破碎工段集气罩4个，袋式除尘器1台，</w:t>
            </w:r>
            <w:r>
              <w:rPr>
                <w:sz w:val="20"/>
                <w:szCs w:val="20"/>
              </w:rPr>
              <w:t>Φ0.6×15m排气筒一个；</w:t>
            </w:r>
          </w:p>
          <w:p>
            <w:pPr>
              <w:pStyle w:val="135"/>
              <w:spacing w:line="210" w:lineRule="exact"/>
              <w:jc w:val="center"/>
              <w:rPr>
                <w:rFonts w:hAnsi="Times New Roman"/>
              </w:rPr>
            </w:pPr>
            <w:r>
              <w:rPr>
                <w:rFonts w:hAnsi="Times New Roman"/>
                <w:bCs/>
              </w:rPr>
              <w:t>筛分工段集气罩2个，袋式除尘器1台，</w:t>
            </w:r>
            <w:r>
              <w:rPr>
                <w:rFonts w:hAnsi="Times New Roman"/>
              </w:rPr>
              <w:t>Φ0.8×15m排气筒一个。</w:t>
            </w:r>
          </w:p>
        </w:tc>
        <w:tc>
          <w:tcPr>
            <w:tcW w:w="631" w:type="dxa"/>
            <w:tcBorders>
              <w:top w:val="single" w:color="auto" w:sz="4" w:space="0"/>
              <w:bottom w:val="single" w:color="auto" w:sz="2" w:space="0"/>
            </w:tcBorders>
            <w:vAlign w:val="center"/>
          </w:tcPr>
          <w:p>
            <w:pPr>
              <w:pStyle w:val="135"/>
              <w:spacing w:line="210" w:lineRule="exact"/>
              <w:jc w:val="center"/>
              <w:rPr>
                <w:rFonts w:hAnsi="Times New Roman"/>
                <w:w w:val="90"/>
              </w:rPr>
            </w:pPr>
            <w:r>
              <w:rPr>
                <w:rFonts w:hAnsi="Times New Roman"/>
              </w:rPr>
              <w:t>已落实</w:t>
            </w:r>
          </w:p>
        </w:tc>
        <w:tc>
          <w:tcPr>
            <w:tcW w:w="634" w:type="dxa"/>
            <w:tcBorders>
              <w:top w:val="single" w:color="auto" w:sz="4" w:space="0"/>
              <w:bottom w:val="single" w:color="auto" w:sz="2" w:space="0"/>
            </w:tcBorders>
            <w:vAlign w:val="center"/>
          </w:tcPr>
          <w:p>
            <w:pPr>
              <w:pStyle w:val="135"/>
              <w:spacing w:line="210" w:lineRule="exact"/>
              <w:jc w:val="center"/>
              <w:rPr>
                <w:rFonts w:hAnsi="Times New Roman"/>
                <w:w w:val="90"/>
              </w:rPr>
            </w:pPr>
            <w:r>
              <w:rPr>
                <w:rFonts w:hAnsi="Times New Roman"/>
                <w:w w:val="90"/>
              </w:rPr>
              <w:t>20</w:t>
            </w:r>
          </w:p>
        </w:tc>
        <w:tc>
          <w:tcPr>
            <w:tcW w:w="650" w:type="dxa"/>
            <w:tcBorders>
              <w:top w:val="single" w:color="auto" w:sz="4" w:space="0"/>
              <w:bottom w:val="single" w:color="auto" w:sz="2" w:space="0"/>
            </w:tcBorders>
            <w:vAlign w:val="center"/>
          </w:tcPr>
          <w:p>
            <w:pPr>
              <w:pStyle w:val="135"/>
              <w:spacing w:line="210" w:lineRule="exact"/>
              <w:jc w:val="center"/>
              <w:rPr>
                <w:rFonts w:hAnsi="Times New Roman"/>
                <w:w w:val="90"/>
              </w:rPr>
            </w:pPr>
            <w:r>
              <w:rPr>
                <w:rFonts w:hAnsi="Times New Roman"/>
                <w:w w:val="90"/>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484" w:type="dxa"/>
            <w:vMerge w:val="continue"/>
            <w:vAlign w:val="center"/>
          </w:tcPr>
          <w:p>
            <w:pPr>
              <w:spacing w:line="210" w:lineRule="exact"/>
              <w:jc w:val="center"/>
              <w:rPr>
                <w:sz w:val="20"/>
                <w:szCs w:val="20"/>
              </w:rPr>
            </w:pPr>
          </w:p>
        </w:tc>
        <w:tc>
          <w:tcPr>
            <w:tcW w:w="679" w:type="dxa"/>
            <w:tcBorders>
              <w:top w:val="single" w:color="auto" w:sz="2" w:space="0"/>
            </w:tcBorders>
            <w:vAlign w:val="center"/>
          </w:tcPr>
          <w:p>
            <w:pPr>
              <w:spacing w:line="210" w:lineRule="exact"/>
              <w:rPr>
                <w:bCs/>
                <w:sz w:val="20"/>
                <w:szCs w:val="20"/>
              </w:rPr>
            </w:pPr>
            <w:r>
              <w:rPr>
                <w:sz w:val="20"/>
                <w:szCs w:val="20"/>
              </w:rPr>
              <w:t>精矿堆场</w:t>
            </w:r>
          </w:p>
        </w:tc>
        <w:tc>
          <w:tcPr>
            <w:tcW w:w="3079" w:type="dxa"/>
            <w:tcBorders>
              <w:top w:val="single" w:color="auto" w:sz="2" w:space="0"/>
            </w:tcBorders>
            <w:vAlign w:val="center"/>
          </w:tcPr>
          <w:p>
            <w:pPr>
              <w:spacing w:line="210" w:lineRule="exact"/>
              <w:rPr>
                <w:bCs/>
                <w:sz w:val="20"/>
                <w:szCs w:val="20"/>
              </w:rPr>
            </w:pPr>
            <w:r>
              <w:rPr>
                <w:sz w:val="20"/>
                <w:szCs w:val="20"/>
              </w:rPr>
              <w:t>防雨棚一座</w:t>
            </w:r>
          </w:p>
        </w:tc>
        <w:tc>
          <w:tcPr>
            <w:tcW w:w="2371" w:type="dxa"/>
            <w:tcBorders>
              <w:top w:val="single" w:color="auto" w:sz="2" w:space="0"/>
            </w:tcBorders>
            <w:vAlign w:val="center"/>
          </w:tcPr>
          <w:p>
            <w:pPr>
              <w:pStyle w:val="135"/>
              <w:spacing w:line="210" w:lineRule="exact"/>
              <w:jc w:val="center"/>
              <w:rPr>
                <w:rFonts w:hAnsi="Times New Roman"/>
              </w:rPr>
            </w:pPr>
            <w:r>
              <w:rPr>
                <w:rFonts w:hint="eastAsia" w:hAnsi="Times New Roman"/>
              </w:rPr>
              <w:t>两个精矿堆场</w:t>
            </w:r>
            <w:r>
              <w:rPr>
                <w:rFonts w:hAnsi="Times New Roman"/>
              </w:rPr>
              <w:t>分别设置防雨棚一座</w:t>
            </w:r>
          </w:p>
        </w:tc>
        <w:tc>
          <w:tcPr>
            <w:tcW w:w="631" w:type="dxa"/>
            <w:tcBorders>
              <w:top w:val="single" w:color="auto" w:sz="2" w:space="0"/>
            </w:tcBorders>
            <w:vAlign w:val="center"/>
          </w:tcPr>
          <w:p>
            <w:pPr>
              <w:pStyle w:val="135"/>
              <w:spacing w:line="210" w:lineRule="exact"/>
              <w:jc w:val="center"/>
              <w:rPr>
                <w:rFonts w:hAnsi="Times New Roman"/>
                <w:w w:val="90"/>
              </w:rPr>
            </w:pPr>
            <w:r>
              <w:rPr>
                <w:rFonts w:hAnsi="Times New Roman"/>
              </w:rPr>
              <w:t>已落实</w:t>
            </w:r>
          </w:p>
        </w:tc>
        <w:tc>
          <w:tcPr>
            <w:tcW w:w="634" w:type="dxa"/>
            <w:tcBorders>
              <w:top w:val="single" w:color="auto" w:sz="2" w:space="0"/>
            </w:tcBorders>
            <w:vAlign w:val="center"/>
          </w:tcPr>
          <w:p>
            <w:pPr>
              <w:pStyle w:val="135"/>
              <w:spacing w:line="210" w:lineRule="exact"/>
              <w:jc w:val="center"/>
              <w:rPr>
                <w:rFonts w:hAnsi="Times New Roman"/>
                <w:w w:val="90"/>
              </w:rPr>
            </w:pPr>
            <w:r>
              <w:rPr>
                <w:rFonts w:hAnsi="Times New Roman"/>
                <w:w w:val="90"/>
              </w:rPr>
              <w:t>4</w:t>
            </w:r>
          </w:p>
        </w:tc>
        <w:tc>
          <w:tcPr>
            <w:tcW w:w="650" w:type="dxa"/>
            <w:tcBorders>
              <w:top w:val="single" w:color="auto" w:sz="2" w:space="0"/>
            </w:tcBorders>
            <w:vAlign w:val="center"/>
          </w:tcPr>
          <w:p>
            <w:pPr>
              <w:pStyle w:val="135"/>
              <w:spacing w:line="210" w:lineRule="exact"/>
              <w:jc w:val="center"/>
              <w:rPr>
                <w:rFonts w:hAnsi="Times New Roman"/>
                <w:w w:val="90"/>
              </w:rPr>
            </w:pPr>
            <w:r>
              <w:rPr>
                <w:rFonts w:hAnsi="Times New Roman"/>
                <w:w w:val="90"/>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484" w:type="dxa"/>
            <w:vAlign w:val="center"/>
          </w:tcPr>
          <w:p>
            <w:pPr>
              <w:spacing w:line="210" w:lineRule="exact"/>
              <w:jc w:val="center"/>
              <w:rPr>
                <w:sz w:val="20"/>
                <w:szCs w:val="20"/>
              </w:rPr>
            </w:pPr>
            <w:r>
              <w:rPr>
                <w:sz w:val="20"/>
                <w:szCs w:val="20"/>
              </w:rPr>
              <w:t>水环境</w:t>
            </w:r>
          </w:p>
        </w:tc>
        <w:tc>
          <w:tcPr>
            <w:tcW w:w="679" w:type="dxa"/>
            <w:vAlign w:val="center"/>
          </w:tcPr>
          <w:p>
            <w:pPr>
              <w:spacing w:line="210" w:lineRule="exact"/>
              <w:jc w:val="center"/>
              <w:rPr>
                <w:sz w:val="20"/>
                <w:szCs w:val="20"/>
              </w:rPr>
            </w:pPr>
            <w:r>
              <w:rPr>
                <w:sz w:val="20"/>
                <w:szCs w:val="20"/>
              </w:rPr>
              <w:t>选矿废水</w:t>
            </w:r>
          </w:p>
        </w:tc>
        <w:tc>
          <w:tcPr>
            <w:tcW w:w="3079" w:type="dxa"/>
            <w:vAlign w:val="center"/>
          </w:tcPr>
          <w:p>
            <w:pPr>
              <w:spacing w:line="210" w:lineRule="exact"/>
              <w:jc w:val="center"/>
              <w:rPr>
                <w:sz w:val="20"/>
                <w:szCs w:val="20"/>
              </w:rPr>
            </w:pPr>
            <w:r>
              <w:rPr>
                <w:sz w:val="20"/>
                <w:szCs w:val="20"/>
              </w:rPr>
              <w:t>选厂重金属捕收剂+絮凝沉淀处理设施及尾矿库下游絮凝沉淀法废水处理设施及废水回流系统（选厂回水池一座、尾矿库下游泵房一座、尾矿库至选厂回水管网）；选矿厂长×宽×高=15m×4m×2m事故水池一座、泵房各一座，发电机一台。事故水池至尾矿库输水管道及泵房。</w:t>
            </w:r>
          </w:p>
        </w:tc>
        <w:tc>
          <w:tcPr>
            <w:tcW w:w="2371" w:type="dxa"/>
            <w:vAlign w:val="center"/>
          </w:tcPr>
          <w:p>
            <w:pPr>
              <w:spacing w:line="210" w:lineRule="exact"/>
              <w:jc w:val="center"/>
              <w:rPr>
                <w:sz w:val="20"/>
                <w:szCs w:val="20"/>
              </w:rPr>
            </w:pPr>
            <w:r>
              <w:rPr>
                <w:sz w:val="20"/>
                <w:szCs w:val="20"/>
              </w:rPr>
              <w:t>选厂重金属捕收剂+絮凝沉淀处理设施及尾矿库下游絮凝沉淀法废水处理设施及废水回流系统（选厂回水池一座、尾矿库下游泵房一座、尾矿库至选厂回水管网）；选矿已设置了</w:t>
            </w:r>
            <w:r>
              <w:rPr>
                <w:rFonts w:hint="eastAsia"/>
                <w:sz w:val="20"/>
                <w:szCs w:val="20"/>
              </w:rPr>
              <w:t>120m</w:t>
            </w:r>
            <w:r>
              <w:rPr>
                <w:rFonts w:hint="eastAsia"/>
                <w:sz w:val="20"/>
                <w:szCs w:val="20"/>
                <w:vertAlign w:val="superscript"/>
              </w:rPr>
              <w:t>3</w:t>
            </w:r>
            <w:r>
              <w:rPr>
                <w:sz w:val="20"/>
                <w:szCs w:val="20"/>
              </w:rPr>
              <w:t>事故水池一座、泵房各一座，发电机一台。事故水池至尾矿库输水管道及泵房。</w:t>
            </w:r>
          </w:p>
        </w:tc>
        <w:tc>
          <w:tcPr>
            <w:tcW w:w="631" w:type="dxa"/>
            <w:vAlign w:val="center"/>
          </w:tcPr>
          <w:p>
            <w:pPr>
              <w:spacing w:line="210" w:lineRule="exact"/>
              <w:jc w:val="center"/>
              <w:rPr>
                <w:sz w:val="20"/>
                <w:szCs w:val="20"/>
              </w:rPr>
            </w:pPr>
            <w:r>
              <w:rPr>
                <w:sz w:val="20"/>
                <w:szCs w:val="20"/>
              </w:rPr>
              <w:t>已落实</w:t>
            </w:r>
          </w:p>
        </w:tc>
        <w:tc>
          <w:tcPr>
            <w:tcW w:w="634" w:type="dxa"/>
            <w:vAlign w:val="center"/>
          </w:tcPr>
          <w:p>
            <w:pPr>
              <w:spacing w:line="210" w:lineRule="exact"/>
              <w:jc w:val="center"/>
              <w:rPr>
                <w:sz w:val="20"/>
                <w:szCs w:val="20"/>
              </w:rPr>
            </w:pPr>
            <w:r>
              <w:rPr>
                <w:sz w:val="20"/>
                <w:szCs w:val="20"/>
              </w:rPr>
              <w:t>15</w:t>
            </w:r>
          </w:p>
        </w:tc>
        <w:tc>
          <w:tcPr>
            <w:tcW w:w="650" w:type="dxa"/>
            <w:vAlign w:val="center"/>
          </w:tcPr>
          <w:p>
            <w:pPr>
              <w:spacing w:line="210" w:lineRule="exact"/>
              <w:jc w:val="center"/>
              <w:rPr>
                <w:sz w:val="20"/>
                <w:szCs w:val="20"/>
              </w:rPr>
            </w:pPr>
            <w:r>
              <w:rPr>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484" w:type="dxa"/>
            <w:vAlign w:val="center"/>
          </w:tcPr>
          <w:p>
            <w:pPr>
              <w:spacing w:line="210" w:lineRule="exact"/>
              <w:jc w:val="center"/>
              <w:rPr>
                <w:sz w:val="20"/>
                <w:szCs w:val="20"/>
              </w:rPr>
            </w:pPr>
            <w:r>
              <w:rPr>
                <w:sz w:val="20"/>
                <w:szCs w:val="20"/>
              </w:rPr>
              <w:t>声环境</w:t>
            </w:r>
          </w:p>
        </w:tc>
        <w:tc>
          <w:tcPr>
            <w:tcW w:w="679" w:type="dxa"/>
          </w:tcPr>
          <w:p>
            <w:pPr>
              <w:spacing w:line="210" w:lineRule="exact"/>
              <w:rPr>
                <w:sz w:val="20"/>
                <w:szCs w:val="20"/>
              </w:rPr>
            </w:pPr>
            <w:r>
              <w:rPr>
                <w:sz w:val="20"/>
                <w:szCs w:val="20"/>
              </w:rPr>
              <w:t>选矿机械噪声</w:t>
            </w:r>
          </w:p>
        </w:tc>
        <w:tc>
          <w:tcPr>
            <w:tcW w:w="3079" w:type="dxa"/>
            <w:vAlign w:val="center"/>
          </w:tcPr>
          <w:p>
            <w:pPr>
              <w:spacing w:line="210" w:lineRule="exact"/>
              <w:rPr>
                <w:sz w:val="20"/>
                <w:szCs w:val="20"/>
              </w:rPr>
            </w:pPr>
            <w:r>
              <w:rPr>
                <w:sz w:val="20"/>
                <w:szCs w:val="20"/>
              </w:rPr>
              <w:t>破碎机、球磨机、泵、空压机室内安装；破碎机、球磨机、泵、风机、空压机安装减振基座</w:t>
            </w:r>
          </w:p>
        </w:tc>
        <w:tc>
          <w:tcPr>
            <w:tcW w:w="2371" w:type="dxa"/>
            <w:vAlign w:val="center"/>
          </w:tcPr>
          <w:p>
            <w:pPr>
              <w:pStyle w:val="160"/>
              <w:spacing w:line="210" w:lineRule="exact"/>
              <w:ind w:firstLine="0" w:firstLineChars="0"/>
              <w:jc w:val="center"/>
              <w:rPr>
                <w:rFonts w:ascii="Times New Roman" w:hAnsi="Times New Roman"/>
                <w:b w:val="0"/>
                <w:sz w:val="20"/>
                <w:szCs w:val="20"/>
              </w:rPr>
            </w:pPr>
            <w:r>
              <w:rPr>
                <w:rFonts w:ascii="Times New Roman" w:hAnsi="Times New Roman"/>
                <w:b w:val="0"/>
                <w:sz w:val="20"/>
                <w:szCs w:val="20"/>
              </w:rPr>
              <w:t>破碎机、球磨机、泵、空压机室内安装；破碎机、球磨机、泵、风机、空压机安装减振基座</w:t>
            </w:r>
          </w:p>
        </w:tc>
        <w:tc>
          <w:tcPr>
            <w:tcW w:w="631" w:type="dxa"/>
            <w:vAlign w:val="center"/>
          </w:tcPr>
          <w:p>
            <w:pPr>
              <w:pStyle w:val="160"/>
              <w:spacing w:line="210" w:lineRule="exact"/>
              <w:ind w:firstLine="0" w:firstLineChars="0"/>
              <w:jc w:val="center"/>
              <w:rPr>
                <w:rFonts w:ascii="Times New Roman" w:hAnsi="Times New Roman"/>
                <w:b w:val="0"/>
                <w:w w:val="90"/>
                <w:sz w:val="20"/>
                <w:szCs w:val="20"/>
              </w:rPr>
            </w:pPr>
            <w:r>
              <w:rPr>
                <w:rFonts w:ascii="Times New Roman" w:hAnsi="Times New Roman"/>
                <w:b w:val="0"/>
                <w:sz w:val="20"/>
                <w:szCs w:val="20"/>
              </w:rPr>
              <w:t>已落实</w:t>
            </w:r>
          </w:p>
        </w:tc>
        <w:tc>
          <w:tcPr>
            <w:tcW w:w="634" w:type="dxa"/>
            <w:vAlign w:val="center"/>
          </w:tcPr>
          <w:p>
            <w:pPr>
              <w:pStyle w:val="160"/>
              <w:spacing w:line="210" w:lineRule="exact"/>
              <w:ind w:firstLine="0" w:firstLineChars="0"/>
              <w:jc w:val="center"/>
              <w:rPr>
                <w:rFonts w:ascii="Times New Roman" w:hAnsi="Times New Roman"/>
                <w:b w:val="0"/>
                <w:w w:val="90"/>
                <w:sz w:val="20"/>
                <w:szCs w:val="20"/>
              </w:rPr>
            </w:pPr>
            <w:r>
              <w:rPr>
                <w:rFonts w:ascii="Times New Roman" w:hAnsi="Times New Roman"/>
                <w:b w:val="0"/>
                <w:w w:val="90"/>
                <w:sz w:val="20"/>
                <w:szCs w:val="20"/>
              </w:rPr>
              <w:t>2</w:t>
            </w:r>
          </w:p>
        </w:tc>
        <w:tc>
          <w:tcPr>
            <w:tcW w:w="650" w:type="dxa"/>
            <w:vAlign w:val="center"/>
          </w:tcPr>
          <w:p>
            <w:pPr>
              <w:pStyle w:val="160"/>
              <w:spacing w:line="240" w:lineRule="auto"/>
              <w:ind w:firstLine="0" w:firstLineChars="0"/>
              <w:jc w:val="center"/>
              <w:rPr>
                <w:rFonts w:ascii="Times New Roman" w:hAnsi="Times New Roman"/>
                <w:w w:val="90"/>
                <w:sz w:val="20"/>
                <w:szCs w:val="20"/>
              </w:rPr>
            </w:pPr>
            <w:r>
              <w:rPr>
                <w:rFonts w:ascii="Times New Roman" w:hAnsi="Times New Roman"/>
                <w:w w:val="90"/>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484" w:type="dxa"/>
            <w:tcBorders>
              <w:bottom w:val="single" w:color="auto" w:sz="4" w:space="0"/>
            </w:tcBorders>
            <w:vAlign w:val="center"/>
          </w:tcPr>
          <w:p>
            <w:pPr>
              <w:spacing w:line="210" w:lineRule="exact"/>
              <w:jc w:val="center"/>
              <w:rPr>
                <w:sz w:val="20"/>
                <w:szCs w:val="20"/>
              </w:rPr>
            </w:pPr>
            <w:r>
              <w:rPr>
                <w:sz w:val="20"/>
                <w:szCs w:val="20"/>
              </w:rPr>
              <w:t>固废</w:t>
            </w:r>
          </w:p>
        </w:tc>
        <w:tc>
          <w:tcPr>
            <w:tcW w:w="679" w:type="dxa"/>
            <w:tcBorders>
              <w:bottom w:val="single" w:color="auto" w:sz="4" w:space="0"/>
            </w:tcBorders>
          </w:tcPr>
          <w:p>
            <w:pPr>
              <w:pStyle w:val="135"/>
              <w:spacing w:line="210" w:lineRule="exact"/>
              <w:rPr>
                <w:rFonts w:hAnsi="Times New Roman"/>
              </w:rPr>
            </w:pPr>
            <w:r>
              <w:rPr>
                <w:rFonts w:hAnsi="Times New Roman"/>
              </w:rPr>
              <w:t>尾矿</w:t>
            </w:r>
          </w:p>
        </w:tc>
        <w:tc>
          <w:tcPr>
            <w:tcW w:w="3079" w:type="dxa"/>
            <w:tcBorders>
              <w:bottom w:val="single" w:color="auto" w:sz="4" w:space="0"/>
            </w:tcBorders>
            <w:vAlign w:val="center"/>
          </w:tcPr>
          <w:p>
            <w:pPr>
              <w:pStyle w:val="135"/>
              <w:spacing w:line="210" w:lineRule="exact"/>
              <w:rPr>
                <w:rFonts w:hAnsi="Times New Roman"/>
              </w:rPr>
            </w:pPr>
            <w:r>
              <w:rPr>
                <w:rFonts w:hAnsi="Times New Roman"/>
              </w:rPr>
              <w:t>尾矿集中堆存</w:t>
            </w:r>
          </w:p>
        </w:tc>
        <w:tc>
          <w:tcPr>
            <w:tcW w:w="2371" w:type="dxa"/>
            <w:tcBorders>
              <w:bottom w:val="single" w:color="auto" w:sz="4" w:space="0"/>
            </w:tcBorders>
            <w:vAlign w:val="center"/>
          </w:tcPr>
          <w:p>
            <w:pPr>
              <w:pStyle w:val="135"/>
              <w:spacing w:line="210" w:lineRule="exact"/>
              <w:jc w:val="center"/>
              <w:rPr>
                <w:rFonts w:hAnsi="Times New Roman"/>
              </w:rPr>
            </w:pPr>
            <w:r>
              <w:rPr>
                <w:rFonts w:hAnsi="Times New Roman"/>
              </w:rPr>
              <w:t>尾矿集中堆存</w:t>
            </w:r>
          </w:p>
        </w:tc>
        <w:tc>
          <w:tcPr>
            <w:tcW w:w="631" w:type="dxa"/>
            <w:tcBorders>
              <w:bottom w:val="single" w:color="auto" w:sz="4" w:space="0"/>
            </w:tcBorders>
            <w:vAlign w:val="center"/>
          </w:tcPr>
          <w:p>
            <w:pPr>
              <w:pStyle w:val="135"/>
              <w:spacing w:line="210" w:lineRule="exact"/>
              <w:jc w:val="center"/>
              <w:rPr>
                <w:rFonts w:hAnsi="Times New Roman"/>
                <w:w w:val="90"/>
              </w:rPr>
            </w:pPr>
            <w:r>
              <w:rPr>
                <w:rFonts w:hAnsi="Times New Roman"/>
              </w:rPr>
              <w:t>已落实</w:t>
            </w:r>
          </w:p>
        </w:tc>
        <w:tc>
          <w:tcPr>
            <w:tcW w:w="634" w:type="dxa"/>
            <w:tcBorders>
              <w:bottom w:val="single" w:color="auto" w:sz="4" w:space="0"/>
            </w:tcBorders>
            <w:vAlign w:val="center"/>
          </w:tcPr>
          <w:p>
            <w:pPr>
              <w:pStyle w:val="135"/>
              <w:spacing w:line="210" w:lineRule="exact"/>
              <w:jc w:val="center"/>
              <w:rPr>
                <w:rFonts w:hAnsi="Times New Roman"/>
                <w:w w:val="90"/>
              </w:rPr>
            </w:pPr>
            <w:r>
              <w:rPr>
                <w:rFonts w:hAnsi="Times New Roman"/>
                <w:w w:val="90"/>
              </w:rPr>
              <w:t>/</w:t>
            </w:r>
          </w:p>
        </w:tc>
        <w:tc>
          <w:tcPr>
            <w:tcW w:w="650" w:type="dxa"/>
            <w:tcBorders>
              <w:bottom w:val="single" w:color="auto" w:sz="4" w:space="0"/>
            </w:tcBorders>
            <w:vAlign w:val="center"/>
          </w:tcPr>
          <w:p>
            <w:pPr>
              <w:pStyle w:val="135"/>
              <w:spacing w:line="210" w:lineRule="exact"/>
              <w:jc w:val="center"/>
              <w:rPr>
                <w:rFonts w:hAnsi="Times New Roman"/>
                <w:w w:val="90"/>
              </w:rPr>
            </w:pPr>
            <w:r>
              <w:rPr>
                <w:rFonts w:hAnsi="Times New Roman"/>
                <w:w w:val="9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trPr>
        <w:tc>
          <w:tcPr>
            <w:tcW w:w="7878" w:type="dxa"/>
            <w:gridSpan w:val="6"/>
            <w:tcBorders>
              <w:top w:val="single" w:color="auto" w:sz="4" w:space="0"/>
              <w:bottom w:val="single" w:color="auto" w:sz="4" w:space="0"/>
            </w:tcBorders>
            <w:shd w:val="clear" w:color="auto" w:fill="A0A0A0"/>
            <w:vAlign w:val="center"/>
          </w:tcPr>
          <w:p>
            <w:pPr>
              <w:spacing w:line="210" w:lineRule="exact"/>
              <w:jc w:val="center"/>
              <w:rPr>
                <w:b/>
                <w:w w:val="90"/>
                <w:sz w:val="20"/>
                <w:szCs w:val="20"/>
              </w:rPr>
            </w:pPr>
            <w:r>
              <w:rPr>
                <w:b/>
                <w:sz w:val="20"/>
                <w:szCs w:val="20"/>
              </w:rPr>
              <w:t>尾矿库</w:t>
            </w:r>
          </w:p>
        </w:tc>
        <w:tc>
          <w:tcPr>
            <w:tcW w:w="650" w:type="dxa"/>
            <w:tcBorders>
              <w:top w:val="single" w:color="auto" w:sz="4" w:space="0"/>
              <w:bottom w:val="single" w:color="auto" w:sz="4" w:space="0"/>
            </w:tcBorders>
            <w:shd w:val="clear" w:color="auto" w:fill="A0A0A0"/>
            <w:vAlign w:val="center"/>
          </w:tcPr>
          <w:p>
            <w:pPr>
              <w:spacing w:line="210" w:lineRule="exact"/>
              <w:jc w:val="center"/>
              <w:rPr>
                <w:b/>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484" w:type="dxa"/>
            <w:tcBorders>
              <w:top w:val="single" w:color="auto" w:sz="4" w:space="0"/>
            </w:tcBorders>
            <w:vAlign w:val="center"/>
          </w:tcPr>
          <w:p>
            <w:pPr>
              <w:spacing w:line="210" w:lineRule="exact"/>
              <w:jc w:val="center"/>
              <w:rPr>
                <w:sz w:val="20"/>
                <w:szCs w:val="20"/>
              </w:rPr>
            </w:pPr>
            <w:r>
              <w:rPr>
                <w:sz w:val="20"/>
                <w:szCs w:val="20"/>
              </w:rPr>
              <w:t>生态环境</w:t>
            </w:r>
          </w:p>
        </w:tc>
        <w:tc>
          <w:tcPr>
            <w:tcW w:w="679" w:type="dxa"/>
            <w:tcBorders>
              <w:top w:val="single" w:color="auto" w:sz="4" w:space="0"/>
            </w:tcBorders>
            <w:vAlign w:val="center"/>
          </w:tcPr>
          <w:p>
            <w:pPr>
              <w:spacing w:line="210" w:lineRule="exact"/>
              <w:jc w:val="center"/>
              <w:rPr>
                <w:sz w:val="20"/>
                <w:szCs w:val="20"/>
              </w:rPr>
            </w:pPr>
            <w:r>
              <w:rPr>
                <w:sz w:val="20"/>
                <w:szCs w:val="20"/>
              </w:rPr>
              <w:t>尾矿库</w:t>
            </w:r>
          </w:p>
        </w:tc>
        <w:tc>
          <w:tcPr>
            <w:tcW w:w="3079" w:type="dxa"/>
            <w:tcBorders>
              <w:top w:val="single" w:color="auto" w:sz="4" w:space="0"/>
            </w:tcBorders>
            <w:vAlign w:val="center"/>
          </w:tcPr>
          <w:p>
            <w:pPr>
              <w:autoSpaceDE w:val="0"/>
              <w:autoSpaceDN w:val="0"/>
              <w:adjustRightInd w:val="0"/>
              <w:spacing w:line="210" w:lineRule="exact"/>
              <w:jc w:val="center"/>
              <w:rPr>
                <w:sz w:val="20"/>
                <w:szCs w:val="20"/>
              </w:rPr>
            </w:pPr>
            <w:r>
              <w:rPr>
                <w:sz w:val="20"/>
                <w:szCs w:val="20"/>
              </w:rPr>
              <w:t>各级子坝平整、覆土、土地平整、植树、种草</w:t>
            </w:r>
          </w:p>
        </w:tc>
        <w:tc>
          <w:tcPr>
            <w:tcW w:w="2371" w:type="dxa"/>
            <w:tcBorders>
              <w:top w:val="single" w:color="auto" w:sz="4" w:space="0"/>
            </w:tcBorders>
            <w:vAlign w:val="center"/>
          </w:tcPr>
          <w:p>
            <w:pPr>
              <w:autoSpaceDE w:val="0"/>
              <w:autoSpaceDN w:val="0"/>
              <w:adjustRightInd w:val="0"/>
              <w:spacing w:line="210" w:lineRule="exact"/>
              <w:jc w:val="center"/>
              <w:rPr>
                <w:sz w:val="20"/>
                <w:szCs w:val="20"/>
              </w:rPr>
            </w:pPr>
            <w:r>
              <w:rPr>
                <w:sz w:val="20"/>
                <w:szCs w:val="20"/>
              </w:rPr>
              <w:t>初期坝下游坝坡已进行浆砌石护坡坝面播撒草籽</w:t>
            </w:r>
          </w:p>
        </w:tc>
        <w:tc>
          <w:tcPr>
            <w:tcW w:w="631" w:type="dxa"/>
            <w:tcBorders>
              <w:top w:val="single" w:color="auto" w:sz="4" w:space="0"/>
            </w:tcBorders>
            <w:vAlign w:val="center"/>
          </w:tcPr>
          <w:p>
            <w:pPr>
              <w:spacing w:line="210" w:lineRule="exact"/>
              <w:jc w:val="center"/>
              <w:rPr>
                <w:sz w:val="20"/>
                <w:szCs w:val="20"/>
              </w:rPr>
            </w:pPr>
            <w:r>
              <w:rPr>
                <w:sz w:val="20"/>
                <w:szCs w:val="20"/>
              </w:rPr>
              <w:t>已落实</w:t>
            </w:r>
          </w:p>
        </w:tc>
        <w:tc>
          <w:tcPr>
            <w:tcW w:w="634" w:type="dxa"/>
            <w:tcBorders>
              <w:top w:val="single" w:color="auto" w:sz="4" w:space="0"/>
            </w:tcBorders>
            <w:vAlign w:val="center"/>
          </w:tcPr>
          <w:p>
            <w:pPr>
              <w:spacing w:line="210" w:lineRule="exact"/>
              <w:jc w:val="center"/>
              <w:rPr>
                <w:sz w:val="20"/>
                <w:szCs w:val="20"/>
              </w:rPr>
            </w:pPr>
            <w:r>
              <w:rPr>
                <w:sz w:val="20"/>
                <w:szCs w:val="20"/>
              </w:rPr>
              <w:t>依托原有</w:t>
            </w:r>
          </w:p>
        </w:tc>
        <w:tc>
          <w:tcPr>
            <w:tcW w:w="650" w:type="dxa"/>
            <w:tcBorders>
              <w:top w:val="single" w:color="auto" w:sz="4" w:space="0"/>
            </w:tcBorders>
            <w:vAlign w:val="center"/>
          </w:tcPr>
          <w:p>
            <w:pPr>
              <w:spacing w:line="210" w:lineRule="exact"/>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84" w:type="dxa"/>
            <w:vAlign w:val="center"/>
          </w:tcPr>
          <w:p>
            <w:pPr>
              <w:spacing w:line="210" w:lineRule="exact"/>
              <w:jc w:val="center"/>
              <w:rPr>
                <w:sz w:val="20"/>
                <w:szCs w:val="20"/>
              </w:rPr>
            </w:pPr>
            <w:r>
              <w:rPr>
                <w:sz w:val="20"/>
                <w:szCs w:val="20"/>
              </w:rPr>
              <w:t>大气环境</w:t>
            </w:r>
          </w:p>
        </w:tc>
        <w:tc>
          <w:tcPr>
            <w:tcW w:w="679" w:type="dxa"/>
            <w:vAlign w:val="center"/>
          </w:tcPr>
          <w:p>
            <w:pPr>
              <w:spacing w:line="210" w:lineRule="exact"/>
              <w:jc w:val="center"/>
              <w:rPr>
                <w:sz w:val="20"/>
                <w:szCs w:val="20"/>
              </w:rPr>
            </w:pPr>
            <w:r>
              <w:rPr>
                <w:sz w:val="20"/>
                <w:szCs w:val="20"/>
              </w:rPr>
              <w:t>/</w:t>
            </w:r>
          </w:p>
        </w:tc>
        <w:tc>
          <w:tcPr>
            <w:tcW w:w="3079" w:type="dxa"/>
            <w:vAlign w:val="center"/>
          </w:tcPr>
          <w:p>
            <w:pPr>
              <w:spacing w:line="210" w:lineRule="exact"/>
              <w:jc w:val="center"/>
              <w:rPr>
                <w:sz w:val="20"/>
                <w:szCs w:val="20"/>
              </w:rPr>
            </w:pPr>
            <w:r>
              <w:rPr>
                <w:sz w:val="20"/>
                <w:szCs w:val="20"/>
              </w:rPr>
              <w:t>通过加强管理，规范放矿方式，控制滩面含水率，控制扬尘排放。</w:t>
            </w:r>
          </w:p>
        </w:tc>
        <w:tc>
          <w:tcPr>
            <w:tcW w:w="2371" w:type="dxa"/>
            <w:vAlign w:val="center"/>
          </w:tcPr>
          <w:p>
            <w:pPr>
              <w:spacing w:line="210" w:lineRule="exact"/>
              <w:jc w:val="center"/>
              <w:rPr>
                <w:sz w:val="20"/>
                <w:szCs w:val="20"/>
              </w:rPr>
            </w:pPr>
            <w:r>
              <w:rPr>
                <w:sz w:val="20"/>
                <w:szCs w:val="20"/>
              </w:rPr>
              <w:t>通过加强管理，规范放矿方式，控制滩面含水率，控制扬尘排放。</w:t>
            </w:r>
          </w:p>
        </w:tc>
        <w:tc>
          <w:tcPr>
            <w:tcW w:w="631" w:type="dxa"/>
            <w:vAlign w:val="center"/>
          </w:tcPr>
          <w:p>
            <w:pPr>
              <w:spacing w:line="210" w:lineRule="exact"/>
              <w:jc w:val="center"/>
              <w:rPr>
                <w:sz w:val="20"/>
                <w:szCs w:val="20"/>
              </w:rPr>
            </w:pPr>
            <w:r>
              <w:rPr>
                <w:sz w:val="20"/>
                <w:szCs w:val="20"/>
              </w:rPr>
              <w:t>已落实</w:t>
            </w:r>
          </w:p>
        </w:tc>
        <w:tc>
          <w:tcPr>
            <w:tcW w:w="634" w:type="dxa"/>
            <w:vAlign w:val="center"/>
          </w:tcPr>
          <w:p>
            <w:pPr>
              <w:spacing w:line="210" w:lineRule="exact"/>
              <w:jc w:val="center"/>
              <w:rPr>
                <w:sz w:val="20"/>
                <w:szCs w:val="20"/>
              </w:rPr>
            </w:pPr>
            <w:r>
              <w:rPr>
                <w:sz w:val="20"/>
                <w:szCs w:val="20"/>
              </w:rPr>
              <w:t>/</w:t>
            </w:r>
          </w:p>
        </w:tc>
        <w:tc>
          <w:tcPr>
            <w:tcW w:w="650" w:type="dxa"/>
            <w:vAlign w:val="center"/>
          </w:tcPr>
          <w:p>
            <w:pPr>
              <w:spacing w:line="210" w:lineRule="exact"/>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84" w:type="dxa"/>
            <w:tcBorders>
              <w:bottom w:val="single" w:color="auto" w:sz="4" w:space="0"/>
            </w:tcBorders>
            <w:vAlign w:val="center"/>
          </w:tcPr>
          <w:p>
            <w:pPr>
              <w:spacing w:line="210" w:lineRule="exact"/>
              <w:jc w:val="center"/>
              <w:rPr>
                <w:sz w:val="20"/>
                <w:szCs w:val="20"/>
              </w:rPr>
            </w:pPr>
            <w:r>
              <w:rPr>
                <w:sz w:val="20"/>
                <w:szCs w:val="20"/>
              </w:rPr>
              <w:t>水环境</w:t>
            </w:r>
          </w:p>
        </w:tc>
        <w:tc>
          <w:tcPr>
            <w:tcW w:w="679" w:type="dxa"/>
            <w:tcBorders>
              <w:bottom w:val="single" w:color="auto" w:sz="4" w:space="0"/>
            </w:tcBorders>
          </w:tcPr>
          <w:p>
            <w:pPr>
              <w:spacing w:line="210" w:lineRule="exact"/>
              <w:rPr>
                <w:sz w:val="20"/>
                <w:szCs w:val="20"/>
              </w:rPr>
            </w:pPr>
            <w:r>
              <w:rPr>
                <w:sz w:val="20"/>
                <w:szCs w:val="20"/>
              </w:rPr>
              <w:t>尾矿库澄清水</w:t>
            </w:r>
          </w:p>
        </w:tc>
        <w:tc>
          <w:tcPr>
            <w:tcW w:w="3079" w:type="dxa"/>
            <w:tcBorders>
              <w:bottom w:val="single" w:color="auto" w:sz="4" w:space="0"/>
            </w:tcBorders>
          </w:tcPr>
          <w:p>
            <w:pPr>
              <w:spacing w:line="210" w:lineRule="exact"/>
              <w:rPr>
                <w:sz w:val="20"/>
                <w:szCs w:val="20"/>
              </w:rPr>
            </w:pPr>
            <w:r>
              <w:rPr>
                <w:sz w:val="20"/>
                <w:szCs w:val="20"/>
              </w:rPr>
              <w:t>尾矿库下游絮凝沉淀法废水处理设施及废水回流系统（回水池一座、泵房一座、回水管网）；新增尾矿库长×宽×高=40m×10m×4m事故水池一座、泵房各一座，发电机一台。事故水池至尾矿库输水管道及泵房。</w:t>
            </w:r>
          </w:p>
        </w:tc>
        <w:tc>
          <w:tcPr>
            <w:tcW w:w="2371" w:type="dxa"/>
            <w:tcBorders>
              <w:bottom w:val="single" w:color="auto" w:sz="4" w:space="0"/>
            </w:tcBorders>
            <w:vAlign w:val="center"/>
          </w:tcPr>
          <w:p>
            <w:pPr>
              <w:spacing w:line="210" w:lineRule="exact"/>
              <w:jc w:val="center"/>
              <w:rPr>
                <w:sz w:val="20"/>
                <w:szCs w:val="20"/>
              </w:rPr>
            </w:pPr>
            <w:r>
              <w:rPr>
                <w:sz w:val="20"/>
                <w:szCs w:val="20"/>
              </w:rPr>
              <w:t>尾矿库下游絮凝沉淀法废水处理设施及废水回流系统（回水池一座、泵房一座、回水管网）；新增尾矿库长×宽×高=71m×17.5m×1.5m事故水池一座、泵房各一座，发电机一台。事故水池至尾矿库输水管道及泵</w:t>
            </w:r>
          </w:p>
        </w:tc>
        <w:tc>
          <w:tcPr>
            <w:tcW w:w="631" w:type="dxa"/>
            <w:tcBorders>
              <w:bottom w:val="single" w:color="auto" w:sz="4" w:space="0"/>
            </w:tcBorders>
            <w:vAlign w:val="center"/>
          </w:tcPr>
          <w:p>
            <w:pPr>
              <w:spacing w:line="210" w:lineRule="exact"/>
              <w:jc w:val="center"/>
              <w:rPr>
                <w:sz w:val="20"/>
                <w:szCs w:val="20"/>
              </w:rPr>
            </w:pPr>
            <w:r>
              <w:rPr>
                <w:sz w:val="20"/>
                <w:szCs w:val="20"/>
              </w:rPr>
              <w:t>已落实</w:t>
            </w:r>
          </w:p>
        </w:tc>
        <w:tc>
          <w:tcPr>
            <w:tcW w:w="634" w:type="dxa"/>
            <w:tcBorders>
              <w:bottom w:val="single" w:color="auto" w:sz="4" w:space="0"/>
            </w:tcBorders>
            <w:vAlign w:val="center"/>
          </w:tcPr>
          <w:p>
            <w:pPr>
              <w:spacing w:line="210" w:lineRule="exact"/>
              <w:jc w:val="center"/>
              <w:rPr>
                <w:sz w:val="20"/>
                <w:szCs w:val="20"/>
              </w:rPr>
            </w:pPr>
            <w:r>
              <w:rPr>
                <w:sz w:val="20"/>
                <w:szCs w:val="20"/>
              </w:rPr>
              <w:t>依托原有整改，列入遗留整改投资</w:t>
            </w:r>
          </w:p>
        </w:tc>
        <w:tc>
          <w:tcPr>
            <w:tcW w:w="650" w:type="dxa"/>
            <w:tcBorders>
              <w:bottom w:val="single" w:color="auto" w:sz="4" w:space="0"/>
            </w:tcBorders>
            <w:vAlign w:val="center"/>
          </w:tcPr>
          <w:p>
            <w:pPr>
              <w:spacing w:line="210" w:lineRule="exact"/>
              <w:jc w:val="center"/>
              <w:rPr>
                <w:sz w:val="20"/>
                <w:szCs w:val="20"/>
              </w:rPr>
            </w:pPr>
            <w:r>
              <w:rPr>
                <w:sz w:val="20"/>
                <w:szCs w:val="2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878" w:type="dxa"/>
            <w:gridSpan w:val="6"/>
            <w:tcBorders>
              <w:top w:val="single" w:color="auto" w:sz="4" w:space="0"/>
              <w:bottom w:val="single" w:color="auto" w:sz="4" w:space="0"/>
            </w:tcBorders>
            <w:shd w:val="clear" w:color="auto" w:fill="A0A0A0"/>
          </w:tcPr>
          <w:p>
            <w:pPr>
              <w:spacing w:line="210" w:lineRule="exact"/>
              <w:jc w:val="center"/>
              <w:rPr>
                <w:b/>
                <w:sz w:val="20"/>
                <w:szCs w:val="20"/>
              </w:rPr>
            </w:pPr>
            <w:r>
              <w:rPr>
                <w:b/>
                <w:sz w:val="20"/>
                <w:szCs w:val="20"/>
              </w:rPr>
              <w:t>其他</w:t>
            </w:r>
          </w:p>
        </w:tc>
        <w:tc>
          <w:tcPr>
            <w:tcW w:w="650" w:type="dxa"/>
            <w:tcBorders>
              <w:top w:val="single" w:color="auto" w:sz="4" w:space="0"/>
              <w:bottom w:val="single" w:color="auto" w:sz="4" w:space="0"/>
            </w:tcBorders>
            <w:shd w:val="clear" w:color="auto" w:fill="A0A0A0"/>
            <w:vAlign w:val="center"/>
          </w:tcPr>
          <w:p>
            <w:pPr>
              <w:spacing w:line="210" w:lineRule="exact"/>
              <w:jc w:val="center"/>
              <w:rPr>
                <w:b/>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63" w:type="dxa"/>
            <w:gridSpan w:val="2"/>
            <w:tcBorders>
              <w:top w:val="single" w:color="auto" w:sz="4" w:space="0"/>
            </w:tcBorders>
            <w:vAlign w:val="center"/>
          </w:tcPr>
          <w:p>
            <w:pPr>
              <w:spacing w:line="210" w:lineRule="exact"/>
              <w:jc w:val="center"/>
              <w:rPr>
                <w:sz w:val="20"/>
                <w:szCs w:val="20"/>
              </w:rPr>
            </w:pPr>
            <w:r>
              <w:rPr>
                <w:sz w:val="20"/>
                <w:szCs w:val="20"/>
              </w:rPr>
              <w:t>生活污水</w:t>
            </w:r>
          </w:p>
        </w:tc>
        <w:tc>
          <w:tcPr>
            <w:tcW w:w="3079" w:type="dxa"/>
            <w:tcBorders>
              <w:top w:val="single" w:color="auto" w:sz="4" w:space="0"/>
            </w:tcBorders>
            <w:vAlign w:val="center"/>
          </w:tcPr>
          <w:p>
            <w:pPr>
              <w:spacing w:line="210" w:lineRule="exact"/>
              <w:jc w:val="center"/>
              <w:rPr>
                <w:sz w:val="20"/>
                <w:szCs w:val="20"/>
              </w:rPr>
            </w:pPr>
            <w:r>
              <w:rPr>
                <w:sz w:val="20"/>
                <w:szCs w:val="20"/>
              </w:rPr>
              <w:t>依托现有冲水厕所、化粪池</w:t>
            </w:r>
          </w:p>
        </w:tc>
        <w:tc>
          <w:tcPr>
            <w:tcW w:w="2371" w:type="dxa"/>
            <w:tcBorders>
              <w:top w:val="single" w:color="auto" w:sz="4" w:space="0"/>
            </w:tcBorders>
            <w:vAlign w:val="center"/>
          </w:tcPr>
          <w:p>
            <w:pPr>
              <w:pStyle w:val="135"/>
              <w:spacing w:line="210" w:lineRule="exact"/>
              <w:jc w:val="center"/>
              <w:rPr>
                <w:rFonts w:hAnsi="Times New Roman"/>
              </w:rPr>
            </w:pPr>
            <w:r>
              <w:rPr>
                <w:rFonts w:hAnsi="Times New Roman"/>
              </w:rPr>
              <w:t>排入尾矿库、处理后回用</w:t>
            </w:r>
          </w:p>
        </w:tc>
        <w:tc>
          <w:tcPr>
            <w:tcW w:w="631" w:type="dxa"/>
            <w:tcBorders>
              <w:top w:val="single" w:color="auto" w:sz="4" w:space="0"/>
            </w:tcBorders>
            <w:vAlign w:val="center"/>
          </w:tcPr>
          <w:p>
            <w:pPr>
              <w:pStyle w:val="135"/>
              <w:spacing w:line="210" w:lineRule="exact"/>
              <w:jc w:val="center"/>
              <w:rPr>
                <w:rFonts w:hAnsi="Times New Roman"/>
                <w:w w:val="90"/>
              </w:rPr>
            </w:pPr>
            <w:r>
              <w:rPr>
                <w:rFonts w:hAnsi="Times New Roman"/>
              </w:rPr>
              <w:t>已落实</w:t>
            </w:r>
          </w:p>
        </w:tc>
        <w:tc>
          <w:tcPr>
            <w:tcW w:w="634" w:type="dxa"/>
            <w:tcBorders>
              <w:top w:val="single" w:color="auto" w:sz="4" w:space="0"/>
            </w:tcBorders>
            <w:vAlign w:val="center"/>
          </w:tcPr>
          <w:p>
            <w:pPr>
              <w:pStyle w:val="135"/>
              <w:spacing w:line="210" w:lineRule="exact"/>
              <w:jc w:val="center"/>
              <w:rPr>
                <w:rFonts w:hAnsi="Times New Roman"/>
              </w:rPr>
            </w:pPr>
            <w:r>
              <w:rPr>
                <w:rFonts w:hAnsi="Times New Roman"/>
                <w:w w:val="90"/>
              </w:rPr>
              <w:t>依托现有</w:t>
            </w:r>
          </w:p>
        </w:tc>
        <w:tc>
          <w:tcPr>
            <w:tcW w:w="650" w:type="dxa"/>
            <w:tcBorders>
              <w:top w:val="single" w:color="auto" w:sz="4" w:space="0"/>
            </w:tcBorders>
            <w:vAlign w:val="center"/>
          </w:tcPr>
          <w:p>
            <w:pPr>
              <w:pStyle w:val="135"/>
              <w:spacing w:line="210" w:lineRule="exact"/>
              <w:jc w:val="center"/>
              <w:rPr>
                <w:rFonts w:hAnsi="Times New Roman"/>
                <w:w w:val="9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63" w:type="dxa"/>
            <w:gridSpan w:val="2"/>
            <w:tcBorders>
              <w:top w:val="single" w:color="auto" w:sz="4" w:space="0"/>
            </w:tcBorders>
          </w:tcPr>
          <w:p>
            <w:pPr>
              <w:spacing w:line="210" w:lineRule="exact"/>
              <w:rPr>
                <w:sz w:val="20"/>
                <w:szCs w:val="20"/>
              </w:rPr>
            </w:pPr>
            <w:r>
              <w:rPr>
                <w:sz w:val="20"/>
                <w:szCs w:val="20"/>
              </w:rPr>
              <w:t>生活垃圾</w:t>
            </w:r>
          </w:p>
        </w:tc>
        <w:tc>
          <w:tcPr>
            <w:tcW w:w="3079" w:type="dxa"/>
            <w:tcBorders>
              <w:top w:val="single" w:color="auto" w:sz="4" w:space="0"/>
            </w:tcBorders>
          </w:tcPr>
          <w:p>
            <w:pPr>
              <w:spacing w:line="210" w:lineRule="exact"/>
              <w:rPr>
                <w:sz w:val="20"/>
                <w:szCs w:val="20"/>
              </w:rPr>
            </w:pPr>
            <w:r>
              <w:rPr>
                <w:sz w:val="20"/>
                <w:szCs w:val="20"/>
              </w:rPr>
              <w:t>办公生活区、矿山工业广场、选矿厂设置垃圾桶，所有生活垃圾均委托当地环卫部门清运，不对外环境排放。</w:t>
            </w:r>
          </w:p>
        </w:tc>
        <w:tc>
          <w:tcPr>
            <w:tcW w:w="2371" w:type="dxa"/>
            <w:tcBorders>
              <w:top w:val="single" w:color="auto" w:sz="4" w:space="0"/>
            </w:tcBorders>
            <w:vAlign w:val="center"/>
          </w:tcPr>
          <w:p>
            <w:pPr>
              <w:pStyle w:val="135"/>
              <w:spacing w:line="210" w:lineRule="exact"/>
              <w:jc w:val="center"/>
              <w:rPr>
                <w:rFonts w:hAnsi="Times New Roman"/>
              </w:rPr>
            </w:pPr>
            <w:r>
              <w:rPr>
                <w:rFonts w:hAnsi="Times New Roman"/>
              </w:rPr>
              <w:t>依托现有设施</w:t>
            </w:r>
          </w:p>
        </w:tc>
        <w:tc>
          <w:tcPr>
            <w:tcW w:w="631" w:type="dxa"/>
            <w:tcBorders>
              <w:top w:val="single" w:color="auto" w:sz="4" w:space="0"/>
            </w:tcBorders>
            <w:vAlign w:val="center"/>
          </w:tcPr>
          <w:p>
            <w:pPr>
              <w:pStyle w:val="135"/>
              <w:spacing w:line="210" w:lineRule="exact"/>
              <w:jc w:val="center"/>
              <w:rPr>
                <w:rFonts w:hAnsi="Times New Roman"/>
                <w:w w:val="90"/>
              </w:rPr>
            </w:pPr>
            <w:r>
              <w:rPr>
                <w:rFonts w:hAnsi="Times New Roman"/>
              </w:rPr>
              <w:t>已落实</w:t>
            </w:r>
          </w:p>
        </w:tc>
        <w:tc>
          <w:tcPr>
            <w:tcW w:w="634" w:type="dxa"/>
            <w:tcBorders>
              <w:top w:val="single" w:color="auto" w:sz="4" w:space="0"/>
            </w:tcBorders>
            <w:vAlign w:val="center"/>
          </w:tcPr>
          <w:p>
            <w:pPr>
              <w:pStyle w:val="135"/>
              <w:spacing w:line="210" w:lineRule="exact"/>
              <w:jc w:val="center"/>
              <w:rPr>
                <w:rFonts w:hAnsi="Times New Roman"/>
                <w:w w:val="90"/>
              </w:rPr>
            </w:pPr>
            <w:r>
              <w:rPr>
                <w:rFonts w:hAnsi="Times New Roman"/>
                <w:w w:val="90"/>
              </w:rPr>
              <w:t>依托现有</w:t>
            </w:r>
          </w:p>
        </w:tc>
        <w:tc>
          <w:tcPr>
            <w:tcW w:w="650" w:type="dxa"/>
            <w:tcBorders>
              <w:top w:val="single" w:color="auto" w:sz="4" w:space="0"/>
            </w:tcBorders>
            <w:vAlign w:val="center"/>
          </w:tcPr>
          <w:p>
            <w:pPr>
              <w:pStyle w:val="135"/>
              <w:spacing w:line="210" w:lineRule="exact"/>
              <w:jc w:val="center"/>
              <w:rPr>
                <w:rFonts w:hAnsi="Times New Roman"/>
                <w:w w:val="90"/>
              </w:rPr>
            </w:pPr>
            <w:r>
              <w:rPr>
                <w:rFonts w:hAnsi="Times New Roman"/>
                <w:w w:val="9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63" w:type="dxa"/>
            <w:gridSpan w:val="2"/>
          </w:tcPr>
          <w:p>
            <w:pPr>
              <w:spacing w:line="210" w:lineRule="exact"/>
              <w:rPr>
                <w:sz w:val="20"/>
                <w:szCs w:val="20"/>
              </w:rPr>
            </w:pPr>
            <w:r>
              <w:rPr>
                <w:sz w:val="20"/>
                <w:szCs w:val="20"/>
              </w:rPr>
              <w:t>运输道路等扬尘</w:t>
            </w:r>
          </w:p>
        </w:tc>
        <w:tc>
          <w:tcPr>
            <w:tcW w:w="3079" w:type="dxa"/>
            <w:vAlign w:val="center"/>
          </w:tcPr>
          <w:p>
            <w:pPr>
              <w:spacing w:line="210" w:lineRule="exact"/>
              <w:jc w:val="center"/>
              <w:rPr>
                <w:sz w:val="20"/>
                <w:szCs w:val="20"/>
              </w:rPr>
            </w:pPr>
            <w:r>
              <w:rPr>
                <w:sz w:val="20"/>
                <w:szCs w:val="20"/>
              </w:rPr>
              <w:t>定时洒水，苫盖运输</w:t>
            </w:r>
          </w:p>
        </w:tc>
        <w:tc>
          <w:tcPr>
            <w:tcW w:w="2371" w:type="dxa"/>
            <w:vAlign w:val="center"/>
          </w:tcPr>
          <w:p>
            <w:pPr>
              <w:spacing w:line="210" w:lineRule="exact"/>
              <w:jc w:val="center"/>
              <w:rPr>
                <w:sz w:val="20"/>
                <w:szCs w:val="20"/>
              </w:rPr>
            </w:pPr>
            <w:r>
              <w:rPr>
                <w:sz w:val="20"/>
                <w:szCs w:val="20"/>
              </w:rPr>
              <w:t>定时洒水，苫盖运输</w:t>
            </w:r>
          </w:p>
        </w:tc>
        <w:tc>
          <w:tcPr>
            <w:tcW w:w="631" w:type="dxa"/>
            <w:vAlign w:val="center"/>
          </w:tcPr>
          <w:p>
            <w:pPr>
              <w:spacing w:line="210" w:lineRule="exact"/>
              <w:jc w:val="center"/>
              <w:rPr>
                <w:sz w:val="20"/>
                <w:szCs w:val="20"/>
              </w:rPr>
            </w:pPr>
            <w:r>
              <w:rPr>
                <w:sz w:val="20"/>
                <w:szCs w:val="20"/>
              </w:rPr>
              <w:t>已落实</w:t>
            </w:r>
          </w:p>
        </w:tc>
        <w:tc>
          <w:tcPr>
            <w:tcW w:w="634" w:type="dxa"/>
            <w:vAlign w:val="center"/>
          </w:tcPr>
          <w:p>
            <w:pPr>
              <w:spacing w:line="210" w:lineRule="exact"/>
              <w:jc w:val="center"/>
              <w:rPr>
                <w:sz w:val="20"/>
                <w:szCs w:val="20"/>
              </w:rPr>
            </w:pPr>
            <w:r>
              <w:rPr>
                <w:sz w:val="20"/>
                <w:szCs w:val="20"/>
              </w:rPr>
              <w:t>/</w:t>
            </w:r>
          </w:p>
        </w:tc>
        <w:tc>
          <w:tcPr>
            <w:tcW w:w="650" w:type="dxa"/>
            <w:vAlign w:val="center"/>
          </w:tcPr>
          <w:p>
            <w:pPr>
              <w:spacing w:line="210" w:lineRule="exact"/>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63" w:type="dxa"/>
            <w:gridSpan w:val="2"/>
            <w:vAlign w:val="center"/>
          </w:tcPr>
          <w:p>
            <w:pPr>
              <w:pStyle w:val="135"/>
              <w:spacing w:line="210" w:lineRule="exact"/>
              <w:rPr>
                <w:rFonts w:hAnsi="Times New Roman"/>
              </w:rPr>
            </w:pPr>
            <w:r>
              <w:rPr>
                <w:rFonts w:hAnsi="Times New Roman"/>
              </w:rPr>
              <w:t>运输交通噪声</w:t>
            </w:r>
          </w:p>
        </w:tc>
        <w:tc>
          <w:tcPr>
            <w:tcW w:w="3079" w:type="dxa"/>
            <w:vAlign w:val="center"/>
          </w:tcPr>
          <w:p>
            <w:pPr>
              <w:spacing w:line="210" w:lineRule="exact"/>
              <w:rPr>
                <w:sz w:val="20"/>
                <w:szCs w:val="20"/>
              </w:rPr>
            </w:pPr>
            <w:r>
              <w:rPr>
                <w:sz w:val="20"/>
                <w:szCs w:val="20"/>
              </w:rPr>
              <w:t>限载、限速行驶，低速通行</w:t>
            </w:r>
          </w:p>
        </w:tc>
        <w:tc>
          <w:tcPr>
            <w:tcW w:w="2371" w:type="dxa"/>
            <w:vAlign w:val="center"/>
          </w:tcPr>
          <w:p>
            <w:pPr>
              <w:spacing w:line="210" w:lineRule="exact"/>
              <w:jc w:val="center"/>
              <w:rPr>
                <w:sz w:val="20"/>
                <w:szCs w:val="20"/>
              </w:rPr>
            </w:pPr>
            <w:r>
              <w:rPr>
                <w:sz w:val="20"/>
                <w:szCs w:val="20"/>
              </w:rPr>
              <w:t>限载、限速行驶，低速通行</w:t>
            </w:r>
          </w:p>
        </w:tc>
        <w:tc>
          <w:tcPr>
            <w:tcW w:w="631" w:type="dxa"/>
            <w:vAlign w:val="center"/>
          </w:tcPr>
          <w:p>
            <w:pPr>
              <w:spacing w:line="210" w:lineRule="exact"/>
              <w:jc w:val="center"/>
              <w:rPr>
                <w:sz w:val="20"/>
                <w:szCs w:val="20"/>
              </w:rPr>
            </w:pPr>
            <w:r>
              <w:rPr>
                <w:sz w:val="20"/>
                <w:szCs w:val="20"/>
              </w:rPr>
              <w:t>已落实</w:t>
            </w:r>
          </w:p>
        </w:tc>
        <w:tc>
          <w:tcPr>
            <w:tcW w:w="634" w:type="dxa"/>
            <w:vAlign w:val="center"/>
          </w:tcPr>
          <w:p>
            <w:pPr>
              <w:spacing w:line="210" w:lineRule="exact"/>
              <w:jc w:val="center"/>
              <w:rPr>
                <w:sz w:val="20"/>
                <w:szCs w:val="20"/>
              </w:rPr>
            </w:pPr>
            <w:r>
              <w:rPr>
                <w:sz w:val="20"/>
                <w:szCs w:val="20"/>
              </w:rPr>
              <w:t>/</w:t>
            </w:r>
          </w:p>
        </w:tc>
        <w:tc>
          <w:tcPr>
            <w:tcW w:w="650" w:type="dxa"/>
            <w:vAlign w:val="center"/>
          </w:tcPr>
          <w:p>
            <w:pPr>
              <w:spacing w:line="210" w:lineRule="exact"/>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63" w:type="dxa"/>
            <w:gridSpan w:val="2"/>
            <w:vAlign w:val="center"/>
          </w:tcPr>
          <w:p>
            <w:pPr>
              <w:pStyle w:val="135"/>
              <w:spacing w:line="210" w:lineRule="exact"/>
              <w:jc w:val="center"/>
              <w:rPr>
                <w:rFonts w:hAnsi="Times New Roman"/>
              </w:rPr>
            </w:pPr>
            <w:r>
              <w:rPr>
                <w:rFonts w:hAnsi="Times New Roman"/>
              </w:rPr>
              <w:t>合计</w:t>
            </w:r>
          </w:p>
        </w:tc>
        <w:tc>
          <w:tcPr>
            <w:tcW w:w="3079" w:type="dxa"/>
            <w:vAlign w:val="center"/>
          </w:tcPr>
          <w:p>
            <w:pPr>
              <w:spacing w:line="210" w:lineRule="exact"/>
              <w:rPr>
                <w:sz w:val="20"/>
                <w:szCs w:val="20"/>
              </w:rPr>
            </w:pPr>
          </w:p>
        </w:tc>
        <w:tc>
          <w:tcPr>
            <w:tcW w:w="2371" w:type="dxa"/>
            <w:vAlign w:val="center"/>
          </w:tcPr>
          <w:p>
            <w:pPr>
              <w:spacing w:line="210" w:lineRule="exact"/>
              <w:jc w:val="center"/>
              <w:rPr>
                <w:sz w:val="20"/>
                <w:szCs w:val="20"/>
              </w:rPr>
            </w:pPr>
          </w:p>
        </w:tc>
        <w:tc>
          <w:tcPr>
            <w:tcW w:w="631" w:type="dxa"/>
            <w:vAlign w:val="center"/>
          </w:tcPr>
          <w:p>
            <w:pPr>
              <w:spacing w:line="210" w:lineRule="exact"/>
              <w:jc w:val="center"/>
              <w:rPr>
                <w:sz w:val="20"/>
                <w:szCs w:val="20"/>
              </w:rPr>
            </w:pPr>
          </w:p>
        </w:tc>
        <w:tc>
          <w:tcPr>
            <w:tcW w:w="634" w:type="dxa"/>
            <w:vAlign w:val="center"/>
          </w:tcPr>
          <w:p>
            <w:pPr>
              <w:spacing w:line="210" w:lineRule="exact"/>
              <w:jc w:val="center"/>
              <w:rPr>
                <w:sz w:val="20"/>
                <w:szCs w:val="20"/>
              </w:rPr>
            </w:pPr>
            <w:r>
              <w:rPr>
                <w:sz w:val="20"/>
                <w:szCs w:val="20"/>
              </w:rPr>
              <w:t>51</w:t>
            </w:r>
          </w:p>
        </w:tc>
        <w:tc>
          <w:tcPr>
            <w:tcW w:w="650" w:type="dxa"/>
            <w:vAlign w:val="center"/>
          </w:tcPr>
          <w:p>
            <w:pPr>
              <w:spacing w:line="210" w:lineRule="exact"/>
              <w:jc w:val="center"/>
              <w:rPr>
                <w:sz w:val="20"/>
                <w:szCs w:val="20"/>
              </w:rPr>
            </w:pPr>
            <w:r>
              <w:rPr>
                <w:sz w:val="20"/>
                <w:szCs w:val="20"/>
              </w:rPr>
              <w:t>57</w:t>
            </w:r>
          </w:p>
        </w:tc>
      </w:tr>
    </w:tbl>
    <w:p>
      <w:pPr>
        <w:pStyle w:val="139"/>
        <w:rPr>
          <w:rFonts w:eastAsia="宋体"/>
        </w:rPr>
      </w:pPr>
      <w:bookmarkStart w:id="461" w:name="_Toc214206005"/>
    </w:p>
    <w:p>
      <w:pPr>
        <w:pStyle w:val="139"/>
        <w:jc w:val="left"/>
      </w:pPr>
      <w:r>
        <w:rPr>
          <w:rFonts w:eastAsia="宋体"/>
        </w:rPr>
        <w:t xml:space="preserve">    </w:t>
      </w:r>
      <w:r>
        <w:t>表4.3-4              闭矿期污染防与生态保护措施</w:t>
      </w:r>
      <w:bookmarkEnd w:id="461"/>
    </w:p>
    <w:tbl>
      <w:tblPr>
        <w:tblStyle w:val="54"/>
        <w:tblW w:w="834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63"/>
        <w:gridCol w:w="3260"/>
        <w:gridCol w:w="2037"/>
        <w:gridCol w:w="694"/>
        <w:gridCol w:w="694"/>
        <w:gridCol w:w="6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963" w:type="dxa"/>
            <w:vAlign w:val="center"/>
          </w:tcPr>
          <w:p>
            <w:pPr>
              <w:pStyle w:val="135"/>
              <w:jc w:val="center"/>
              <w:rPr>
                <w:rFonts w:hAnsi="Times New Roman"/>
                <w:sz w:val="18"/>
                <w:szCs w:val="18"/>
              </w:rPr>
            </w:pPr>
            <w:r>
              <w:rPr>
                <w:rFonts w:hAnsi="Times New Roman"/>
                <w:sz w:val="18"/>
                <w:szCs w:val="18"/>
              </w:rPr>
              <w:t>工程项目</w:t>
            </w:r>
          </w:p>
        </w:tc>
        <w:tc>
          <w:tcPr>
            <w:tcW w:w="3260" w:type="dxa"/>
            <w:vAlign w:val="center"/>
          </w:tcPr>
          <w:p>
            <w:pPr>
              <w:pStyle w:val="135"/>
              <w:jc w:val="center"/>
              <w:rPr>
                <w:rFonts w:hAnsi="Times New Roman"/>
                <w:sz w:val="18"/>
                <w:szCs w:val="18"/>
              </w:rPr>
            </w:pPr>
            <w:r>
              <w:rPr>
                <w:rFonts w:hAnsi="Times New Roman"/>
                <w:sz w:val="18"/>
                <w:szCs w:val="18"/>
              </w:rPr>
              <w:t>环评处理(保护)措施</w:t>
            </w:r>
          </w:p>
        </w:tc>
        <w:tc>
          <w:tcPr>
            <w:tcW w:w="2037" w:type="dxa"/>
            <w:vAlign w:val="center"/>
          </w:tcPr>
          <w:p>
            <w:pPr>
              <w:pStyle w:val="135"/>
              <w:jc w:val="center"/>
              <w:rPr>
                <w:rFonts w:hAnsi="Times New Roman"/>
                <w:sz w:val="18"/>
                <w:szCs w:val="18"/>
              </w:rPr>
            </w:pPr>
            <w:r>
              <w:rPr>
                <w:rFonts w:hAnsi="Times New Roman"/>
                <w:sz w:val="18"/>
                <w:szCs w:val="18"/>
              </w:rPr>
              <w:t>实际落实措施</w:t>
            </w:r>
          </w:p>
        </w:tc>
        <w:tc>
          <w:tcPr>
            <w:tcW w:w="694" w:type="dxa"/>
            <w:vAlign w:val="center"/>
          </w:tcPr>
          <w:p>
            <w:pPr>
              <w:pStyle w:val="135"/>
              <w:jc w:val="center"/>
              <w:rPr>
                <w:rFonts w:hAnsi="Times New Roman"/>
                <w:sz w:val="18"/>
                <w:szCs w:val="18"/>
              </w:rPr>
            </w:pPr>
            <w:r>
              <w:rPr>
                <w:rFonts w:hAnsi="Times New Roman"/>
                <w:sz w:val="18"/>
                <w:szCs w:val="18"/>
              </w:rPr>
              <w:t>整改情况</w:t>
            </w:r>
          </w:p>
        </w:tc>
        <w:tc>
          <w:tcPr>
            <w:tcW w:w="694" w:type="dxa"/>
            <w:vAlign w:val="center"/>
          </w:tcPr>
          <w:p>
            <w:pPr>
              <w:adjustRightInd w:val="0"/>
              <w:snapToGrid w:val="0"/>
              <w:jc w:val="center"/>
              <w:rPr>
                <w:sz w:val="20"/>
                <w:szCs w:val="20"/>
              </w:rPr>
            </w:pPr>
            <w:r>
              <w:rPr>
                <w:sz w:val="20"/>
                <w:szCs w:val="20"/>
              </w:rPr>
              <w:t>环评估算</w:t>
            </w:r>
          </w:p>
          <w:p>
            <w:pPr>
              <w:adjustRightInd w:val="0"/>
              <w:snapToGrid w:val="0"/>
              <w:jc w:val="center"/>
              <w:rPr>
                <w:sz w:val="20"/>
                <w:szCs w:val="20"/>
              </w:rPr>
            </w:pPr>
            <w:r>
              <w:rPr>
                <w:sz w:val="20"/>
                <w:szCs w:val="20"/>
              </w:rPr>
              <w:t>（万元）</w:t>
            </w:r>
          </w:p>
        </w:tc>
        <w:tc>
          <w:tcPr>
            <w:tcW w:w="694" w:type="dxa"/>
            <w:vAlign w:val="center"/>
          </w:tcPr>
          <w:p>
            <w:pPr>
              <w:adjustRightInd w:val="0"/>
              <w:snapToGrid w:val="0"/>
              <w:jc w:val="center"/>
              <w:rPr>
                <w:sz w:val="20"/>
                <w:szCs w:val="20"/>
              </w:rPr>
            </w:pPr>
            <w:r>
              <w:rPr>
                <w:sz w:val="20"/>
                <w:szCs w:val="20"/>
              </w:rPr>
              <w:t>实际投资</w:t>
            </w:r>
          </w:p>
          <w:p>
            <w:pPr>
              <w:adjustRightInd w:val="0"/>
              <w:snapToGrid w:val="0"/>
              <w:jc w:val="center"/>
              <w:rPr>
                <w:sz w:val="20"/>
                <w:szCs w:val="20"/>
              </w:rPr>
            </w:pPr>
            <w:r>
              <w:rPr>
                <w:sz w:val="20"/>
                <w:szCs w:val="20"/>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963" w:type="dxa"/>
            <w:tcBorders>
              <w:top w:val="single" w:color="auto" w:sz="6" w:space="0"/>
              <w:bottom w:val="single" w:color="auto" w:sz="6" w:space="0"/>
            </w:tcBorders>
            <w:shd w:val="clear" w:color="auto" w:fill="999999"/>
            <w:vAlign w:val="center"/>
          </w:tcPr>
          <w:p>
            <w:pPr>
              <w:pStyle w:val="135"/>
              <w:jc w:val="center"/>
              <w:rPr>
                <w:rFonts w:hAnsi="Times New Roman"/>
                <w:sz w:val="18"/>
                <w:szCs w:val="18"/>
              </w:rPr>
            </w:pPr>
            <w:r>
              <w:rPr>
                <w:rFonts w:hAnsi="Times New Roman"/>
                <w:sz w:val="18"/>
                <w:szCs w:val="18"/>
              </w:rPr>
              <w:t>生态恢复</w:t>
            </w:r>
          </w:p>
        </w:tc>
        <w:tc>
          <w:tcPr>
            <w:tcW w:w="3260" w:type="dxa"/>
            <w:tcBorders>
              <w:top w:val="single" w:color="auto" w:sz="6" w:space="0"/>
              <w:bottom w:val="single" w:color="auto" w:sz="6" w:space="0"/>
            </w:tcBorders>
            <w:shd w:val="clear" w:color="auto" w:fill="999999"/>
            <w:vAlign w:val="center"/>
          </w:tcPr>
          <w:p>
            <w:pPr>
              <w:pStyle w:val="137"/>
              <w:rPr>
                <w:sz w:val="18"/>
                <w:szCs w:val="18"/>
              </w:rPr>
            </w:pPr>
          </w:p>
        </w:tc>
        <w:tc>
          <w:tcPr>
            <w:tcW w:w="2037" w:type="dxa"/>
            <w:tcBorders>
              <w:top w:val="single" w:color="auto" w:sz="6" w:space="0"/>
              <w:bottom w:val="single" w:color="auto" w:sz="6" w:space="0"/>
            </w:tcBorders>
            <w:shd w:val="clear" w:color="auto" w:fill="999999"/>
            <w:vAlign w:val="center"/>
          </w:tcPr>
          <w:p>
            <w:pPr>
              <w:pStyle w:val="137"/>
              <w:rPr>
                <w:sz w:val="18"/>
                <w:szCs w:val="18"/>
              </w:rPr>
            </w:pPr>
          </w:p>
        </w:tc>
        <w:tc>
          <w:tcPr>
            <w:tcW w:w="694" w:type="dxa"/>
            <w:tcBorders>
              <w:top w:val="single" w:color="auto" w:sz="6" w:space="0"/>
              <w:bottom w:val="single" w:color="auto" w:sz="6" w:space="0"/>
            </w:tcBorders>
            <w:shd w:val="clear" w:color="auto" w:fill="999999"/>
            <w:vAlign w:val="center"/>
          </w:tcPr>
          <w:p>
            <w:pPr>
              <w:pStyle w:val="135"/>
              <w:rPr>
                <w:rFonts w:hAnsi="Times New Roman"/>
                <w:sz w:val="18"/>
                <w:szCs w:val="18"/>
              </w:rPr>
            </w:pPr>
          </w:p>
        </w:tc>
        <w:tc>
          <w:tcPr>
            <w:tcW w:w="694" w:type="dxa"/>
            <w:tcBorders>
              <w:top w:val="single" w:color="auto" w:sz="6" w:space="0"/>
              <w:bottom w:val="single" w:color="auto" w:sz="6" w:space="0"/>
            </w:tcBorders>
            <w:shd w:val="clear" w:color="auto" w:fill="999999"/>
            <w:vAlign w:val="center"/>
          </w:tcPr>
          <w:p>
            <w:pPr>
              <w:pStyle w:val="135"/>
              <w:rPr>
                <w:rFonts w:hAnsi="Times New Roman"/>
                <w:sz w:val="18"/>
                <w:szCs w:val="18"/>
              </w:rPr>
            </w:pPr>
          </w:p>
        </w:tc>
        <w:tc>
          <w:tcPr>
            <w:tcW w:w="694" w:type="dxa"/>
            <w:tcBorders>
              <w:top w:val="single" w:color="auto" w:sz="6" w:space="0"/>
              <w:bottom w:val="single" w:color="auto" w:sz="6" w:space="0"/>
            </w:tcBorders>
            <w:shd w:val="clear" w:color="auto" w:fill="999999"/>
            <w:vAlign w:val="center"/>
          </w:tcPr>
          <w:p>
            <w:pPr>
              <w:pStyle w:val="135"/>
              <w:rPr>
                <w:rFonts w:hAnsi="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963" w:type="dxa"/>
            <w:vAlign w:val="center"/>
          </w:tcPr>
          <w:p>
            <w:pPr>
              <w:pStyle w:val="135"/>
              <w:jc w:val="center"/>
              <w:rPr>
                <w:rFonts w:hAnsi="Times New Roman"/>
                <w:sz w:val="18"/>
                <w:szCs w:val="18"/>
              </w:rPr>
            </w:pPr>
            <w:r>
              <w:rPr>
                <w:rFonts w:hAnsi="Times New Roman"/>
                <w:sz w:val="18"/>
                <w:szCs w:val="18"/>
              </w:rPr>
              <w:t>闭矿封场</w:t>
            </w:r>
          </w:p>
        </w:tc>
        <w:tc>
          <w:tcPr>
            <w:tcW w:w="3260" w:type="dxa"/>
            <w:vAlign w:val="center"/>
          </w:tcPr>
          <w:p>
            <w:pPr>
              <w:pStyle w:val="135"/>
              <w:rPr>
                <w:rFonts w:hAnsi="Times New Roman"/>
                <w:sz w:val="18"/>
                <w:szCs w:val="18"/>
              </w:rPr>
            </w:pPr>
            <w:r>
              <w:rPr>
                <w:rFonts w:hAnsi="Times New Roman"/>
                <w:sz w:val="18"/>
                <w:szCs w:val="18"/>
              </w:rPr>
              <w:t>工广建筑和设施拆除、竖井封填、废石堆场、办公生活区、选矿厂区、尾矿库等具备恢复条件的土地进行平整、覆土绿化，全面实施生态恢复</w:t>
            </w:r>
          </w:p>
        </w:tc>
        <w:tc>
          <w:tcPr>
            <w:tcW w:w="2037" w:type="dxa"/>
            <w:vAlign w:val="center"/>
          </w:tcPr>
          <w:p>
            <w:pPr>
              <w:pStyle w:val="135"/>
              <w:jc w:val="center"/>
              <w:rPr>
                <w:rFonts w:hAnsi="Times New Roman"/>
                <w:sz w:val="18"/>
                <w:szCs w:val="18"/>
              </w:rPr>
            </w:pPr>
            <w:r>
              <w:rPr>
                <w:rFonts w:hAnsi="Times New Roman"/>
                <w:sz w:val="18"/>
                <w:szCs w:val="18"/>
              </w:rPr>
              <w:t>服务期限尚未结束，未落实</w:t>
            </w:r>
          </w:p>
        </w:tc>
        <w:tc>
          <w:tcPr>
            <w:tcW w:w="694" w:type="dxa"/>
            <w:vAlign w:val="center"/>
          </w:tcPr>
          <w:p>
            <w:pPr>
              <w:pStyle w:val="135"/>
              <w:jc w:val="center"/>
              <w:rPr>
                <w:rFonts w:hAnsi="Times New Roman"/>
                <w:sz w:val="18"/>
                <w:szCs w:val="18"/>
              </w:rPr>
            </w:pPr>
            <w:r>
              <w:rPr>
                <w:rFonts w:hAnsi="Times New Roman"/>
                <w:sz w:val="18"/>
                <w:szCs w:val="18"/>
              </w:rPr>
              <w:t>未落实</w:t>
            </w:r>
          </w:p>
        </w:tc>
        <w:tc>
          <w:tcPr>
            <w:tcW w:w="694" w:type="dxa"/>
            <w:vAlign w:val="center"/>
          </w:tcPr>
          <w:p>
            <w:pPr>
              <w:pStyle w:val="135"/>
              <w:jc w:val="center"/>
              <w:rPr>
                <w:rFonts w:hAnsi="Times New Roman"/>
                <w:sz w:val="18"/>
                <w:szCs w:val="18"/>
              </w:rPr>
            </w:pPr>
            <w:r>
              <w:rPr>
                <w:rFonts w:hAnsi="Times New Roman"/>
                <w:sz w:val="18"/>
                <w:szCs w:val="18"/>
              </w:rPr>
              <w:t>531.42</w:t>
            </w:r>
          </w:p>
        </w:tc>
        <w:tc>
          <w:tcPr>
            <w:tcW w:w="694" w:type="dxa"/>
            <w:vAlign w:val="center"/>
          </w:tcPr>
          <w:p>
            <w:pPr>
              <w:pStyle w:val="135"/>
              <w:jc w:val="center"/>
              <w:rPr>
                <w:rFonts w:hAnsi="Times New Roman"/>
                <w:sz w:val="18"/>
                <w:szCs w:val="18"/>
              </w:rPr>
            </w:pPr>
            <w:r>
              <w:rPr>
                <w:rFonts w:hAnsi="Times New Roman"/>
                <w:sz w:val="18"/>
                <w:szCs w:val="18"/>
              </w:rPr>
              <w:t>0</w:t>
            </w:r>
          </w:p>
        </w:tc>
      </w:tr>
      <w:bookmarkEnd w:id="451"/>
      <w:bookmarkEnd w:id="452"/>
      <w:bookmarkEnd w:id="453"/>
      <w:bookmarkEnd w:id="454"/>
      <w:bookmarkEnd w:id="455"/>
      <w:bookmarkEnd w:id="456"/>
      <w:bookmarkEnd w:id="457"/>
      <w:bookmarkEnd w:id="458"/>
      <w:bookmarkEnd w:id="459"/>
    </w:tbl>
    <w:p/>
    <w:p>
      <w:pPr>
        <w:spacing w:line="420" w:lineRule="auto"/>
        <w:ind w:firstLine="480" w:firstLineChars="200"/>
        <w:rPr>
          <w:sz w:val="24"/>
        </w:rPr>
      </w:pPr>
      <w:r>
        <w:rPr>
          <w:sz w:val="24"/>
        </w:rPr>
        <w:t>本项目总投资46446万元，环保投资693.42万元，占工程总投资的1.49%。</w:t>
      </w:r>
    </w:p>
    <w:p>
      <w:pPr>
        <w:spacing w:line="420" w:lineRule="auto"/>
        <w:ind w:firstLine="480" w:firstLineChars="200"/>
        <w:rPr>
          <w:sz w:val="24"/>
        </w:rPr>
      </w:pPr>
      <w:r>
        <w:rPr>
          <w:sz w:val="24"/>
        </w:rPr>
        <w:t>目前实际建设投资23000万元，已实际落实环保投资169.3万元，占总投资的0.74%。具体环保投资情况见表4.1-1～4.1-4。</w:t>
      </w:r>
    </w:p>
    <w:p>
      <w:pPr>
        <w:pStyle w:val="3"/>
        <w:rPr>
          <w:rFonts w:ascii="Times New Roman" w:hAnsi="Times New Roman"/>
        </w:rPr>
      </w:pPr>
      <w:bookmarkStart w:id="462" w:name="_Toc488578910"/>
      <w:bookmarkStart w:id="463" w:name="_Toc470358688"/>
      <w:bookmarkStart w:id="464" w:name="_Toc370112123"/>
      <w:bookmarkStart w:id="465" w:name="_Toc407217356"/>
      <w:bookmarkStart w:id="466" w:name="_Toc173147936"/>
      <w:bookmarkStart w:id="467" w:name="_Toc406504208"/>
      <w:bookmarkStart w:id="468" w:name="_Toc407153490"/>
      <w:bookmarkStart w:id="469" w:name="_Toc420663674"/>
      <w:bookmarkStart w:id="470" w:name="_Toc173284085"/>
      <w:r>
        <w:rPr>
          <w:rFonts w:ascii="Times New Roman" w:hAnsi="Times New Roman"/>
        </w:rPr>
        <w:t>4.4 环保措施有效性分析</w:t>
      </w:r>
      <w:bookmarkEnd w:id="462"/>
      <w:bookmarkEnd w:id="463"/>
      <w:bookmarkEnd w:id="464"/>
      <w:bookmarkEnd w:id="465"/>
      <w:bookmarkEnd w:id="466"/>
      <w:bookmarkEnd w:id="467"/>
      <w:bookmarkEnd w:id="468"/>
      <w:bookmarkEnd w:id="469"/>
      <w:bookmarkEnd w:id="470"/>
    </w:p>
    <w:p>
      <w:pPr>
        <w:spacing w:line="360" w:lineRule="auto"/>
        <w:ind w:firstLine="480" w:firstLineChars="200"/>
        <w:rPr>
          <w:sz w:val="24"/>
        </w:rPr>
      </w:pPr>
      <w:r>
        <w:rPr>
          <w:sz w:val="24"/>
        </w:rPr>
        <w:t>根据现场调查，目前本项目各项环境保护措施基本落实到位，并且运行良好，试生产期间均取得了较好的效果。</w:t>
      </w:r>
    </w:p>
    <w:p>
      <w:pPr>
        <w:pStyle w:val="10"/>
        <w:rPr>
          <w:rFonts w:ascii="Times New Roman" w:hAnsi="Times New Roman"/>
        </w:rPr>
      </w:pPr>
      <w:r>
        <w:rPr>
          <w:rFonts w:ascii="Times New Roman" w:hAnsi="Times New Roman"/>
        </w:rPr>
        <w:t>4.1.1矿山治理措施的有效性</w:t>
      </w:r>
    </w:p>
    <w:p>
      <w:pPr>
        <w:pStyle w:val="5"/>
        <w:rPr>
          <w:rFonts w:ascii="Times New Roman" w:hAnsi="Times New Roman"/>
        </w:rPr>
      </w:pPr>
      <w:bookmarkStart w:id="471" w:name="_Toc407217357"/>
      <w:bookmarkStart w:id="472" w:name="_Toc420663675"/>
      <w:bookmarkStart w:id="473" w:name="_Toc407153491"/>
      <w:bookmarkStart w:id="474" w:name="_Toc406504209"/>
      <w:r>
        <w:rPr>
          <w:rFonts w:ascii="Times New Roman" w:hAnsi="Times New Roman"/>
        </w:rPr>
        <w:t>4.4.1.1 废水污染防治措施有效性分析</w:t>
      </w:r>
      <w:bookmarkEnd w:id="471"/>
      <w:bookmarkEnd w:id="472"/>
      <w:bookmarkEnd w:id="473"/>
      <w:bookmarkEnd w:id="474"/>
    </w:p>
    <w:p>
      <w:pPr>
        <w:pStyle w:val="107"/>
      </w:pPr>
      <w:r>
        <w:rPr>
          <w:rFonts w:eastAsia="宋体"/>
        </w:rPr>
        <w:t xml:space="preserve">    （1）生活污水</w:t>
      </w:r>
    </w:p>
    <w:p>
      <w:pPr>
        <w:tabs>
          <w:tab w:val="left" w:pos="2450"/>
        </w:tabs>
        <w:spacing w:line="360" w:lineRule="auto"/>
        <w:ind w:firstLine="480" w:firstLineChars="200"/>
        <w:rPr>
          <w:sz w:val="24"/>
        </w:rPr>
      </w:pPr>
      <w:r>
        <w:rPr>
          <w:sz w:val="24"/>
        </w:rPr>
        <w:t>根据本次验收调查结果，生活废污水主要为洗漱废水和食堂废水，食堂废水通过隔油池处理后与生活废水一同经过化粪池收集池处理后排入尾矿库经过污水处理站处理后回用于生产，不外排。生活污水防止措施可行。</w:t>
      </w:r>
    </w:p>
    <w:p>
      <w:pPr>
        <w:spacing w:line="360" w:lineRule="auto"/>
        <w:ind w:firstLine="480" w:firstLineChars="200"/>
        <w:rPr>
          <w:sz w:val="24"/>
        </w:rPr>
      </w:pPr>
      <w:r>
        <w:rPr>
          <w:sz w:val="24"/>
        </w:rPr>
        <w:t>（2）矿井涌水</w:t>
      </w:r>
    </w:p>
    <w:p>
      <w:pPr>
        <w:spacing w:line="360" w:lineRule="auto"/>
        <w:ind w:firstLine="480" w:firstLineChars="200"/>
        <w:rPr>
          <w:sz w:val="24"/>
        </w:rPr>
      </w:pPr>
      <w:r>
        <w:rPr>
          <w:sz w:val="24"/>
        </w:rPr>
        <w:t>根据2016年8月25~27日灵宝市环境监测站对矿井涌水实测结果，矿井涌水各项监测因子均满足《污水综合排放标准》（GB8978-1996）表1及表4一级标准要求，矿井涌水用于厂区降尘、绿化、选矿生产、生活，余量通过排至麻家河。除氨氮指标外，矿井涌水出口处其他指标均能满足《地表水环境质量标准》（GB3838-2002）Ⅲ类标准。根据灵宝监测站对美山村饮用水和南风井探矿坑口疏干水监测结果，矿石地下涌水产生源水质满足《地表水环境质量标准》（GB3838-2002）Ⅲ类标准。且根据监测结果，麻家河及其支流背景断面和监控断面水质同样有氨氮超标现象，综合分析氨氮超标现象并非本项目矿井涌水本身超标，因矿井涌水经过2km涵洞输送后排放，因此考虑输送过程中地表径流通过岩隙渗入所致氨氮超标。</w:t>
      </w:r>
    </w:p>
    <w:p>
      <w:pPr>
        <w:spacing w:line="360" w:lineRule="auto"/>
        <w:ind w:firstLine="480" w:firstLineChars="200"/>
        <w:rPr>
          <w:sz w:val="24"/>
        </w:rPr>
      </w:pPr>
      <w:r>
        <w:rPr>
          <w:sz w:val="24"/>
        </w:rPr>
        <w:t>根据灵宝市环境监测站2016年8月25日～8月27日对尾矿库下游沟口河、黑山河、清水河、干沟河和麻家河7个监测断面监测结果，各断面除氨氮外各项监测指标均能满足《地表水环境质量标准》（GB3838-2002）Ⅲ类标准。</w:t>
      </w:r>
    </w:p>
    <w:p>
      <w:pPr>
        <w:tabs>
          <w:tab w:val="left" w:pos="567"/>
          <w:tab w:val="left" w:pos="851"/>
          <w:tab w:val="left" w:pos="1134"/>
        </w:tabs>
        <w:spacing w:line="360" w:lineRule="auto"/>
        <w:ind w:firstLine="480" w:firstLineChars="200"/>
        <w:rPr>
          <w:bCs/>
          <w:sz w:val="24"/>
        </w:rPr>
      </w:pPr>
      <w:r>
        <w:rPr>
          <w:bCs/>
          <w:sz w:val="24"/>
        </w:rPr>
        <w:t>同时，根据对</w:t>
      </w:r>
      <w:r>
        <w:rPr>
          <w:sz w:val="24"/>
        </w:rPr>
        <w:t>美山村、大村、黑山村</w:t>
      </w:r>
      <w:r>
        <w:rPr>
          <w:bCs/>
          <w:sz w:val="24"/>
        </w:rPr>
        <w:t>公众参与调查结果可知，村民们对本项目反应良好，调查中未发生废水影响居民生活的现象。</w:t>
      </w:r>
    </w:p>
    <w:p>
      <w:pPr>
        <w:spacing w:line="360" w:lineRule="auto"/>
        <w:ind w:firstLine="480" w:firstLineChars="200"/>
        <w:rPr>
          <w:sz w:val="24"/>
        </w:rPr>
      </w:pPr>
      <w:r>
        <w:rPr>
          <w:sz w:val="24"/>
        </w:rPr>
        <w:t xml:space="preserve">由此可知，本项目生活废水经污水站处理后回用，不外排。矿井涌水综合利用后余量达标排入麻家河，本项目矿山采取的各项废水防治和处置措施可行。 </w:t>
      </w:r>
    </w:p>
    <w:p>
      <w:pPr>
        <w:pStyle w:val="5"/>
        <w:rPr>
          <w:rFonts w:ascii="Times New Roman" w:hAnsi="Times New Roman"/>
        </w:rPr>
      </w:pPr>
      <w:bookmarkStart w:id="475" w:name="_Toc420663676"/>
      <w:bookmarkStart w:id="476" w:name="_Toc407153492"/>
      <w:bookmarkStart w:id="477" w:name="_Toc407217358"/>
      <w:bookmarkStart w:id="478" w:name="_Toc406504210"/>
      <w:r>
        <w:rPr>
          <w:rFonts w:ascii="Times New Roman" w:hAnsi="Times New Roman"/>
        </w:rPr>
        <w:t>4.4.1.2 大气污染防治措施有效性分析</w:t>
      </w:r>
      <w:bookmarkEnd w:id="475"/>
      <w:bookmarkEnd w:id="476"/>
      <w:bookmarkEnd w:id="477"/>
      <w:bookmarkEnd w:id="478"/>
    </w:p>
    <w:p>
      <w:pPr>
        <w:tabs>
          <w:tab w:val="left" w:pos="709"/>
          <w:tab w:val="left" w:pos="1134"/>
        </w:tabs>
        <w:spacing w:line="360" w:lineRule="auto"/>
        <w:ind w:firstLine="465"/>
        <w:rPr>
          <w:sz w:val="24"/>
        </w:rPr>
      </w:pPr>
      <w:r>
        <w:rPr>
          <w:sz w:val="24"/>
        </w:rPr>
        <w:t>本项目废石场设置了移动式洒水喷头</w:t>
      </w:r>
      <w:r>
        <w:rPr>
          <w:rFonts w:hint="eastAsia"/>
          <w:sz w:val="24"/>
        </w:rPr>
        <w:t>3个</w:t>
      </w:r>
      <w:r>
        <w:rPr>
          <w:sz w:val="24"/>
        </w:rPr>
        <w:t>、</w:t>
      </w:r>
      <w:r>
        <w:rPr>
          <w:bCs/>
          <w:sz w:val="24"/>
        </w:rPr>
        <w:t>运输道路等</w:t>
      </w:r>
      <w:r>
        <w:rPr>
          <w:sz w:val="24"/>
        </w:rPr>
        <w:t>已经设置了洒水车</w:t>
      </w:r>
      <w:r>
        <w:rPr>
          <w:rFonts w:hint="eastAsia"/>
          <w:sz w:val="24"/>
        </w:rPr>
        <w:t>由</w:t>
      </w:r>
      <w:r>
        <w:rPr>
          <w:sz w:val="24"/>
        </w:rPr>
        <w:t>专人定期洒水降尘。矿石运输过程中对车辆覆盖篷布、控制装载量和车速，以及路面适当洒水降尘，已经有效的减轻了道路扬尘的产生。</w:t>
      </w:r>
    </w:p>
    <w:p>
      <w:pPr>
        <w:tabs>
          <w:tab w:val="left" w:pos="567"/>
          <w:tab w:val="left" w:pos="851"/>
          <w:tab w:val="left" w:pos="1134"/>
        </w:tabs>
        <w:spacing w:line="360" w:lineRule="auto"/>
        <w:ind w:firstLine="480" w:firstLineChars="200"/>
        <w:rPr>
          <w:sz w:val="24"/>
        </w:rPr>
      </w:pPr>
      <w:r>
        <w:rPr>
          <w:sz w:val="24"/>
        </w:rPr>
        <w:t>根据灵宝市环境监测站于2016年8月25～26日对工业场地和废石场上风向监控点和下风向监测点进行监测。由监测结果可知，工业场地和废石场颗粒物排放最大监测浓度为0.021～0.151mg/m</w:t>
      </w:r>
      <w:r>
        <w:rPr>
          <w:sz w:val="24"/>
          <w:vertAlign w:val="superscript"/>
        </w:rPr>
        <w:t>3</w:t>
      </w:r>
      <w:r>
        <w:rPr>
          <w:sz w:val="24"/>
        </w:rPr>
        <w:t>，颗粒物排放浓度满足《大气污染物综合排放标准》表2周界外浓度最高点1.0mg/m</w:t>
      </w:r>
      <w:r>
        <w:rPr>
          <w:sz w:val="24"/>
          <w:vertAlign w:val="superscript"/>
        </w:rPr>
        <w:t>3</w:t>
      </w:r>
      <w:r>
        <w:rPr>
          <w:sz w:val="24"/>
        </w:rPr>
        <w:t>标准要求。</w:t>
      </w:r>
    </w:p>
    <w:p>
      <w:pPr>
        <w:tabs>
          <w:tab w:val="left" w:pos="567"/>
          <w:tab w:val="left" w:pos="851"/>
          <w:tab w:val="left" w:pos="1134"/>
        </w:tabs>
        <w:spacing w:line="360" w:lineRule="auto"/>
        <w:ind w:firstLine="480" w:firstLineChars="200"/>
        <w:rPr>
          <w:bCs/>
          <w:sz w:val="24"/>
        </w:rPr>
      </w:pPr>
      <w:r>
        <w:rPr>
          <w:sz w:val="24"/>
        </w:rPr>
        <w:t>根据灵宝市环境监测站于2016年8月25日～27日矿山周围大村和美山村环境空气质量的监测结果可知，该调查区域内监测的点位</w:t>
      </w:r>
      <w:r>
        <w:rPr>
          <w:spacing w:val="2"/>
          <w:sz w:val="24"/>
        </w:rPr>
        <w:t>，</w:t>
      </w:r>
      <w:r>
        <w:rPr>
          <w:sz w:val="24"/>
        </w:rPr>
        <w:t>TSP、PM</w:t>
      </w:r>
      <w:r>
        <w:rPr>
          <w:sz w:val="24"/>
          <w:vertAlign w:val="subscript"/>
        </w:rPr>
        <w:t>10</w:t>
      </w:r>
      <w:r>
        <w:rPr>
          <w:sz w:val="24"/>
        </w:rPr>
        <w:t>日均值均低于(GB3095-2012)中二级标准要求。</w:t>
      </w:r>
    </w:p>
    <w:p>
      <w:pPr>
        <w:tabs>
          <w:tab w:val="left" w:pos="567"/>
          <w:tab w:val="left" w:pos="851"/>
          <w:tab w:val="left" w:pos="1134"/>
        </w:tabs>
        <w:spacing w:line="360" w:lineRule="auto"/>
        <w:ind w:firstLine="480" w:firstLineChars="200"/>
        <w:rPr>
          <w:bCs/>
          <w:sz w:val="24"/>
        </w:rPr>
      </w:pPr>
      <w:r>
        <w:rPr>
          <w:bCs/>
          <w:sz w:val="24"/>
        </w:rPr>
        <w:t>同时，根据对</w:t>
      </w:r>
      <w:r>
        <w:rPr>
          <w:sz w:val="24"/>
        </w:rPr>
        <w:t>美山村、大村、黑山村</w:t>
      </w:r>
      <w:r>
        <w:rPr>
          <w:bCs/>
          <w:sz w:val="24"/>
        </w:rPr>
        <w:t>公众参与调查结果可知，村民们对本项目反应良好，调查中未发生大气污染、扰乱居民生活的现象。</w:t>
      </w:r>
    </w:p>
    <w:p>
      <w:pPr>
        <w:spacing w:line="360" w:lineRule="auto"/>
        <w:ind w:firstLine="480" w:firstLineChars="200"/>
        <w:rPr>
          <w:bCs/>
          <w:sz w:val="24"/>
        </w:rPr>
      </w:pPr>
      <w:r>
        <w:rPr>
          <w:bCs/>
          <w:sz w:val="24"/>
        </w:rPr>
        <w:t>由此可知，本项目采取的各项大气污染防治措施可行。</w:t>
      </w:r>
    </w:p>
    <w:p>
      <w:pPr>
        <w:pStyle w:val="5"/>
        <w:rPr>
          <w:rFonts w:ascii="Times New Roman" w:hAnsi="Times New Roman"/>
        </w:rPr>
      </w:pPr>
      <w:bookmarkStart w:id="479" w:name="_Toc407153493"/>
      <w:bookmarkStart w:id="480" w:name="_Toc406504211"/>
      <w:bookmarkStart w:id="481" w:name="_Toc407217359"/>
      <w:bookmarkStart w:id="482" w:name="_Toc420663677"/>
      <w:r>
        <w:rPr>
          <w:rFonts w:ascii="Times New Roman" w:hAnsi="Times New Roman"/>
        </w:rPr>
        <w:t>4.4.1.3 噪声污染防治措施有效性分析</w:t>
      </w:r>
      <w:bookmarkEnd w:id="479"/>
      <w:bookmarkEnd w:id="480"/>
      <w:bookmarkEnd w:id="481"/>
      <w:bookmarkEnd w:id="482"/>
    </w:p>
    <w:p>
      <w:pPr>
        <w:tabs>
          <w:tab w:val="left" w:pos="567"/>
          <w:tab w:val="left" w:pos="851"/>
          <w:tab w:val="left" w:pos="1134"/>
        </w:tabs>
        <w:spacing w:line="360" w:lineRule="auto"/>
        <w:ind w:firstLine="480" w:firstLineChars="200"/>
        <w:rPr>
          <w:bCs/>
          <w:sz w:val="24"/>
        </w:rPr>
      </w:pPr>
      <w:r>
        <w:rPr>
          <w:bCs/>
          <w:sz w:val="24"/>
        </w:rPr>
        <w:t>本项目爆破为井下作业，并且对设备采取了基础减震、隔声的措施。同时对运输车辆采取了严禁超载和减速慢行等一系列措施。</w:t>
      </w:r>
    </w:p>
    <w:p>
      <w:pPr>
        <w:spacing w:line="360" w:lineRule="auto"/>
        <w:ind w:firstLine="480" w:firstLineChars="200"/>
        <w:rPr>
          <w:sz w:val="24"/>
        </w:rPr>
      </w:pPr>
      <w:r>
        <w:rPr>
          <w:bCs/>
          <w:sz w:val="24"/>
        </w:rPr>
        <w:t>根据</w:t>
      </w:r>
      <w:r>
        <w:rPr>
          <w:sz w:val="24"/>
        </w:rPr>
        <w:t>灵宝市环境保护监测站于</w:t>
      </w:r>
      <w:r>
        <w:rPr>
          <w:bCs/>
          <w:sz w:val="24"/>
        </w:rPr>
        <w:t>2016年8月25日~26日对工业场地噪声的监测结果可知，</w:t>
      </w:r>
      <w:r>
        <w:rPr>
          <w:sz w:val="24"/>
        </w:rPr>
        <w:t>工业场地厂界噪声无论昼间还是夜间其等效声级值均满足《工业企业厂界环境噪声排放标准》(GB12348－2008)</w:t>
      </w:r>
      <w:r>
        <w:rPr>
          <w:spacing w:val="2"/>
          <w:sz w:val="24"/>
        </w:rPr>
        <w:t>中2类标准</w:t>
      </w:r>
      <w:r>
        <w:rPr>
          <w:sz w:val="24"/>
        </w:rPr>
        <w:t>要求。</w:t>
      </w:r>
    </w:p>
    <w:p>
      <w:pPr>
        <w:tabs>
          <w:tab w:val="left" w:pos="567"/>
          <w:tab w:val="left" w:pos="851"/>
          <w:tab w:val="left" w:pos="1134"/>
        </w:tabs>
        <w:spacing w:line="360" w:lineRule="auto"/>
        <w:ind w:firstLine="480" w:firstLineChars="200"/>
        <w:rPr>
          <w:bCs/>
          <w:sz w:val="24"/>
        </w:rPr>
      </w:pPr>
      <w:r>
        <w:rPr>
          <w:bCs/>
          <w:sz w:val="24"/>
        </w:rPr>
        <w:t>矿山工业场地周围200m范围内无村民分布，公众参与结果标明村民对本项目反应良好，调查中未发生噪声扰乱居民生活的现象。</w:t>
      </w:r>
    </w:p>
    <w:p>
      <w:pPr>
        <w:spacing w:line="360" w:lineRule="auto"/>
        <w:ind w:firstLine="480" w:firstLineChars="200"/>
        <w:rPr>
          <w:bCs/>
          <w:sz w:val="24"/>
        </w:rPr>
      </w:pPr>
      <w:r>
        <w:rPr>
          <w:bCs/>
          <w:sz w:val="24"/>
        </w:rPr>
        <w:t>由此可知，本项目采取的各项噪声污染防治措施可行，且效果较好。</w:t>
      </w:r>
    </w:p>
    <w:p>
      <w:pPr>
        <w:pStyle w:val="5"/>
        <w:rPr>
          <w:rFonts w:ascii="Times New Roman" w:hAnsi="Times New Roman"/>
        </w:rPr>
      </w:pPr>
      <w:bookmarkStart w:id="483" w:name="_Toc420663678"/>
      <w:bookmarkStart w:id="484" w:name="_Toc406504212"/>
      <w:bookmarkStart w:id="485" w:name="_Toc407153494"/>
      <w:bookmarkStart w:id="486" w:name="_Toc407217360"/>
      <w:r>
        <w:rPr>
          <w:rFonts w:ascii="Times New Roman" w:hAnsi="Times New Roman"/>
        </w:rPr>
        <w:t>4.4.1.4 固体废物处置措施有效性分析</w:t>
      </w:r>
      <w:bookmarkEnd w:id="483"/>
      <w:bookmarkEnd w:id="484"/>
      <w:bookmarkEnd w:id="485"/>
      <w:bookmarkEnd w:id="486"/>
    </w:p>
    <w:p>
      <w:pPr>
        <w:pStyle w:val="26"/>
        <w:spacing w:line="360" w:lineRule="auto"/>
        <w:ind w:firstLine="480" w:firstLineChars="200"/>
        <w:rPr>
          <w:rFonts w:ascii="Times New Roman" w:hAnsi="Times New Roman"/>
          <w:sz w:val="24"/>
          <w:szCs w:val="24"/>
        </w:rPr>
      </w:pPr>
      <w:r>
        <w:rPr>
          <w:rFonts w:ascii="Times New Roman" w:hAnsi="Times New Roman"/>
          <w:sz w:val="24"/>
          <w:szCs w:val="24"/>
        </w:rPr>
        <w:t>该工程营运期固体废物主要为采矿废石及生产工人生活垃圾。</w:t>
      </w:r>
    </w:p>
    <w:p>
      <w:pPr>
        <w:spacing w:line="360" w:lineRule="auto"/>
        <w:ind w:firstLine="488" w:firstLineChars="200"/>
        <w:rPr>
          <w:spacing w:val="2"/>
          <w:sz w:val="24"/>
        </w:rPr>
      </w:pPr>
      <w:r>
        <w:rPr>
          <w:spacing w:val="2"/>
          <w:sz w:val="24"/>
        </w:rPr>
        <w:t>原20万t/a采矿项目主竖井配套废石场，</w:t>
      </w:r>
      <w:r>
        <w:rPr>
          <w:sz w:val="24"/>
        </w:rPr>
        <w:t>位于主井工业广场下方边坡，废石沿着山坡堆积，坡低修筑有拦渣坝。废石堆场占地面积124300m</w:t>
      </w:r>
      <w:r>
        <w:rPr>
          <w:sz w:val="24"/>
          <w:vertAlign w:val="superscript"/>
        </w:rPr>
        <w:t>2</w:t>
      </w:r>
      <w:r>
        <w:rPr>
          <w:sz w:val="24"/>
        </w:rPr>
        <w:t>，堆高10m左右，可容纳124.3万m</w:t>
      </w:r>
      <w:r>
        <w:rPr>
          <w:sz w:val="24"/>
          <w:vertAlign w:val="superscript"/>
        </w:rPr>
        <w:t>3</w:t>
      </w:r>
      <w:r>
        <w:rPr>
          <w:sz w:val="24"/>
        </w:rPr>
        <w:t>废石。目前已经堆存废石近26万m</w:t>
      </w:r>
      <w:r>
        <w:rPr>
          <w:sz w:val="24"/>
          <w:vertAlign w:val="superscript"/>
        </w:rPr>
        <w:t>3</w:t>
      </w:r>
      <w:r>
        <w:rPr>
          <w:sz w:val="24"/>
        </w:rPr>
        <w:t>，剩余库容98.3万m</w:t>
      </w:r>
      <w:r>
        <w:rPr>
          <w:sz w:val="24"/>
          <w:vertAlign w:val="superscript"/>
        </w:rPr>
        <w:t>3</w:t>
      </w:r>
      <w:r>
        <w:rPr>
          <w:sz w:val="24"/>
        </w:rPr>
        <w:t>，可满足本项目</w:t>
      </w:r>
      <w:r>
        <w:rPr>
          <w:rFonts w:hint="eastAsia"/>
          <w:sz w:val="24"/>
        </w:rPr>
        <w:t>废石</w:t>
      </w:r>
      <w:r>
        <w:rPr>
          <w:sz w:val="24"/>
        </w:rPr>
        <w:t>堆存需求。</w:t>
      </w:r>
      <w:r>
        <w:rPr>
          <w:spacing w:val="2"/>
          <w:sz w:val="24"/>
        </w:rPr>
        <w:t>废石场按照环评批复在下游设置2m高240m挡渣墙，并在挡渣墙下游设置了排水沟(33cm*33cm)和20m</w:t>
      </w:r>
      <w:r>
        <w:rPr>
          <w:spacing w:val="2"/>
          <w:sz w:val="24"/>
          <w:vertAlign w:val="superscript"/>
        </w:rPr>
        <w:t>3</w:t>
      </w:r>
      <w:r>
        <w:rPr>
          <w:spacing w:val="2"/>
          <w:sz w:val="24"/>
        </w:rPr>
        <w:t>初期雨水沉淀池。</w:t>
      </w:r>
    </w:p>
    <w:p>
      <w:pPr>
        <w:spacing w:line="360" w:lineRule="auto"/>
        <w:ind w:firstLine="488"/>
        <w:rPr>
          <w:spacing w:val="2"/>
          <w:sz w:val="24"/>
        </w:rPr>
      </w:pPr>
      <w:r>
        <w:rPr>
          <w:spacing w:val="2"/>
          <w:sz w:val="24"/>
        </w:rPr>
        <w:t>生活垃圾7.5t/a,</w:t>
      </w:r>
      <w:r>
        <w:rPr>
          <w:sz w:val="24"/>
          <w:lang w:val="zh-CN"/>
        </w:rPr>
        <w:t xml:space="preserve"> 经3座12m</w:t>
      </w:r>
      <w:r>
        <w:rPr>
          <w:sz w:val="24"/>
          <w:vertAlign w:val="superscript"/>
          <w:lang w:val="zh-CN"/>
        </w:rPr>
        <w:t>3</w:t>
      </w:r>
      <w:r>
        <w:rPr>
          <w:sz w:val="24"/>
          <w:lang w:val="zh-CN"/>
        </w:rPr>
        <w:t>垃圾池和30个移动式垃圾桶统一收集后定期运至</w:t>
      </w:r>
      <w:r>
        <w:rPr>
          <w:spacing w:val="2"/>
          <w:sz w:val="24"/>
        </w:rPr>
        <w:t>朱阳镇环卫部门处置。</w:t>
      </w:r>
    </w:p>
    <w:p>
      <w:pPr>
        <w:spacing w:line="360" w:lineRule="auto"/>
        <w:ind w:firstLine="480" w:firstLineChars="200"/>
        <w:rPr>
          <w:bCs/>
          <w:sz w:val="24"/>
        </w:rPr>
      </w:pPr>
      <w:r>
        <w:rPr>
          <w:bCs/>
          <w:sz w:val="24"/>
        </w:rPr>
        <w:t>由此可知，本项目固废均得到了合理的处置。</w:t>
      </w:r>
    </w:p>
    <w:p>
      <w:pPr>
        <w:pStyle w:val="10"/>
        <w:spacing w:line="360" w:lineRule="auto"/>
        <w:rPr>
          <w:rFonts w:ascii="Times New Roman" w:hAnsi="Times New Roman"/>
        </w:rPr>
      </w:pPr>
      <w:r>
        <w:rPr>
          <w:rFonts w:ascii="Times New Roman" w:hAnsi="Times New Roman"/>
        </w:rPr>
        <w:t>4.4.2选厂及尾矿库治理措施的有效性</w:t>
      </w:r>
    </w:p>
    <w:p>
      <w:pPr>
        <w:pStyle w:val="5"/>
        <w:rPr>
          <w:rFonts w:ascii="Times New Roman" w:hAnsi="Times New Roman"/>
        </w:rPr>
      </w:pPr>
      <w:r>
        <w:rPr>
          <w:rFonts w:ascii="Times New Roman" w:hAnsi="Times New Roman"/>
        </w:rPr>
        <w:t>4.4.2.1废水处置措施有效性</w:t>
      </w:r>
    </w:p>
    <w:p>
      <w:pPr>
        <w:spacing w:line="360" w:lineRule="auto"/>
        <w:ind w:firstLine="480" w:firstLineChars="200"/>
        <w:rPr>
          <w:sz w:val="24"/>
        </w:rPr>
      </w:pPr>
      <w:r>
        <w:rPr>
          <w:sz w:val="24"/>
        </w:rPr>
        <w:t>1、生活废水处理设施</w:t>
      </w:r>
    </w:p>
    <w:p>
      <w:pPr>
        <w:spacing w:line="360" w:lineRule="auto"/>
        <w:ind w:firstLine="480" w:firstLineChars="200"/>
        <w:rPr>
          <w:sz w:val="24"/>
        </w:rPr>
      </w:pPr>
      <w:r>
        <w:rPr>
          <w:sz w:val="24"/>
        </w:rPr>
        <w:t>选厂生活污水主要为食堂废水和员工生活废水，食堂废水通过5m</w:t>
      </w:r>
      <w:r>
        <w:rPr>
          <w:sz w:val="24"/>
          <w:vertAlign w:val="superscript"/>
        </w:rPr>
        <w:t>3</w:t>
      </w:r>
      <w:r>
        <w:rPr>
          <w:sz w:val="24"/>
        </w:rPr>
        <w:t>隔油池处理后与生活污水通过化粪池收集后进入尾矿库，生活区设置化粪池三座（2m</w:t>
      </w:r>
      <w:r>
        <w:rPr>
          <w:sz w:val="24"/>
          <w:vertAlign w:val="superscript"/>
        </w:rPr>
        <w:t>3</w:t>
      </w:r>
      <w:r>
        <w:rPr>
          <w:sz w:val="24"/>
        </w:rPr>
        <w:t>）；化粪池，生活废水经过化粪池处理后进入尾矿库澄清返回选厂生产系统，不外排。</w:t>
      </w:r>
    </w:p>
    <w:p>
      <w:pPr>
        <w:spacing w:line="360" w:lineRule="auto"/>
        <w:ind w:firstLine="480" w:firstLineChars="200"/>
        <w:rPr>
          <w:sz w:val="24"/>
        </w:rPr>
      </w:pPr>
      <w:r>
        <w:rPr>
          <w:sz w:val="24"/>
        </w:rPr>
        <w:t>2、生产废水</w:t>
      </w:r>
    </w:p>
    <w:p>
      <w:pPr>
        <w:spacing w:line="360" w:lineRule="auto"/>
        <w:ind w:firstLine="200"/>
        <w:rPr>
          <w:sz w:val="24"/>
        </w:rPr>
      </w:pPr>
      <w:r>
        <w:rPr>
          <w:sz w:val="24"/>
        </w:rPr>
        <w:t xml:space="preserve">  项目选厂生产废水主要来自尾矿、精矿自然沉淀废水、生产车间地面冲洗水。尾矿经Φ100高密度PVC管输送进入项目尾矿库；精矿沉淀废水、生产车间地面冲洗水经厂区排水沟进入沉淀池，上清液经管道溢流至尾矿库。项目生产废水均进入尾矿库，尾矿库中的澄清水、渗滤液经初期坝下回水池中的回水泵输送至高位水池供生产使用，项目生产废水全部回用于生产，不外排。根据调查和建设单位提供数据，尾矿库回水3028.2m</w:t>
      </w:r>
      <w:r>
        <w:rPr>
          <w:sz w:val="24"/>
          <w:vertAlign w:val="superscript"/>
        </w:rPr>
        <w:t>3</w:t>
      </w:r>
      <w:r>
        <w:rPr>
          <w:sz w:val="24"/>
        </w:rPr>
        <w:t>/d。初期坝下设120m</w:t>
      </w:r>
      <w:r>
        <w:rPr>
          <w:sz w:val="24"/>
          <w:vertAlign w:val="superscript"/>
        </w:rPr>
        <w:t>3</w:t>
      </w:r>
      <w:r>
        <w:rPr>
          <w:sz w:val="24"/>
        </w:rPr>
        <w:t>坝下回水池1座，1864 m</w:t>
      </w:r>
      <w:r>
        <w:rPr>
          <w:sz w:val="24"/>
          <w:vertAlign w:val="superscript"/>
        </w:rPr>
        <w:t>3</w:t>
      </w:r>
      <w:r>
        <w:rPr>
          <w:sz w:val="24"/>
        </w:rPr>
        <w:t>事故水池，回水池容积尺寸：长71m×宽17.5m×深1.5m，尾矿库泵房内设置回水泵（MD155-30×9）2台，回水管线4条，2用2备。</w:t>
      </w:r>
    </w:p>
    <w:p>
      <w:pPr>
        <w:spacing w:line="360" w:lineRule="auto"/>
        <w:ind w:firstLine="480" w:firstLineChars="200"/>
        <w:rPr>
          <w:sz w:val="24"/>
        </w:rPr>
      </w:pPr>
      <w:r>
        <w:rPr>
          <w:sz w:val="24"/>
        </w:rPr>
        <w:t>3、事故矿浆</w:t>
      </w:r>
    </w:p>
    <w:p>
      <w:pPr>
        <w:pStyle w:val="26"/>
        <w:spacing w:line="360" w:lineRule="auto"/>
        <w:ind w:firstLine="482"/>
        <w:rPr>
          <w:rFonts w:ascii="Times New Roman" w:hAnsi="Times New Roman"/>
          <w:sz w:val="24"/>
          <w:lang w:val="zh-CN"/>
        </w:rPr>
      </w:pPr>
      <w:r>
        <w:rPr>
          <w:rFonts w:ascii="Times New Roman" w:hAnsi="Times New Roman"/>
          <w:bCs/>
          <w:sz w:val="24"/>
          <w:lang w:val="zh-CN"/>
        </w:rPr>
        <w:t>选矿系统矿浆为有价物料，</w:t>
      </w:r>
      <w:r>
        <w:rPr>
          <w:rFonts w:ascii="Times New Roman" w:hAnsi="Times New Roman"/>
          <w:bCs/>
          <w:sz w:val="24"/>
          <w:szCs w:val="24"/>
        </w:rPr>
        <w:t>为防止选厂发生生产事故时矿浆外泄，扩建项目500t/d选厂设有120m</w:t>
      </w:r>
      <w:r>
        <w:rPr>
          <w:rFonts w:ascii="Times New Roman" w:hAnsi="Times New Roman"/>
          <w:bCs/>
          <w:sz w:val="24"/>
          <w:szCs w:val="24"/>
          <w:vertAlign w:val="superscript"/>
        </w:rPr>
        <w:t>3</w:t>
      </w:r>
      <w:r>
        <w:rPr>
          <w:rFonts w:ascii="Times New Roman" w:hAnsi="Times New Roman"/>
          <w:bCs/>
          <w:sz w:val="24"/>
          <w:szCs w:val="24"/>
        </w:rPr>
        <w:t>事故池。</w:t>
      </w:r>
      <w:r>
        <w:rPr>
          <w:rFonts w:ascii="Times New Roman" w:hAnsi="Times New Roman"/>
          <w:sz w:val="24"/>
          <w:lang w:val="zh-CN"/>
        </w:rPr>
        <w:t>根据《选厂污染防控紧急措施设计导则》，其中明确指出：一个厂区按一处事故设防，即“同一时间内，厂区内只有一处发生事故”的原则设防。选厂发生事故时仅对事故设备进行检修，排空事故设备中的矿浆，其余设备中的矿浆均不外排，事故障碍排除后，各设备即可恢复生产。</w:t>
      </w:r>
    </w:p>
    <w:p>
      <w:pPr>
        <w:pStyle w:val="26"/>
        <w:spacing w:line="360" w:lineRule="auto"/>
        <w:ind w:firstLine="482"/>
        <w:rPr>
          <w:rFonts w:ascii="Times New Roman" w:hAnsi="Times New Roman"/>
          <w:sz w:val="24"/>
        </w:rPr>
      </w:pPr>
      <w:r>
        <w:rPr>
          <w:rFonts w:ascii="Times New Roman" w:hAnsi="Times New Roman"/>
          <w:sz w:val="24"/>
          <w:lang w:val="zh-CN"/>
        </w:rPr>
        <w:t>项目物料贮存最大设备为粗选浮选机组，最大容积为24</w:t>
      </w:r>
      <w:r>
        <w:rPr>
          <w:rFonts w:ascii="Times New Roman" w:hAnsi="Times New Roman"/>
          <w:bCs/>
          <w:sz w:val="24"/>
          <w:szCs w:val="24"/>
        </w:rPr>
        <w:t>m</w:t>
      </w:r>
      <w:r>
        <w:rPr>
          <w:rFonts w:ascii="Times New Roman" w:hAnsi="Times New Roman"/>
          <w:bCs/>
          <w:sz w:val="24"/>
          <w:szCs w:val="24"/>
          <w:vertAlign w:val="superscript"/>
        </w:rPr>
        <w:t>3</w:t>
      </w:r>
      <w:r>
        <w:rPr>
          <w:rFonts w:ascii="Times New Roman" w:hAnsi="Times New Roman"/>
          <w:bCs/>
          <w:sz w:val="24"/>
        </w:rPr>
        <w:t>，一旦发生设备故障事故矿浆外排，则事故池可满足矿浆暂存，保证事故矿浆不外排。</w:t>
      </w:r>
    </w:p>
    <w:p>
      <w:pPr>
        <w:pStyle w:val="5"/>
        <w:rPr>
          <w:rFonts w:ascii="Times New Roman" w:hAnsi="Times New Roman"/>
        </w:rPr>
      </w:pPr>
      <w:r>
        <w:rPr>
          <w:rFonts w:ascii="Times New Roman" w:hAnsi="Times New Roman"/>
        </w:rPr>
        <w:t>4.4.2.2大气污染防治措施调查及落实效果分析</w:t>
      </w:r>
    </w:p>
    <w:p>
      <w:pPr>
        <w:tabs>
          <w:tab w:val="left" w:pos="5760"/>
        </w:tabs>
        <w:spacing w:line="360" w:lineRule="auto"/>
        <w:rPr>
          <w:spacing w:val="2"/>
          <w:sz w:val="24"/>
        </w:rPr>
      </w:pPr>
      <w:r>
        <w:rPr>
          <w:spacing w:val="2"/>
          <w:sz w:val="24"/>
        </w:rPr>
        <w:t xml:space="preserve">     1、大气污染防治措施调查</w:t>
      </w:r>
    </w:p>
    <w:p>
      <w:pPr>
        <w:tabs>
          <w:tab w:val="left" w:pos="5760"/>
        </w:tabs>
        <w:spacing w:line="360" w:lineRule="auto"/>
        <w:rPr>
          <w:spacing w:val="2"/>
          <w:sz w:val="24"/>
        </w:rPr>
      </w:pPr>
      <w:r>
        <w:rPr>
          <w:spacing w:val="2"/>
          <w:sz w:val="24"/>
        </w:rPr>
        <w:t xml:space="preserve">    本项目生产过程中对环境空气形成的污染主要分为以下几类：一是选矿工艺流程中破碎工段排放的粉尘；二是选厂原料堆场、尾矿库等固定污染源的风蚀扬尘；三是原料在装卸运输过程中的扬尘等。</w:t>
      </w:r>
    </w:p>
    <w:p>
      <w:pPr>
        <w:pStyle w:val="26"/>
        <w:spacing w:line="360" w:lineRule="auto"/>
        <w:ind w:firstLine="480" w:firstLineChars="200"/>
        <w:rPr>
          <w:rFonts w:ascii="Times New Roman" w:hAnsi="Times New Roman"/>
          <w:sz w:val="24"/>
        </w:rPr>
      </w:pPr>
      <w:r>
        <w:rPr>
          <w:rFonts w:ascii="Times New Roman" w:hAnsi="Times New Roman"/>
          <w:sz w:val="24"/>
        </w:rPr>
        <w:t>（1）破碎工段粉尘污染防治措施调查</w:t>
      </w:r>
    </w:p>
    <w:p>
      <w:pPr>
        <w:spacing w:line="360" w:lineRule="auto"/>
        <w:jc w:val="left"/>
        <w:rPr>
          <w:bCs/>
          <w:szCs w:val="21"/>
        </w:rPr>
      </w:pPr>
      <w:r>
        <w:rPr>
          <w:sz w:val="24"/>
        </w:rPr>
        <w:t xml:space="preserve">    选厂粉尘污染源主要是破碎工段，目前采取在破碎筛分工段进落料点处易产生粉尘处设收尘罩密闭，并进行机械排风，</w:t>
      </w:r>
      <w:r>
        <w:rPr>
          <w:bCs/>
          <w:szCs w:val="21"/>
        </w:rPr>
        <w:t>破碎工段集气罩4个，袋式除尘器1台，</w:t>
      </w:r>
      <w:r>
        <w:rPr>
          <w:szCs w:val="21"/>
        </w:rPr>
        <w:t>Φ0.6×15m排气筒一个；</w:t>
      </w:r>
      <w:r>
        <w:rPr>
          <w:bCs/>
          <w:szCs w:val="21"/>
        </w:rPr>
        <w:t>筛分工段集气罩2个，袋式除尘器1台，</w:t>
      </w:r>
      <w:r>
        <w:rPr>
          <w:szCs w:val="21"/>
        </w:rPr>
        <w:t>Φ0.8×15m排气筒一个。</w:t>
      </w:r>
    </w:p>
    <w:p>
      <w:pPr>
        <w:spacing w:line="360" w:lineRule="auto"/>
        <w:ind w:firstLine="480" w:firstLineChars="200"/>
        <w:rPr>
          <w:sz w:val="24"/>
        </w:rPr>
      </w:pPr>
      <w:r>
        <w:rPr>
          <w:sz w:val="24"/>
        </w:rPr>
        <w:t>（2）原料堆场和尾矿库风蚀扬尘</w:t>
      </w:r>
    </w:p>
    <w:p>
      <w:pPr>
        <w:pStyle w:val="26"/>
        <w:spacing w:line="360" w:lineRule="auto"/>
        <w:ind w:firstLine="480" w:firstLineChars="200"/>
        <w:rPr>
          <w:rFonts w:ascii="Times New Roman" w:hAnsi="Times New Roman"/>
          <w:sz w:val="24"/>
        </w:rPr>
      </w:pPr>
      <w:r>
        <w:rPr>
          <w:rFonts w:ascii="Times New Roman" w:hAnsi="Times New Roman"/>
          <w:sz w:val="24"/>
        </w:rPr>
        <w:t>①原料堆场</w:t>
      </w:r>
    </w:p>
    <w:p>
      <w:pPr>
        <w:pStyle w:val="26"/>
        <w:spacing w:line="360" w:lineRule="auto"/>
        <w:ind w:firstLine="480" w:firstLineChars="200"/>
        <w:rPr>
          <w:rFonts w:ascii="Times New Roman" w:hAnsi="Times New Roman"/>
          <w:sz w:val="24"/>
        </w:rPr>
      </w:pPr>
      <w:r>
        <w:rPr>
          <w:rFonts w:ascii="Times New Roman" w:hAnsi="Times New Roman"/>
          <w:sz w:val="24"/>
        </w:rPr>
        <w:t>本项目选厂设置原料中转场，理想状态下矿石从工业场地通过皮带输送至原矿筒仓，在皮带与原料筒仓入口处产生粉尘成无组织排放，存在原料在选厂入料口偶尔堆存现象，如有原料堆存，定期对原料定期洒水。</w:t>
      </w:r>
    </w:p>
    <w:p>
      <w:pPr>
        <w:spacing w:line="360" w:lineRule="auto"/>
        <w:ind w:firstLine="480" w:firstLineChars="200"/>
        <w:rPr>
          <w:sz w:val="24"/>
        </w:rPr>
      </w:pPr>
      <w:r>
        <w:rPr>
          <w:sz w:val="24"/>
        </w:rPr>
        <w:t>②尾矿库风蚀扬尘</w:t>
      </w:r>
    </w:p>
    <w:p>
      <w:pPr>
        <w:pStyle w:val="68"/>
        <w:spacing w:line="360" w:lineRule="auto"/>
        <w:ind w:firstLine="480"/>
        <w:jc w:val="both"/>
        <w:rPr>
          <w:sz w:val="24"/>
          <w:szCs w:val="24"/>
        </w:rPr>
      </w:pPr>
      <w:r>
        <w:rPr>
          <w:sz w:val="24"/>
        </w:rPr>
        <w:t>物料起尘强度受物料含水率影响及风速影响，物料含水率达6%以上时，起尘量可得到有效控制。结合调查区域气象资料，其多年平均风速为1.6m/s，风速较低，本项目尾矿渣含水量较大，堆存期间不易产生扬尘，服务期满后及时覆土播撒草籽进行生态恢复，可有效控制尾矿库二次污染。</w:t>
      </w:r>
    </w:p>
    <w:p>
      <w:pPr>
        <w:spacing w:line="360" w:lineRule="auto"/>
        <w:ind w:firstLine="480" w:firstLineChars="200"/>
        <w:rPr>
          <w:sz w:val="24"/>
        </w:rPr>
      </w:pPr>
      <w:r>
        <w:rPr>
          <w:sz w:val="24"/>
        </w:rPr>
        <w:t>③交通运输扬尘</w:t>
      </w:r>
    </w:p>
    <w:p>
      <w:pPr>
        <w:spacing w:line="360" w:lineRule="auto"/>
        <w:ind w:firstLine="480" w:firstLineChars="200"/>
        <w:rPr>
          <w:sz w:val="24"/>
        </w:rPr>
      </w:pPr>
      <w:r>
        <w:rPr>
          <w:sz w:val="24"/>
        </w:rPr>
        <w:t>原料和产品在装卸运输过程中不可避免会产生少量扬尘，特别是汽车运输道路产生的扬尘，其污染物主要是TSP。</w:t>
      </w:r>
    </w:p>
    <w:p>
      <w:pPr>
        <w:spacing w:line="360" w:lineRule="auto"/>
        <w:ind w:firstLine="480" w:firstLineChars="200"/>
        <w:rPr>
          <w:sz w:val="24"/>
        </w:rPr>
      </w:pPr>
      <w:r>
        <w:rPr>
          <w:sz w:val="24"/>
        </w:rPr>
        <w:t>根据本次验收调查，选厂原料、产品运输道路沿线经过碾道村民组少数住户。本项目运输均安排在白天运输，目前对运输车辆采取限速、限载、同时选厂配备简易洒水车定期对路面进行洒水等一系列措施后，运输车辆扬尘对沿线居民的影响很小。</w:t>
      </w:r>
    </w:p>
    <w:p>
      <w:pPr>
        <w:tabs>
          <w:tab w:val="left" w:pos="5760"/>
        </w:tabs>
        <w:spacing w:line="360" w:lineRule="auto"/>
        <w:rPr>
          <w:spacing w:val="2"/>
          <w:sz w:val="24"/>
        </w:rPr>
      </w:pPr>
      <w:r>
        <w:rPr>
          <w:spacing w:val="2"/>
          <w:sz w:val="24"/>
        </w:rPr>
        <w:t xml:space="preserve">    2、大气污染防治措施落实效果分析</w:t>
      </w:r>
    </w:p>
    <w:p>
      <w:pPr>
        <w:tabs>
          <w:tab w:val="left" w:pos="5760"/>
        </w:tabs>
        <w:spacing w:line="360" w:lineRule="auto"/>
        <w:rPr>
          <w:spacing w:val="2"/>
          <w:sz w:val="24"/>
        </w:rPr>
      </w:pPr>
      <w:r>
        <w:rPr>
          <w:spacing w:val="2"/>
          <w:sz w:val="24"/>
        </w:rPr>
        <w:t xml:space="preserve">    ①有组织粉尘</w:t>
      </w:r>
    </w:p>
    <w:p>
      <w:pPr>
        <w:tabs>
          <w:tab w:val="left" w:pos="3600"/>
        </w:tabs>
        <w:spacing w:line="360" w:lineRule="auto"/>
        <w:ind w:firstLine="480" w:firstLineChars="200"/>
        <w:rPr>
          <w:sz w:val="24"/>
        </w:rPr>
      </w:pPr>
      <w:r>
        <w:rPr>
          <w:sz w:val="24"/>
        </w:rPr>
        <w:t>灵宝市环境监测站2016年8月26～27日对选厂破碎筛分车间的布袋除尘器进行了监测，根据监测结果可知，破碎工段袋式除尘器出口粉尘浓度6～13mg/m</w:t>
      </w:r>
      <w:r>
        <w:rPr>
          <w:sz w:val="24"/>
          <w:vertAlign w:val="superscript"/>
        </w:rPr>
        <w:t>3</w:t>
      </w:r>
      <w:r>
        <w:rPr>
          <w:sz w:val="24"/>
        </w:rPr>
        <w:t>，粉尘排放量为0.072t/a，筛分工段袋式除尘器出口浓度16～18mg/m</w:t>
      </w:r>
      <w:r>
        <w:rPr>
          <w:sz w:val="24"/>
          <w:vertAlign w:val="superscript"/>
        </w:rPr>
        <w:t>3</w:t>
      </w:r>
      <w:r>
        <w:rPr>
          <w:sz w:val="24"/>
        </w:rPr>
        <w:t>，粉尘排放量0.096t/a，均能够满足《大气污染物综合排放标准》（GB16297-1996）表2中二级标准限值要求</w:t>
      </w:r>
      <w:r>
        <w:rPr>
          <w:spacing w:val="2"/>
          <w:sz w:val="24"/>
        </w:rPr>
        <w:t>，</w:t>
      </w:r>
      <w:r>
        <w:rPr>
          <w:sz w:val="24"/>
        </w:rPr>
        <w:t>破碎筛分车间布袋里除尘器除尘效率为97.4～98.1%。</w:t>
      </w:r>
    </w:p>
    <w:p>
      <w:pPr>
        <w:spacing w:line="360" w:lineRule="auto"/>
        <w:ind w:firstLine="480" w:firstLineChars="200"/>
        <w:rPr>
          <w:sz w:val="24"/>
        </w:rPr>
      </w:pPr>
      <w:r>
        <w:rPr>
          <w:sz w:val="24"/>
        </w:rPr>
        <w:t>②无组织粉尘</w:t>
      </w:r>
    </w:p>
    <w:p>
      <w:pPr>
        <w:pStyle w:val="26"/>
        <w:spacing w:line="360" w:lineRule="auto"/>
        <w:ind w:firstLine="480" w:firstLineChars="200"/>
        <w:rPr>
          <w:rFonts w:ascii="Times New Roman" w:hAnsi="Times New Roman"/>
          <w:sz w:val="24"/>
        </w:rPr>
      </w:pPr>
      <w:r>
        <w:rPr>
          <w:rFonts w:hint="eastAsia" w:ascii="Times New Roman" w:hAnsi="Times New Roman"/>
          <w:sz w:val="24"/>
        </w:rPr>
        <w:t>a、</w:t>
      </w:r>
      <w:r>
        <w:rPr>
          <w:rFonts w:ascii="Times New Roman" w:hAnsi="Times New Roman"/>
          <w:sz w:val="24"/>
        </w:rPr>
        <w:t>原料堆场粉尘</w:t>
      </w:r>
    </w:p>
    <w:p>
      <w:pPr>
        <w:tabs>
          <w:tab w:val="left" w:pos="567"/>
          <w:tab w:val="left" w:pos="851"/>
          <w:tab w:val="left" w:pos="1134"/>
        </w:tabs>
        <w:spacing w:line="360" w:lineRule="auto"/>
        <w:ind w:firstLine="480" w:firstLineChars="200"/>
        <w:rPr>
          <w:sz w:val="24"/>
        </w:rPr>
      </w:pPr>
      <w:r>
        <w:rPr>
          <w:sz w:val="24"/>
        </w:rPr>
        <w:t>本项目原料堆场配备洒水车定期洒水抑尘。根据灵宝市环境监测站2016年8月25～8月26日对原料堆场上风向参照点和下风向监控点无组织扬尘监测结果可知，原料堆场无组织粉尘周界最大浓度为0.247mg/m</w:t>
      </w:r>
      <w:r>
        <w:rPr>
          <w:sz w:val="24"/>
          <w:vertAlign w:val="superscript"/>
        </w:rPr>
        <w:t>3</w:t>
      </w:r>
      <w:r>
        <w:rPr>
          <w:sz w:val="24"/>
        </w:rPr>
        <w:t>，颗粒物排放浓度满足《大气污染物综合排放标准》表2周界外浓度最高点1.0mg/m</w:t>
      </w:r>
      <w:r>
        <w:rPr>
          <w:sz w:val="24"/>
          <w:vertAlign w:val="superscript"/>
        </w:rPr>
        <w:t>3</w:t>
      </w:r>
      <w:r>
        <w:rPr>
          <w:sz w:val="24"/>
        </w:rPr>
        <w:t>标准要求。</w:t>
      </w:r>
    </w:p>
    <w:p>
      <w:pPr>
        <w:spacing w:line="360" w:lineRule="auto"/>
        <w:ind w:firstLine="488" w:firstLineChars="200"/>
        <w:rPr>
          <w:spacing w:val="2"/>
          <w:sz w:val="24"/>
        </w:rPr>
      </w:pPr>
      <w:r>
        <w:rPr>
          <w:rFonts w:hint="eastAsia"/>
          <w:spacing w:val="2"/>
          <w:sz w:val="24"/>
        </w:rPr>
        <w:t>b、</w:t>
      </w:r>
      <w:r>
        <w:rPr>
          <w:spacing w:val="2"/>
          <w:sz w:val="24"/>
        </w:rPr>
        <w:t>尾矿库粉尘</w:t>
      </w:r>
    </w:p>
    <w:p>
      <w:pPr>
        <w:tabs>
          <w:tab w:val="left" w:pos="567"/>
          <w:tab w:val="left" w:pos="851"/>
          <w:tab w:val="left" w:pos="1134"/>
        </w:tabs>
        <w:spacing w:line="360" w:lineRule="auto"/>
        <w:ind w:firstLine="488" w:firstLineChars="200"/>
        <w:rPr>
          <w:sz w:val="24"/>
        </w:rPr>
      </w:pPr>
      <w:r>
        <w:rPr>
          <w:spacing w:val="2"/>
          <w:sz w:val="24"/>
        </w:rPr>
        <w:t>本项目尾矿库为湿排尾矿库，尾矿库干滩大风天气会产生风蚀扬尘，本项目通过调整放矿方式尽量保持库面湿润，控制扬尘产生。同时大风天气洒水抑尘。</w:t>
      </w:r>
      <w:r>
        <w:rPr>
          <w:sz w:val="24"/>
        </w:rPr>
        <w:t>根据灵宝市环境监测站2016年8月25～8月26日对尾矿库上风向参照点和下风向监控点无组织扬尘监测结果可知，尾矿库无组织粉尘周界最大浓度为0.198mg/m</w:t>
      </w:r>
      <w:r>
        <w:rPr>
          <w:sz w:val="24"/>
          <w:vertAlign w:val="superscript"/>
        </w:rPr>
        <w:t>3</w:t>
      </w:r>
      <w:r>
        <w:rPr>
          <w:sz w:val="24"/>
        </w:rPr>
        <w:t>，颗粒物排放浓度满足《大气污染物综合排放标准》表2周界外浓度最高点1.0mg/m</w:t>
      </w:r>
      <w:r>
        <w:rPr>
          <w:sz w:val="24"/>
          <w:vertAlign w:val="superscript"/>
        </w:rPr>
        <w:t>3</w:t>
      </w:r>
      <w:r>
        <w:rPr>
          <w:sz w:val="24"/>
        </w:rPr>
        <w:t>标准要求。</w:t>
      </w:r>
    </w:p>
    <w:p>
      <w:pPr>
        <w:spacing w:line="360" w:lineRule="auto"/>
        <w:ind w:firstLine="480" w:firstLineChars="200"/>
        <w:rPr>
          <w:spacing w:val="2"/>
          <w:sz w:val="24"/>
        </w:rPr>
      </w:pPr>
      <w:r>
        <w:rPr>
          <w:sz w:val="24"/>
          <w:lang w:val="zh-CN"/>
        </w:rPr>
        <w:t>根据灵宝市环境监测站于</w:t>
      </w:r>
      <w:r>
        <w:rPr>
          <w:spacing w:val="2"/>
          <w:sz w:val="24"/>
        </w:rPr>
        <w:t>2016年8月25日~8月27日对大村和黑山村监测结果表明，TSP浓度可满足《环境空气质量标准》（GB3095-2012）二级标准限值要求，项目粉尘未对周围敏感点造成超标影响。</w:t>
      </w:r>
    </w:p>
    <w:p>
      <w:pPr>
        <w:spacing w:line="360" w:lineRule="auto"/>
        <w:ind w:firstLine="480" w:firstLineChars="200"/>
        <w:rPr>
          <w:sz w:val="24"/>
        </w:rPr>
      </w:pPr>
      <w:r>
        <w:rPr>
          <w:sz w:val="24"/>
        </w:rPr>
        <w:t>综上所述，采取以上措施后，本项目产生的废气污染物对环境影响较小，采取措施可行。</w:t>
      </w:r>
    </w:p>
    <w:p>
      <w:pPr>
        <w:pStyle w:val="5"/>
        <w:rPr>
          <w:rFonts w:ascii="Times New Roman" w:hAnsi="Times New Roman"/>
        </w:rPr>
      </w:pPr>
      <w:r>
        <w:rPr>
          <w:rFonts w:ascii="Times New Roman" w:hAnsi="Times New Roman"/>
        </w:rPr>
        <w:t>4.4.2.3噪声防治措施调查及落实效果分析</w:t>
      </w:r>
    </w:p>
    <w:p>
      <w:pPr>
        <w:spacing w:line="360" w:lineRule="auto"/>
        <w:ind w:left="120" w:leftChars="57" w:firstLine="360" w:firstLineChars="150"/>
        <w:rPr>
          <w:sz w:val="24"/>
        </w:rPr>
      </w:pPr>
      <w:r>
        <w:rPr>
          <w:sz w:val="24"/>
        </w:rPr>
        <w:t xml:space="preserve">本项目生产噪声主要是选厂内破碎机、筛分、球磨机等设备噪声以及运输车辆噪声等。选厂噪声源实际噪声治理措施调查情况见表4.4-2。  </w:t>
      </w:r>
    </w:p>
    <w:p>
      <w:pPr>
        <w:adjustRightInd w:val="0"/>
        <w:snapToGrid w:val="0"/>
        <w:ind w:left="120" w:leftChars="57" w:firstLine="330" w:firstLineChars="150"/>
        <w:rPr>
          <w:sz w:val="22"/>
          <w:szCs w:val="22"/>
        </w:rPr>
      </w:pPr>
      <w:r>
        <w:rPr>
          <w:rFonts w:eastAsia="黑体"/>
          <w:sz w:val="22"/>
          <w:szCs w:val="22"/>
        </w:rPr>
        <w:t>表4.4-2              主要噪声源实际治理措施</w:t>
      </w:r>
    </w:p>
    <w:tbl>
      <w:tblPr>
        <w:tblStyle w:val="54"/>
        <w:tblW w:w="8368"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8" w:type="dxa"/>
          <w:bottom w:w="0" w:type="dxa"/>
          <w:right w:w="28" w:type="dxa"/>
        </w:tblCellMar>
      </w:tblPr>
      <w:tblGrid>
        <w:gridCol w:w="595"/>
        <w:gridCol w:w="1655"/>
        <w:gridCol w:w="1197"/>
        <w:gridCol w:w="541"/>
        <w:gridCol w:w="2892"/>
        <w:gridCol w:w="148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8" w:type="dxa"/>
            <w:bottom w:w="0" w:type="dxa"/>
            <w:right w:w="28" w:type="dxa"/>
          </w:tblCellMar>
        </w:tblPrEx>
        <w:trPr>
          <w:trHeight w:val="408" w:hRule="atLeast"/>
          <w:jc w:val="center"/>
        </w:trPr>
        <w:tc>
          <w:tcPr>
            <w:tcW w:w="595"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序号</w:t>
            </w:r>
          </w:p>
        </w:tc>
        <w:tc>
          <w:tcPr>
            <w:tcW w:w="1655"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噪声源位置</w:t>
            </w:r>
          </w:p>
        </w:tc>
        <w:tc>
          <w:tcPr>
            <w:tcW w:w="1197"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主要设备</w:t>
            </w:r>
          </w:p>
        </w:tc>
        <w:tc>
          <w:tcPr>
            <w:tcW w:w="541"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台数</w:t>
            </w:r>
          </w:p>
        </w:tc>
        <w:tc>
          <w:tcPr>
            <w:tcW w:w="2892"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目前实际降噪措施</w:t>
            </w:r>
          </w:p>
        </w:tc>
        <w:tc>
          <w:tcPr>
            <w:tcW w:w="1488"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环评降噪措施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8" w:type="dxa"/>
            <w:bottom w:w="0" w:type="dxa"/>
            <w:right w:w="28" w:type="dxa"/>
          </w:tblCellMar>
        </w:tblPrEx>
        <w:trPr>
          <w:trHeight w:val="408" w:hRule="atLeast"/>
          <w:jc w:val="center"/>
        </w:trPr>
        <w:tc>
          <w:tcPr>
            <w:tcW w:w="595" w:type="dxa"/>
            <w:vMerge w:val="restart"/>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1</w:t>
            </w:r>
          </w:p>
        </w:tc>
        <w:tc>
          <w:tcPr>
            <w:tcW w:w="1655" w:type="dxa"/>
            <w:vMerge w:val="restart"/>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破碎车间</w:t>
            </w:r>
          </w:p>
        </w:tc>
        <w:tc>
          <w:tcPr>
            <w:tcW w:w="1197"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破碎机</w:t>
            </w:r>
          </w:p>
        </w:tc>
        <w:tc>
          <w:tcPr>
            <w:tcW w:w="541"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2</w:t>
            </w:r>
          </w:p>
        </w:tc>
        <w:tc>
          <w:tcPr>
            <w:tcW w:w="2892" w:type="dxa"/>
            <w:vMerge w:val="restart"/>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基础减振；设置在密闭厂房内，</w:t>
            </w:r>
          </w:p>
        </w:tc>
        <w:tc>
          <w:tcPr>
            <w:tcW w:w="1488" w:type="dxa"/>
            <w:vMerge w:val="restart"/>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产生强噪声的车间集中布置，选用低噪声设备，对高噪声设备采取消声、吸音、减震、隔音等措施。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8" w:type="dxa"/>
            <w:bottom w:w="0" w:type="dxa"/>
            <w:right w:w="28" w:type="dxa"/>
          </w:tblCellMar>
        </w:tblPrEx>
        <w:trPr>
          <w:trHeight w:val="408" w:hRule="atLeast"/>
          <w:jc w:val="center"/>
        </w:trPr>
        <w:tc>
          <w:tcPr>
            <w:tcW w:w="595" w:type="dxa"/>
            <w:vMerge w:val="continue"/>
            <w:vAlign w:val="center"/>
          </w:tcPr>
          <w:p>
            <w:pPr>
              <w:pStyle w:val="142"/>
              <w:snapToGrid w:val="0"/>
              <w:jc w:val="center"/>
              <w:rPr>
                <w:rFonts w:ascii="Times New Roman" w:cs="Times New Roman"/>
                <w:color w:val="auto"/>
                <w:sz w:val="21"/>
                <w:szCs w:val="21"/>
              </w:rPr>
            </w:pPr>
          </w:p>
        </w:tc>
        <w:tc>
          <w:tcPr>
            <w:tcW w:w="1655" w:type="dxa"/>
            <w:vMerge w:val="continue"/>
            <w:vAlign w:val="center"/>
          </w:tcPr>
          <w:p>
            <w:pPr>
              <w:pStyle w:val="142"/>
              <w:snapToGrid w:val="0"/>
              <w:jc w:val="center"/>
              <w:rPr>
                <w:rFonts w:ascii="Times New Roman" w:cs="Times New Roman"/>
                <w:color w:val="auto"/>
                <w:sz w:val="21"/>
                <w:szCs w:val="21"/>
              </w:rPr>
            </w:pPr>
          </w:p>
        </w:tc>
        <w:tc>
          <w:tcPr>
            <w:tcW w:w="1197"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筛分机</w:t>
            </w:r>
          </w:p>
        </w:tc>
        <w:tc>
          <w:tcPr>
            <w:tcW w:w="541"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1</w:t>
            </w:r>
          </w:p>
        </w:tc>
        <w:tc>
          <w:tcPr>
            <w:tcW w:w="2892" w:type="dxa"/>
            <w:vMerge w:val="continue"/>
            <w:vAlign w:val="center"/>
          </w:tcPr>
          <w:p>
            <w:pPr>
              <w:pStyle w:val="142"/>
              <w:snapToGrid w:val="0"/>
              <w:jc w:val="center"/>
              <w:rPr>
                <w:rFonts w:ascii="Times New Roman" w:cs="Times New Roman"/>
                <w:color w:val="auto"/>
                <w:sz w:val="21"/>
                <w:szCs w:val="21"/>
              </w:rPr>
            </w:pPr>
          </w:p>
        </w:tc>
        <w:tc>
          <w:tcPr>
            <w:tcW w:w="1488" w:type="dxa"/>
            <w:vMerge w:val="continue"/>
            <w:vAlign w:val="center"/>
          </w:tcPr>
          <w:p>
            <w:pPr>
              <w:pStyle w:val="142"/>
              <w:snapToGrid w:val="0"/>
              <w:jc w:val="center"/>
              <w:rPr>
                <w:rFonts w:asci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8" w:type="dxa"/>
            <w:bottom w:w="0" w:type="dxa"/>
            <w:right w:w="28" w:type="dxa"/>
          </w:tblCellMar>
        </w:tblPrEx>
        <w:trPr>
          <w:trHeight w:val="410" w:hRule="atLeast"/>
          <w:jc w:val="center"/>
        </w:trPr>
        <w:tc>
          <w:tcPr>
            <w:tcW w:w="595" w:type="dxa"/>
            <w:vMerge w:val="restart"/>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2</w:t>
            </w:r>
          </w:p>
        </w:tc>
        <w:tc>
          <w:tcPr>
            <w:tcW w:w="1655" w:type="dxa"/>
            <w:vMerge w:val="restart"/>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选矿车间</w:t>
            </w:r>
          </w:p>
        </w:tc>
        <w:tc>
          <w:tcPr>
            <w:tcW w:w="1197"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罗茨风机</w:t>
            </w:r>
          </w:p>
        </w:tc>
        <w:tc>
          <w:tcPr>
            <w:tcW w:w="541"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1</w:t>
            </w:r>
          </w:p>
        </w:tc>
        <w:tc>
          <w:tcPr>
            <w:tcW w:w="2892"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减振基础、消声</w:t>
            </w:r>
          </w:p>
        </w:tc>
        <w:tc>
          <w:tcPr>
            <w:tcW w:w="1488" w:type="dxa"/>
            <w:vMerge w:val="continue"/>
            <w:vAlign w:val="center"/>
          </w:tcPr>
          <w:p>
            <w:pPr>
              <w:pStyle w:val="142"/>
              <w:snapToGrid w:val="0"/>
              <w:jc w:val="center"/>
              <w:rPr>
                <w:rFonts w:asci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8" w:type="dxa"/>
            <w:bottom w:w="0" w:type="dxa"/>
            <w:right w:w="28" w:type="dxa"/>
          </w:tblCellMar>
        </w:tblPrEx>
        <w:trPr>
          <w:trHeight w:val="393" w:hRule="atLeast"/>
          <w:jc w:val="center"/>
        </w:trPr>
        <w:tc>
          <w:tcPr>
            <w:tcW w:w="595" w:type="dxa"/>
            <w:vMerge w:val="continue"/>
            <w:vAlign w:val="center"/>
          </w:tcPr>
          <w:p>
            <w:pPr>
              <w:pStyle w:val="142"/>
              <w:snapToGrid w:val="0"/>
              <w:jc w:val="center"/>
              <w:rPr>
                <w:rFonts w:ascii="Times New Roman" w:cs="Times New Roman"/>
                <w:color w:val="auto"/>
                <w:sz w:val="21"/>
                <w:szCs w:val="21"/>
              </w:rPr>
            </w:pPr>
          </w:p>
        </w:tc>
        <w:tc>
          <w:tcPr>
            <w:tcW w:w="1655" w:type="dxa"/>
            <w:vMerge w:val="continue"/>
            <w:vAlign w:val="center"/>
          </w:tcPr>
          <w:p>
            <w:pPr>
              <w:pStyle w:val="142"/>
              <w:snapToGrid w:val="0"/>
              <w:jc w:val="center"/>
              <w:rPr>
                <w:rFonts w:ascii="Times New Roman" w:cs="Times New Roman"/>
                <w:color w:val="auto"/>
                <w:sz w:val="21"/>
                <w:szCs w:val="21"/>
              </w:rPr>
            </w:pPr>
          </w:p>
        </w:tc>
        <w:tc>
          <w:tcPr>
            <w:tcW w:w="1197"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球磨机</w:t>
            </w:r>
          </w:p>
        </w:tc>
        <w:tc>
          <w:tcPr>
            <w:tcW w:w="541"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1</w:t>
            </w:r>
          </w:p>
        </w:tc>
        <w:tc>
          <w:tcPr>
            <w:tcW w:w="2892"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设置在密闭厂房内，基础减振,，建筑隔音</w:t>
            </w:r>
          </w:p>
        </w:tc>
        <w:tc>
          <w:tcPr>
            <w:tcW w:w="1488" w:type="dxa"/>
            <w:vMerge w:val="continue"/>
            <w:vAlign w:val="center"/>
          </w:tcPr>
          <w:p>
            <w:pPr>
              <w:pStyle w:val="142"/>
              <w:snapToGrid w:val="0"/>
              <w:jc w:val="center"/>
              <w:rPr>
                <w:rFonts w:asci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8" w:type="dxa"/>
            <w:bottom w:w="0" w:type="dxa"/>
            <w:right w:w="28" w:type="dxa"/>
          </w:tblCellMar>
        </w:tblPrEx>
        <w:trPr>
          <w:trHeight w:val="393" w:hRule="atLeast"/>
          <w:jc w:val="center"/>
        </w:trPr>
        <w:tc>
          <w:tcPr>
            <w:tcW w:w="595" w:type="dxa"/>
            <w:vMerge w:val="continue"/>
            <w:vAlign w:val="center"/>
          </w:tcPr>
          <w:p>
            <w:pPr>
              <w:pStyle w:val="142"/>
              <w:snapToGrid w:val="0"/>
              <w:jc w:val="center"/>
              <w:rPr>
                <w:rFonts w:ascii="Times New Roman" w:cs="Times New Roman"/>
                <w:color w:val="auto"/>
                <w:sz w:val="21"/>
                <w:szCs w:val="21"/>
              </w:rPr>
            </w:pPr>
          </w:p>
        </w:tc>
        <w:tc>
          <w:tcPr>
            <w:tcW w:w="1655" w:type="dxa"/>
            <w:vMerge w:val="continue"/>
            <w:vAlign w:val="center"/>
          </w:tcPr>
          <w:p>
            <w:pPr>
              <w:pStyle w:val="142"/>
              <w:snapToGrid w:val="0"/>
              <w:jc w:val="center"/>
              <w:rPr>
                <w:rFonts w:ascii="Times New Roman" w:cs="Times New Roman"/>
                <w:color w:val="auto"/>
                <w:sz w:val="21"/>
                <w:szCs w:val="21"/>
              </w:rPr>
            </w:pPr>
          </w:p>
        </w:tc>
        <w:tc>
          <w:tcPr>
            <w:tcW w:w="1197"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分级机</w:t>
            </w:r>
          </w:p>
        </w:tc>
        <w:tc>
          <w:tcPr>
            <w:tcW w:w="541"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2</w:t>
            </w:r>
          </w:p>
        </w:tc>
        <w:tc>
          <w:tcPr>
            <w:tcW w:w="2892"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建筑隔音、减振基础</w:t>
            </w:r>
          </w:p>
        </w:tc>
        <w:tc>
          <w:tcPr>
            <w:tcW w:w="1488" w:type="dxa"/>
            <w:vMerge w:val="continue"/>
            <w:vAlign w:val="center"/>
          </w:tcPr>
          <w:p>
            <w:pPr>
              <w:pStyle w:val="142"/>
              <w:snapToGrid w:val="0"/>
              <w:jc w:val="center"/>
              <w:rPr>
                <w:rFonts w:asci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8" w:type="dxa"/>
            <w:bottom w:w="0" w:type="dxa"/>
            <w:right w:w="28" w:type="dxa"/>
          </w:tblCellMar>
        </w:tblPrEx>
        <w:trPr>
          <w:trHeight w:val="393" w:hRule="atLeast"/>
          <w:jc w:val="center"/>
        </w:trPr>
        <w:tc>
          <w:tcPr>
            <w:tcW w:w="595" w:type="dxa"/>
            <w:vMerge w:val="continue"/>
            <w:vAlign w:val="center"/>
          </w:tcPr>
          <w:p>
            <w:pPr>
              <w:pStyle w:val="142"/>
              <w:snapToGrid w:val="0"/>
              <w:jc w:val="center"/>
              <w:rPr>
                <w:rFonts w:ascii="Times New Roman" w:cs="Times New Roman"/>
                <w:color w:val="auto"/>
                <w:sz w:val="21"/>
                <w:szCs w:val="21"/>
              </w:rPr>
            </w:pPr>
          </w:p>
        </w:tc>
        <w:tc>
          <w:tcPr>
            <w:tcW w:w="1655" w:type="dxa"/>
            <w:vMerge w:val="continue"/>
            <w:vAlign w:val="center"/>
          </w:tcPr>
          <w:p>
            <w:pPr>
              <w:pStyle w:val="142"/>
              <w:snapToGrid w:val="0"/>
              <w:jc w:val="center"/>
              <w:rPr>
                <w:rFonts w:ascii="Times New Roman" w:cs="Times New Roman"/>
                <w:color w:val="auto"/>
                <w:sz w:val="21"/>
                <w:szCs w:val="21"/>
              </w:rPr>
            </w:pPr>
          </w:p>
        </w:tc>
        <w:tc>
          <w:tcPr>
            <w:tcW w:w="1197"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渣浆泵</w:t>
            </w:r>
          </w:p>
        </w:tc>
        <w:tc>
          <w:tcPr>
            <w:tcW w:w="541"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2</w:t>
            </w:r>
          </w:p>
        </w:tc>
        <w:tc>
          <w:tcPr>
            <w:tcW w:w="2892"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建筑隔音</w:t>
            </w:r>
          </w:p>
        </w:tc>
        <w:tc>
          <w:tcPr>
            <w:tcW w:w="1488" w:type="dxa"/>
            <w:vMerge w:val="continue"/>
            <w:vAlign w:val="center"/>
          </w:tcPr>
          <w:p>
            <w:pPr>
              <w:pStyle w:val="142"/>
              <w:snapToGrid w:val="0"/>
              <w:jc w:val="center"/>
              <w:rPr>
                <w:rFonts w:asci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8" w:type="dxa"/>
            <w:bottom w:w="0" w:type="dxa"/>
            <w:right w:w="28" w:type="dxa"/>
          </w:tblCellMar>
        </w:tblPrEx>
        <w:trPr>
          <w:trHeight w:val="393" w:hRule="atLeast"/>
          <w:jc w:val="center"/>
        </w:trPr>
        <w:tc>
          <w:tcPr>
            <w:tcW w:w="595"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3</w:t>
            </w:r>
          </w:p>
        </w:tc>
        <w:tc>
          <w:tcPr>
            <w:tcW w:w="1655"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交通</w:t>
            </w:r>
          </w:p>
        </w:tc>
        <w:tc>
          <w:tcPr>
            <w:tcW w:w="1197"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运输汽车</w:t>
            </w:r>
          </w:p>
        </w:tc>
        <w:tc>
          <w:tcPr>
            <w:tcW w:w="541"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w:t>
            </w:r>
          </w:p>
        </w:tc>
        <w:tc>
          <w:tcPr>
            <w:tcW w:w="2892"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加强管理，尽量昼间运送产品，路过村庄等敏感点时限速，减少鸣笛。</w:t>
            </w:r>
          </w:p>
        </w:tc>
        <w:tc>
          <w:tcPr>
            <w:tcW w:w="1488" w:type="dxa"/>
            <w:vAlign w:val="center"/>
          </w:tcPr>
          <w:p>
            <w:pPr>
              <w:pStyle w:val="142"/>
              <w:snapToGrid w:val="0"/>
              <w:jc w:val="center"/>
              <w:rPr>
                <w:rFonts w:ascii="Times New Roman" w:cs="Times New Roman"/>
                <w:color w:val="auto"/>
                <w:sz w:val="21"/>
                <w:szCs w:val="21"/>
              </w:rPr>
            </w:pPr>
            <w:r>
              <w:rPr>
                <w:rFonts w:ascii="Times New Roman" w:cs="Times New Roman"/>
                <w:color w:val="auto"/>
                <w:sz w:val="21"/>
                <w:szCs w:val="21"/>
              </w:rPr>
              <w:t>对交通运输噪声采用限速、加强管理等措施</w:t>
            </w:r>
          </w:p>
        </w:tc>
      </w:tr>
    </w:tbl>
    <w:p>
      <w:pPr>
        <w:spacing w:beforeLines="50" w:line="360" w:lineRule="auto"/>
        <w:ind w:firstLine="488" w:firstLineChars="200"/>
        <w:rPr>
          <w:sz w:val="24"/>
        </w:rPr>
      </w:pPr>
      <w:r>
        <w:rPr>
          <w:spacing w:val="2"/>
          <w:sz w:val="24"/>
        </w:rPr>
        <w:t>根据</w:t>
      </w:r>
      <w:r>
        <w:rPr>
          <w:sz w:val="24"/>
        </w:rPr>
        <w:t>灵宝市</w:t>
      </w:r>
      <w:r>
        <w:rPr>
          <w:sz w:val="24"/>
          <w:lang w:val="zh-CN"/>
        </w:rPr>
        <w:t>环境监测站于</w:t>
      </w:r>
      <w:r>
        <w:rPr>
          <w:spacing w:val="2"/>
          <w:sz w:val="24"/>
        </w:rPr>
        <w:t>2016年8月25日~26日对扩建选厂厂界噪声进行了实测（见表5.5-2），昼间噪声值为52.9 dB（A）～57.6 dB（A），夜间噪声值为44.0 dB（A）～48.4 dB（A）</w:t>
      </w:r>
      <w:r>
        <w:rPr>
          <w:sz w:val="24"/>
        </w:rPr>
        <w:t>选厂四周厂界噪声均能满足《工业企业厂界环境噪声排放标准》（GB12348-2008）中2类标准限值要求。</w:t>
      </w:r>
    </w:p>
    <w:p>
      <w:pPr>
        <w:spacing w:line="360" w:lineRule="auto"/>
        <w:ind w:firstLine="488" w:firstLineChars="200"/>
        <w:rPr>
          <w:sz w:val="24"/>
        </w:rPr>
      </w:pPr>
      <w:r>
        <w:rPr>
          <w:spacing w:val="2"/>
          <w:sz w:val="24"/>
        </w:rPr>
        <w:t>根据</w:t>
      </w:r>
      <w:r>
        <w:rPr>
          <w:sz w:val="24"/>
        </w:rPr>
        <w:t>灵宝市</w:t>
      </w:r>
      <w:r>
        <w:rPr>
          <w:sz w:val="24"/>
          <w:lang w:val="zh-CN"/>
        </w:rPr>
        <w:t>环境监测站于</w:t>
      </w:r>
      <w:r>
        <w:rPr>
          <w:spacing w:val="2"/>
          <w:sz w:val="24"/>
        </w:rPr>
        <w:t>2016年8月25日~26日对尾矿库周边噪声进行了实测（见表5.5-2），昼间噪声值为52.1 dB（A）～57.5 dB（A），夜间噪声值为43.4 dB（A）～47.2dB（A）</w:t>
      </w:r>
      <w:r>
        <w:rPr>
          <w:sz w:val="24"/>
        </w:rPr>
        <w:t>，尾矿库四周厂界噪声均能满足《工业企业厂界环境噪声排放标准》（GB12348-2008）中2类标准限值要求。</w:t>
      </w:r>
    </w:p>
    <w:p>
      <w:pPr>
        <w:spacing w:line="360" w:lineRule="auto"/>
        <w:ind w:firstLine="480" w:firstLineChars="200"/>
        <w:rPr>
          <w:sz w:val="24"/>
        </w:rPr>
      </w:pPr>
      <w:r>
        <w:rPr>
          <w:sz w:val="24"/>
        </w:rPr>
        <w:t>选厂及尾矿库周边500m范围内无敏感点分布，噪声防治措施可行。</w:t>
      </w:r>
    </w:p>
    <w:p>
      <w:pPr>
        <w:pStyle w:val="5"/>
        <w:rPr>
          <w:rFonts w:ascii="Times New Roman" w:hAnsi="Times New Roman"/>
        </w:rPr>
      </w:pPr>
      <w:r>
        <w:rPr>
          <w:rFonts w:ascii="Times New Roman" w:hAnsi="Times New Roman"/>
        </w:rPr>
        <w:t>4.4.2.4固体废弃物处置情况调查及落实效果分析</w:t>
      </w:r>
    </w:p>
    <w:p>
      <w:pPr>
        <w:pStyle w:val="68"/>
        <w:spacing w:line="360" w:lineRule="auto"/>
        <w:ind w:firstLine="480"/>
        <w:jc w:val="both"/>
        <w:rPr>
          <w:sz w:val="24"/>
          <w:szCs w:val="24"/>
        </w:rPr>
      </w:pPr>
      <w:r>
        <w:rPr>
          <w:sz w:val="24"/>
          <w:szCs w:val="24"/>
        </w:rPr>
        <w:t>本项目选厂产生的固体废物主要是选矿尾矿渣和生活垃圾。</w:t>
      </w:r>
    </w:p>
    <w:p>
      <w:pPr>
        <w:pStyle w:val="68"/>
        <w:spacing w:line="360" w:lineRule="auto"/>
        <w:ind w:firstLine="480"/>
        <w:jc w:val="both"/>
        <w:rPr>
          <w:sz w:val="24"/>
          <w:szCs w:val="24"/>
        </w:rPr>
      </w:pPr>
      <w:r>
        <w:rPr>
          <w:sz w:val="24"/>
          <w:szCs w:val="24"/>
        </w:rPr>
        <w:t>（1）选矿尾矿</w:t>
      </w:r>
    </w:p>
    <w:p>
      <w:pPr>
        <w:spacing w:line="360" w:lineRule="auto"/>
        <w:ind w:firstLine="480" w:firstLineChars="200"/>
        <w:rPr>
          <w:sz w:val="24"/>
        </w:rPr>
      </w:pPr>
      <w:r>
        <w:rPr>
          <w:sz w:val="24"/>
        </w:rPr>
        <w:t>根据谱尼测试对本项目尾矿渣浸出毒性实验结果，本项目尾矿为第Ⅰ类一般工业固体废弃物，尾矿依托已建银家沟尾矿库，因本次扩建选厂与原有650t/d选厂原料为同一矿脉硫铁矿，且选矿工艺相同，因此本次扩建尾矿与原有选厂尾矿性质相同，可同时输送至银家沟尾矿库堆存。尾矿库2005年投入使用，目前已消耗库容近91.3万m</w:t>
      </w:r>
      <w:r>
        <w:rPr>
          <w:sz w:val="24"/>
          <w:vertAlign w:val="superscript"/>
        </w:rPr>
        <w:t>3</w:t>
      </w:r>
      <w:r>
        <w:rPr>
          <w:sz w:val="24"/>
        </w:rPr>
        <w:t>，本尾矿库还剩有效库容为170×10</w:t>
      </w:r>
      <w:r>
        <w:rPr>
          <w:sz w:val="24"/>
          <w:vertAlign w:val="superscript"/>
        </w:rPr>
        <w:t>4</w:t>
      </w:r>
      <w:r>
        <w:rPr>
          <w:sz w:val="24"/>
        </w:rPr>
        <w:t>m</w:t>
      </w:r>
      <w:r>
        <w:rPr>
          <w:sz w:val="24"/>
          <w:vertAlign w:val="superscript"/>
        </w:rPr>
        <w:t>3</w:t>
      </w:r>
      <w:r>
        <w:rPr>
          <w:sz w:val="24"/>
        </w:rPr>
        <w:t>，新建选矿厂年排出尾矿量6.205万t/a，原650t/d选矿厂年排出尾矿量8.19万t/a。新建选矿厂投产后，选矿规模将达到50.0×10</w:t>
      </w:r>
      <w:r>
        <w:rPr>
          <w:sz w:val="24"/>
          <w:vertAlign w:val="superscript"/>
        </w:rPr>
        <w:t>4</w:t>
      </w:r>
      <w:r>
        <w:rPr>
          <w:sz w:val="24"/>
        </w:rPr>
        <w:t>t的生产能力，年排出尾矿量20.6万t/a，年消化库容8.997万m</w:t>
      </w:r>
      <w:r>
        <w:rPr>
          <w:sz w:val="24"/>
          <w:vertAlign w:val="superscript"/>
        </w:rPr>
        <w:t>3</w:t>
      </w:r>
      <w:r>
        <w:rPr>
          <w:sz w:val="24"/>
        </w:rPr>
        <w:t>，现有尾矿库还能服务18.9年。环评期间对尾矿库回水系统进行了改造，目前尾矿库设置有污水处理站，尾矿水经尾矿水处理站，通过调节pH调节和凝沉淀处理后经120m</w:t>
      </w:r>
      <w:r>
        <w:rPr>
          <w:sz w:val="24"/>
          <w:vertAlign w:val="superscript"/>
        </w:rPr>
        <w:t>3</w:t>
      </w:r>
      <w:r>
        <w:rPr>
          <w:sz w:val="24"/>
        </w:rPr>
        <w:t>坝下回水池返回各选厂生产使用，同时配备1864m</w:t>
      </w:r>
      <w:r>
        <w:rPr>
          <w:sz w:val="24"/>
          <w:vertAlign w:val="superscript"/>
        </w:rPr>
        <w:t>3</w:t>
      </w:r>
      <w:r>
        <w:rPr>
          <w:sz w:val="24"/>
        </w:rPr>
        <w:t>事故池，保证事故废水不外排。尾矿依托现有尾矿库处置措施可行。</w:t>
      </w:r>
    </w:p>
    <w:p>
      <w:pPr>
        <w:spacing w:line="360" w:lineRule="auto"/>
        <w:ind w:firstLine="480" w:firstLineChars="200"/>
        <w:rPr>
          <w:sz w:val="24"/>
        </w:rPr>
      </w:pPr>
      <w:r>
        <w:rPr>
          <w:sz w:val="24"/>
        </w:rPr>
        <w:t>（2）生活垃圾</w:t>
      </w:r>
    </w:p>
    <w:p>
      <w:pPr>
        <w:autoSpaceDE w:val="0"/>
        <w:autoSpaceDN w:val="0"/>
        <w:spacing w:line="360" w:lineRule="auto"/>
        <w:ind w:firstLine="480" w:firstLineChars="200"/>
        <w:rPr>
          <w:sz w:val="24"/>
          <w:lang w:val="zh-CN"/>
        </w:rPr>
      </w:pPr>
      <w:r>
        <w:rPr>
          <w:sz w:val="24"/>
          <w:lang w:val="zh-CN"/>
        </w:rPr>
        <w:t>职工生活垃圾依托原有生活区生活来处理系统，产生量为7.5t/a，通过3做垃圾池和30个移动式垃圾箱收集后经统一收集后运至朱阳镇城市垃圾中转站处理。生活垃圾处置措施可行。</w:t>
      </w:r>
    </w:p>
    <w:p>
      <w:pPr>
        <w:pStyle w:val="10"/>
        <w:spacing w:line="360" w:lineRule="auto"/>
        <w:rPr>
          <w:rFonts w:ascii="Times New Roman" w:hAnsi="Times New Roman"/>
        </w:rPr>
      </w:pPr>
      <w:bookmarkStart w:id="487" w:name="_Toc406504213"/>
      <w:bookmarkStart w:id="488" w:name="_Toc407217361"/>
      <w:bookmarkStart w:id="489" w:name="_Toc407153495"/>
      <w:bookmarkStart w:id="490" w:name="_Toc420663679"/>
      <w:r>
        <w:rPr>
          <w:rFonts w:ascii="Times New Roman" w:hAnsi="Times New Roman"/>
        </w:rPr>
        <w:t>4.4.5 生态保护措施有效性分析</w:t>
      </w:r>
      <w:bookmarkEnd w:id="487"/>
      <w:bookmarkEnd w:id="488"/>
      <w:bookmarkEnd w:id="489"/>
      <w:bookmarkEnd w:id="490"/>
    </w:p>
    <w:p>
      <w:pPr>
        <w:pStyle w:val="5"/>
        <w:rPr>
          <w:rFonts w:ascii="Times New Roman" w:hAnsi="Times New Roman"/>
        </w:rPr>
      </w:pPr>
      <w:r>
        <w:rPr>
          <w:rFonts w:ascii="Times New Roman" w:hAnsi="Times New Roman"/>
        </w:rPr>
        <w:t>4.4.5.1矿山生态保护措施有效性分析</w:t>
      </w:r>
    </w:p>
    <w:p>
      <w:pPr>
        <w:tabs>
          <w:tab w:val="left" w:pos="567"/>
          <w:tab w:val="left" w:pos="851"/>
          <w:tab w:val="left" w:pos="1134"/>
        </w:tabs>
        <w:spacing w:line="360" w:lineRule="auto"/>
        <w:ind w:firstLine="480" w:firstLineChars="200"/>
        <w:rPr>
          <w:sz w:val="24"/>
        </w:rPr>
      </w:pPr>
      <w:r>
        <w:rPr>
          <w:bCs/>
          <w:sz w:val="24"/>
        </w:rPr>
        <w:t>目前工业场地及周边进行了部分绿化，实现了一定程度的植被恢复；起到了良好的绿化和水土保持效果；环评中提出对原有采矿造成的1#采空塌陷区和2#采空塌陷区进行填充和覆土绿化，</w:t>
      </w:r>
      <w:r>
        <w:rPr>
          <w:sz w:val="24"/>
        </w:rPr>
        <w:t>两处较大的地面塌陷区目前已经填充并覆土播撒草籽。矿生态恢复总面积</w:t>
      </w:r>
      <w:r>
        <w:rPr>
          <w:rFonts w:hint="eastAsia"/>
          <w:kern w:val="0"/>
          <w:sz w:val="24"/>
        </w:rPr>
        <w:t>11000</w:t>
      </w:r>
      <w:r>
        <w:rPr>
          <w:kern w:val="0"/>
          <w:sz w:val="24"/>
        </w:rPr>
        <w:t>m</w:t>
      </w:r>
      <w:r>
        <w:rPr>
          <w:kern w:val="0"/>
          <w:sz w:val="24"/>
          <w:vertAlign w:val="superscript"/>
        </w:rPr>
        <w:t>2</w:t>
      </w:r>
      <w:r>
        <w:rPr>
          <w:kern w:val="0"/>
          <w:sz w:val="24"/>
        </w:rPr>
        <w:t>，对生态破坏起到了一定的补偿作用。废石场设置了挡渣墙和截排水沟、沉淀池，可有效防止水土流失。</w:t>
      </w:r>
    </w:p>
    <w:p>
      <w:pPr>
        <w:pStyle w:val="5"/>
        <w:rPr>
          <w:rFonts w:ascii="Times New Roman" w:hAnsi="Times New Roman"/>
        </w:rPr>
      </w:pPr>
      <w:r>
        <w:rPr>
          <w:rFonts w:ascii="Times New Roman" w:hAnsi="Times New Roman"/>
        </w:rPr>
        <w:t>4.4.5.2选厂及尾矿库生态恢复措施有效性分析</w:t>
      </w:r>
    </w:p>
    <w:p>
      <w:pPr>
        <w:tabs>
          <w:tab w:val="left" w:pos="567"/>
          <w:tab w:val="left" w:pos="851"/>
          <w:tab w:val="left" w:pos="1134"/>
        </w:tabs>
        <w:spacing w:line="360" w:lineRule="auto"/>
        <w:ind w:firstLine="480" w:firstLineChars="200"/>
        <w:rPr>
          <w:bCs/>
          <w:sz w:val="24"/>
        </w:rPr>
      </w:pPr>
      <w:r>
        <w:rPr>
          <w:sz w:val="24"/>
        </w:rPr>
        <w:t>鉴于选厂场地比较小，各设施之间比较紧凑，场地全部硬化，运营期绿化空间较小；</w:t>
      </w:r>
      <w:r>
        <w:rPr>
          <w:bCs/>
          <w:sz w:val="24"/>
        </w:rPr>
        <w:t>尾矿库初期坝已进行坝坡浆砌石防护措施，并对尾矿库排水沟和周边播撒草籽进行了绿化，绿化面积1200m</w:t>
      </w:r>
      <w:r>
        <w:rPr>
          <w:bCs/>
          <w:sz w:val="24"/>
          <w:vertAlign w:val="superscript"/>
        </w:rPr>
        <w:t>2</w:t>
      </w:r>
      <w:r>
        <w:rPr>
          <w:bCs/>
          <w:sz w:val="24"/>
        </w:rPr>
        <w:t>。</w:t>
      </w:r>
    </w:p>
    <w:p>
      <w:pPr>
        <w:spacing w:line="360" w:lineRule="auto"/>
        <w:ind w:firstLine="360" w:firstLineChars="150"/>
        <w:rPr>
          <w:sz w:val="24"/>
        </w:rPr>
      </w:pPr>
      <w:r>
        <w:rPr>
          <w:sz w:val="24"/>
        </w:rPr>
        <w:t>采取上述措施后在一定程度上补偿了因工程建设造成的植被损失，减少了水土流失量。验收调查认为生态保护措施可行，植被恢复工作需加强。</w:t>
      </w:r>
    </w:p>
    <w:p>
      <w:pPr>
        <w:pStyle w:val="3"/>
        <w:spacing w:before="0" w:after="0"/>
        <w:rPr>
          <w:rFonts w:ascii="Times New Roman" w:hAnsi="Times New Roman"/>
        </w:rPr>
      </w:pPr>
      <w:bookmarkStart w:id="491" w:name="_Toc173284087"/>
      <w:bookmarkStart w:id="492" w:name="_Toc470358689"/>
      <w:bookmarkStart w:id="493" w:name="_Toc370112125"/>
      <w:bookmarkStart w:id="494" w:name="_Toc406504214"/>
      <w:bookmarkStart w:id="495" w:name="_Toc488578911"/>
      <w:bookmarkStart w:id="496" w:name="_Toc407153496"/>
      <w:bookmarkStart w:id="497" w:name="_Toc407217362"/>
      <w:bookmarkStart w:id="498" w:name="_Toc173147938"/>
      <w:bookmarkStart w:id="499" w:name="_Toc420663680"/>
      <w:r>
        <w:rPr>
          <w:rFonts w:ascii="Times New Roman" w:hAnsi="Times New Roman"/>
        </w:rPr>
        <w:t>4.5存在的问题及建议</w:t>
      </w:r>
      <w:bookmarkEnd w:id="491"/>
      <w:bookmarkEnd w:id="492"/>
      <w:bookmarkEnd w:id="493"/>
      <w:bookmarkEnd w:id="494"/>
      <w:bookmarkEnd w:id="495"/>
      <w:bookmarkEnd w:id="496"/>
      <w:bookmarkEnd w:id="497"/>
      <w:bookmarkEnd w:id="498"/>
      <w:bookmarkEnd w:id="499"/>
    </w:p>
    <w:p>
      <w:pPr>
        <w:spacing w:line="360" w:lineRule="auto"/>
        <w:ind w:firstLine="480" w:firstLineChars="200"/>
        <w:rPr>
          <w:sz w:val="24"/>
        </w:rPr>
      </w:pPr>
      <w:r>
        <w:rPr>
          <w:sz w:val="24"/>
        </w:rPr>
        <w:t>根据本次验收调查可知，本项目环保工程均基本已按照《环境影响报告书》批复中要求落实到位，且运行效果较好，污染物均做到了达标排放。调查中未发现较大的环境问题。</w:t>
      </w:r>
    </w:p>
    <w:p>
      <w:pPr>
        <w:spacing w:line="360" w:lineRule="auto"/>
        <w:ind w:firstLine="480" w:firstLineChars="200"/>
        <w:rPr>
          <w:sz w:val="24"/>
        </w:rPr>
      </w:pPr>
      <w:r>
        <w:rPr>
          <w:sz w:val="24"/>
        </w:rPr>
        <w:t>建议：</w:t>
      </w:r>
    </w:p>
    <w:p>
      <w:pPr>
        <w:spacing w:line="360" w:lineRule="auto"/>
        <w:ind w:firstLine="480" w:firstLineChars="200"/>
        <w:rPr>
          <w:sz w:val="24"/>
        </w:rPr>
      </w:pPr>
      <w:r>
        <w:rPr>
          <w:sz w:val="24"/>
        </w:rPr>
        <w:t>（1）加强厂区绿化工作，保证环保设施的正常运营；</w:t>
      </w:r>
    </w:p>
    <w:p>
      <w:pPr>
        <w:spacing w:line="360" w:lineRule="auto"/>
        <w:ind w:firstLine="480" w:firstLineChars="200"/>
        <w:rPr>
          <w:sz w:val="24"/>
        </w:rPr>
      </w:pPr>
      <w:r>
        <w:rPr>
          <w:sz w:val="24"/>
        </w:rPr>
        <w:t>（2）加强管理废石场、矿石堆场的降尘洒水，减少扬尘对周围环境的影响。</w:t>
      </w:r>
      <w:r>
        <w:rPr>
          <w:sz w:val="24"/>
        </w:rPr>
        <w:cr/>
      </w:r>
      <w:r>
        <w:rPr>
          <w:sz w:val="24"/>
        </w:rPr>
        <w:t>定时洒水抑尘。</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sectPr>
          <w:pgSz w:w="11906" w:h="16838"/>
          <w:pgMar w:top="1440" w:right="1797" w:bottom="1440" w:left="1797" w:header="851" w:footer="992" w:gutter="0"/>
          <w:cols w:space="425" w:num="1"/>
          <w:docGrid w:linePitch="312" w:charSpace="0"/>
        </w:sectPr>
      </w:pPr>
    </w:p>
    <w:p>
      <w:pPr>
        <w:pStyle w:val="79"/>
        <w:spacing w:after="240"/>
        <w:rPr>
          <w:sz w:val="24"/>
        </w:rPr>
      </w:pPr>
      <w:bookmarkStart w:id="500" w:name="_Toc173284088"/>
      <w:bookmarkStart w:id="501" w:name="_Toc173147939"/>
      <w:bookmarkStart w:id="502" w:name="_Toc407153497"/>
      <w:bookmarkStart w:id="503" w:name="_Toc370112130"/>
      <w:bookmarkStart w:id="504" w:name="_Toc406504215"/>
      <w:bookmarkStart w:id="505" w:name="_Toc407217363"/>
      <w:bookmarkStart w:id="506" w:name="_Toc420663681"/>
      <w:bookmarkStart w:id="507" w:name="_Toc470358690"/>
      <w:bookmarkStart w:id="508" w:name="_Toc488578912"/>
      <w:r>
        <w:t>第五章  环境影响调查与分析</w:t>
      </w:r>
      <w:bookmarkEnd w:id="500"/>
      <w:bookmarkEnd w:id="501"/>
      <w:bookmarkEnd w:id="502"/>
      <w:bookmarkEnd w:id="503"/>
      <w:bookmarkEnd w:id="504"/>
      <w:bookmarkEnd w:id="505"/>
      <w:bookmarkEnd w:id="506"/>
      <w:bookmarkEnd w:id="507"/>
      <w:bookmarkEnd w:id="508"/>
    </w:p>
    <w:p>
      <w:pPr>
        <w:pStyle w:val="3"/>
        <w:spacing w:before="0" w:after="0"/>
        <w:rPr>
          <w:rFonts w:ascii="Times New Roman" w:hAnsi="Times New Roman"/>
        </w:rPr>
      </w:pPr>
      <w:bookmarkStart w:id="509" w:name="_Toc173147940"/>
      <w:bookmarkStart w:id="510" w:name="_Toc173284089"/>
      <w:bookmarkStart w:id="511" w:name="_Toc406504216"/>
      <w:bookmarkStart w:id="512" w:name="_Toc407217364"/>
      <w:bookmarkStart w:id="513" w:name="_Toc407153498"/>
      <w:bookmarkStart w:id="514" w:name="_Toc420663682"/>
      <w:bookmarkStart w:id="515" w:name="_Toc470358691"/>
      <w:bookmarkStart w:id="516" w:name="_Toc488578913"/>
      <w:r>
        <w:rPr>
          <w:rFonts w:ascii="Times New Roman" w:hAnsi="Times New Roman"/>
        </w:rPr>
        <w:t>5.1 污染源调查</w:t>
      </w:r>
      <w:bookmarkEnd w:id="509"/>
      <w:bookmarkEnd w:id="510"/>
      <w:bookmarkEnd w:id="511"/>
      <w:bookmarkEnd w:id="512"/>
      <w:bookmarkEnd w:id="513"/>
      <w:bookmarkEnd w:id="514"/>
      <w:bookmarkEnd w:id="515"/>
      <w:bookmarkEnd w:id="516"/>
    </w:p>
    <w:p>
      <w:pPr>
        <w:pStyle w:val="10"/>
        <w:spacing w:line="360" w:lineRule="auto"/>
        <w:rPr>
          <w:rFonts w:ascii="Times New Roman" w:hAnsi="Times New Roman"/>
        </w:rPr>
      </w:pPr>
      <w:r>
        <w:rPr>
          <w:rFonts w:ascii="Times New Roman" w:hAnsi="Times New Roman"/>
        </w:rPr>
        <w:t>5.1.1扩建采矿污染源调查</w:t>
      </w:r>
    </w:p>
    <w:p>
      <w:pPr>
        <w:spacing w:line="360" w:lineRule="auto"/>
        <w:rPr>
          <w:sz w:val="24"/>
        </w:rPr>
      </w:pPr>
      <w:r>
        <w:t xml:space="preserve">    </w:t>
      </w:r>
      <w:r>
        <w:rPr>
          <w:sz w:val="24"/>
        </w:rPr>
        <w:t>本次矿山扩建项目为原东斜井改造而来，不改变原有项目矿井涌水量，矿井涌水仍从原竖井排出地表。采矿扩建工程废水主要为生活污水。大气污染源主要是废石场、原矿堆场的风蚀扬尘及运输道路扬尘；噪声污染源主要是高噪声生产设备；固体废弃物主要是废石、生活垃圾。该工程主要污染源见表5.1-1。</w:t>
      </w:r>
    </w:p>
    <w:p>
      <w:pPr>
        <w:spacing w:line="500" w:lineRule="exact"/>
        <w:ind w:firstLine="440" w:firstLineChars="200"/>
        <w:rPr>
          <w:rFonts w:eastAsia="黑体"/>
          <w:sz w:val="22"/>
          <w:szCs w:val="22"/>
        </w:rPr>
      </w:pPr>
      <w:r>
        <w:rPr>
          <w:rFonts w:eastAsia="黑体"/>
          <w:sz w:val="22"/>
          <w:szCs w:val="22"/>
        </w:rPr>
        <w:t>表5.1-1            验收期间工程主要污染源情况一览表</w:t>
      </w:r>
      <w:bookmarkStart w:id="517" w:name="_Toc173284090"/>
      <w:bookmarkStart w:id="518" w:name="_Toc173147941"/>
    </w:p>
    <w:tbl>
      <w:tblPr>
        <w:tblStyle w:val="54"/>
        <w:tblW w:w="83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9"/>
        <w:gridCol w:w="688"/>
        <w:gridCol w:w="1443"/>
        <w:gridCol w:w="1439"/>
        <w:gridCol w:w="1651"/>
        <w:gridCol w:w="2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9" w:type="dxa"/>
          </w:tcPr>
          <w:p>
            <w:pPr>
              <w:spacing w:line="320" w:lineRule="exact"/>
            </w:pPr>
            <w:r>
              <w:t>项目</w:t>
            </w:r>
          </w:p>
        </w:tc>
        <w:tc>
          <w:tcPr>
            <w:tcW w:w="688" w:type="dxa"/>
            <w:vAlign w:val="center"/>
          </w:tcPr>
          <w:p>
            <w:pPr>
              <w:spacing w:line="320" w:lineRule="exact"/>
            </w:pPr>
            <w:r>
              <w:t>名称</w:t>
            </w:r>
          </w:p>
        </w:tc>
        <w:tc>
          <w:tcPr>
            <w:tcW w:w="1443" w:type="dxa"/>
            <w:vAlign w:val="center"/>
          </w:tcPr>
          <w:p>
            <w:pPr>
              <w:spacing w:line="320" w:lineRule="exact"/>
            </w:pPr>
            <w:r>
              <w:t>主要来源</w:t>
            </w:r>
          </w:p>
        </w:tc>
        <w:tc>
          <w:tcPr>
            <w:tcW w:w="1439" w:type="dxa"/>
            <w:vAlign w:val="center"/>
          </w:tcPr>
          <w:p>
            <w:pPr>
              <w:spacing w:line="320" w:lineRule="exact"/>
              <w:jc w:val="center"/>
            </w:pPr>
            <w:r>
              <w:t>统计量</w:t>
            </w:r>
          </w:p>
        </w:tc>
        <w:tc>
          <w:tcPr>
            <w:tcW w:w="1651" w:type="dxa"/>
            <w:vAlign w:val="center"/>
          </w:tcPr>
          <w:p>
            <w:pPr>
              <w:spacing w:line="320" w:lineRule="exact"/>
            </w:pPr>
            <w:r>
              <w:t>主要污染物</w:t>
            </w:r>
          </w:p>
        </w:tc>
        <w:tc>
          <w:tcPr>
            <w:tcW w:w="2518" w:type="dxa"/>
            <w:vAlign w:val="center"/>
          </w:tcPr>
          <w:p>
            <w:pPr>
              <w:spacing w:line="320" w:lineRule="exact"/>
            </w:pPr>
            <w: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8" w:hRule="atLeast"/>
        </w:trPr>
        <w:tc>
          <w:tcPr>
            <w:tcW w:w="649" w:type="dxa"/>
            <w:vMerge w:val="restart"/>
            <w:vAlign w:val="center"/>
          </w:tcPr>
          <w:p>
            <w:pPr>
              <w:spacing w:line="320" w:lineRule="exact"/>
              <w:jc w:val="center"/>
            </w:pPr>
            <w:r>
              <w:t>采</w:t>
            </w:r>
          </w:p>
          <w:p>
            <w:pPr>
              <w:spacing w:line="320" w:lineRule="exact"/>
              <w:jc w:val="center"/>
            </w:pPr>
            <w:r>
              <w:t>矿</w:t>
            </w:r>
          </w:p>
          <w:p>
            <w:pPr>
              <w:spacing w:line="320" w:lineRule="exact"/>
              <w:jc w:val="center"/>
            </w:pPr>
            <w:r>
              <w:t>工</w:t>
            </w:r>
          </w:p>
          <w:p>
            <w:pPr>
              <w:spacing w:line="320" w:lineRule="exact"/>
              <w:jc w:val="center"/>
            </w:pPr>
            <w:r>
              <w:t>程</w:t>
            </w:r>
          </w:p>
        </w:tc>
        <w:tc>
          <w:tcPr>
            <w:tcW w:w="688" w:type="dxa"/>
            <w:vAlign w:val="center"/>
          </w:tcPr>
          <w:p>
            <w:pPr>
              <w:spacing w:line="320" w:lineRule="exact"/>
            </w:pPr>
            <w:r>
              <w:t>矿井涌水</w:t>
            </w:r>
          </w:p>
        </w:tc>
        <w:tc>
          <w:tcPr>
            <w:tcW w:w="1443" w:type="dxa"/>
            <w:vAlign w:val="center"/>
          </w:tcPr>
          <w:p>
            <w:pPr>
              <w:spacing w:line="320" w:lineRule="exact"/>
              <w:jc w:val="center"/>
            </w:pPr>
            <w:r>
              <w:t>平硐开采</w:t>
            </w:r>
          </w:p>
        </w:tc>
        <w:tc>
          <w:tcPr>
            <w:tcW w:w="1439" w:type="dxa"/>
            <w:shd w:val="clear" w:color="auto" w:fill="auto"/>
            <w:vAlign w:val="center"/>
          </w:tcPr>
          <w:p>
            <w:pPr>
              <w:spacing w:line="320" w:lineRule="exact"/>
              <w:jc w:val="center"/>
              <w:rPr>
                <w:szCs w:val="21"/>
              </w:rPr>
            </w:pPr>
            <w:r>
              <w:rPr>
                <w:szCs w:val="21"/>
              </w:rPr>
              <w:t>6400m</w:t>
            </w:r>
            <w:r>
              <w:rPr>
                <w:szCs w:val="21"/>
                <w:vertAlign w:val="superscript"/>
              </w:rPr>
              <w:t>3</w:t>
            </w:r>
            <w:r>
              <w:rPr>
                <w:szCs w:val="21"/>
              </w:rPr>
              <w:t>/d</w:t>
            </w:r>
          </w:p>
        </w:tc>
        <w:tc>
          <w:tcPr>
            <w:tcW w:w="1651" w:type="dxa"/>
            <w:vAlign w:val="center"/>
          </w:tcPr>
          <w:p>
            <w:pPr>
              <w:spacing w:line="320" w:lineRule="exact"/>
              <w:jc w:val="center"/>
            </w:pPr>
            <w:r>
              <w:t>COD、氨氮、</w:t>
            </w:r>
          </w:p>
          <w:p>
            <w:pPr>
              <w:spacing w:line="320" w:lineRule="exact"/>
              <w:jc w:val="center"/>
            </w:pPr>
            <w:r>
              <w:t>SS、石油类等</w:t>
            </w:r>
          </w:p>
        </w:tc>
        <w:tc>
          <w:tcPr>
            <w:tcW w:w="2518" w:type="dxa"/>
            <w:vAlign w:val="center"/>
          </w:tcPr>
          <w:p>
            <w:pPr>
              <w:spacing w:line="320" w:lineRule="exact"/>
            </w:pPr>
            <w:r>
              <w:t>采矿、选矿、生活利用，供给美山村饮用，余量排入麻家河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8" w:hRule="atLeast"/>
        </w:trPr>
        <w:tc>
          <w:tcPr>
            <w:tcW w:w="649" w:type="dxa"/>
            <w:vMerge w:val="continue"/>
            <w:vAlign w:val="center"/>
          </w:tcPr>
          <w:p>
            <w:pPr>
              <w:spacing w:line="320" w:lineRule="exact"/>
              <w:jc w:val="center"/>
            </w:pPr>
          </w:p>
        </w:tc>
        <w:tc>
          <w:tcPr>
            <w:tcW w:w="688" w:type="dxa"/>
            <w:vAlign w:val="center"/>
          </w:tcPr>
          <w:p>
            <w:pPr>
              <w:spacing w:line="320" w:lineRule="exact"/>
            </w:pPr>
            <w:r>
              <w:t>生活污水</w:t>
            </w:r>
          </w:p>
        </w:tc>
        <w:tc>
          <w:tcPr>
            <w:tcW w:w="1443" w:type="dxa"/>
            <w:vAlign w:val="center"/>
          </w:tcPr>
          <w:p>
            <w:pPr>
              <w:spacing w:line="320" w:lineRule="exact"/>
              <w:jc w:val="center"/>
            </w:pPr>
            <w:r>
              <w:t>生活区</w:t>
            </w:r>
          </w:p>
        </w:tc>
        <w:tc>
          <w:tcPr>
            <w:tcW w:w="1439" w:type="dxa"/>
            <w:shd w:val="clear" w:color="auto" w:fill="auto"/>
            <w:vAlign w:val="center"/>
          </w:tcPr>
          <w:p>
            <w:pPr>
              <w:spacing w:line="320" w:lineRule="exact"/>
              <w:jc w:val="center"/>
              <w:rPr>
                <w:szCs w:val="21"/>
              </w:rPr>
            </w:pPr>
            <w:r>
              <w:rPr>
                <w:szCs w:val="21"/>
              </w:rPr>
              <w:t>4.5m</w:t>
            </w:r>
            <w:r>
              <w:rPr>
                <w:szCs w:val="21"/>
                <w:vertAlign w:val="superscript"/>
              </w:rPr>
              <w:t>3</w:t>
            </w:r>
            <w:r>
              <w:rPr>
                <w:szCs w:val="21"/>
              </w:rPr>
              <w:t>/d</w:t>
            </w:r>
          </w:p>
        </w:tc>
        <w:tc>
          <w:tcPr>
            <w:tcW w:w="1651" w:type="dxa"/>
            <w:vAlign w:val="center"/>
          </w:tcPr>
          <w:p>
            <w:pPr>
              <w:spacing w:line="320" w:lineRule="exact"/>
              <w:jc w:val="center"/>
            </w:pPr>
            <w:r>
              <w:t>COD、SS、</w:t>
            </w:r>
          </w:p>
          <w:p>
            <w:pPr>
              <w:spacing w:line="320" w:lineRule="exact"/>
              <w:jc w:val="center"/>
            </w:pPr>
            <w:r>
              <w:t>氨氮等</w:t>
            </w:r>
          </w:p>
        </w:tc>
        <w:tc>
          <w:tcPr>
            <w:tcW w:w="2518" w:type="dxa"/>
            <w:vAlign w:val="center"/>
          </w:tcPr>
          <w:p>
            <w:pPr>
              <w:spacing w:line="320" w:lineRule="exact"/>
            </w:pPr>
            <w:r>
              <w:t>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continue"/>
            <w:vAlign w:val="center"/>
          </w:tcPr>
          <w:p>
            <w:pPr>
              <w:spacing w:line="320" w:lineRule="exact"/>
              <w:jc w:val="center"/>
            </w:pPr>
          </w:p>
        </w:tc>
        <w:tc>
          <w:tcPr>
            <w:tcW w:w="688" w:type="dxa"/>
            <w:vAlign w:val="center"/>
          </w:tcPr>
          <w:p>
            <w:pPr>
              <w:spacing w:line="320" w:lineRule="exact"/>
            </w:pPr>
            <w:r>
              <w:t>噪声</w:t>
            </w:r>
          </w:p>
        </w:tc>
        <w:tc>
          <w:tcPr>
            <w:tcW w:w="1443" w:type="dxa"/>
            <w:vAlign w:val="center"/>
          </w:tcPr>
          <w:p>
            <w:pPr>
              <w:spacing w:line="320" w:lineRule="exact"/>
              <w:jc w:val="center"/>
            </w:pPr>
            <w:r>
              <w:t>高噪声设备</w:t>
            </w:r>
          </w:p>
        </w:tc>
        <w:tc>
          <w:tcPr>
            <w:tcW w:w="1439" w:type="dxa"/>
            <w:vAlign w:val="center"/>
          </w:tcPr>
          <w:p>
            <w:pPr>
              <w:spacing w:line="320" w:lineRule="exact"/>
              <w:jc w:val="center"/>
              <w:rPr>
                <w:szCs w:val="21"/>
              </w:rPr>
            </w:pPr>
            <w:r>
              <w:rPr>
                <w:szCs w:val="21"/>
              </w:rPr>
              <w:t>65～75dB (A)</w:t>
            </w:r>
          </w:p>
        </w:tc>
        <w:tc>
          <w:tcPr>
            <w:tcW w:w="1651" w:type="dxa"/>
            <w:vAlign w:val="center"/>
          </w:tcPr>
          <w:p>
            <w:pPr>
              <w:spacing w:line="320" w:lineRule="exact"/>
              <w:jc w:val="center"/>
            </w:pPr>
            <w:r>
              <w:t>噪声</w:t>
            </w:r>
          </w:p>
        </w:tc>
        <w:tc>
          <w:tcPr>
            <w:tcW w:w="2518" w:type="dxa"/>
            <w:vAlign w:val="center"/>
          </w:tcPr>
          <w:p>
            <w:pPr>
              <w:spacing w:line="320" w:lineRule="exact"/>
            </w:pPr>
            <w:r>
              <w:t>周围环境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continue"/>
            <w:vAlign w:val="center"/>
          </w:tcPr>
          <w:p>
            <w:pPr>
              <w:spacing w:line="320" w:lineRule="exact"/>
              <w:jc w:val="center"/>
            </w:pPr>
          </w:p>
        </w:tc>
        <w:tc>
          <w:tcPr>
            <w:tcW w:w="688" w:type="dxa"/>
            <w:vMerge w:val="restart"/>
            <w:vAlign w:val="center"/>
          </w:tcPr>
          <w:p>
            <w:pPr>
              <w:spacing w:line="320" w:lineRule="exact"/>
            </w:pPr>
            <w:r>
              <w:t>固废</w:t>
            </w:r>
          </w:p>
        </w:tc>
        <w:tc>
          <w:tcPr>
            <w:tcW w:w="1443" w:type="dxa"/>
            <w:vAlign w:val="center"/>
          </w:tcPr>
          <w:p>
            <w:pPr>
              <w:spacing w:line="320" w:lineRule="exact"/>
              <w:ind w:firstLine="210" w:firstLineChars="100"/>
              <w:jc w:val="center"/>
            </w:pPr>
            <w:r>
              <w:t>采矿废石</w:t>
            </w:r>
          </w:p>
        </w:tc>
        <w:tc>
          <w:tcPr>
            <w:tcW w:w="1439" w:type="dxa"/>
            <w:vAlign w:val="center"/>
          </w:tcPr>
          <w:p>
            <w:pPr>
              <w:spacing w:line="320" w:lineRule="exact"/>
              <w:jc w:val="center"/>
              <w:rPr>
                <w:szCs w:val="21"/>
              </w:rPr>
            </w:pPr>
            <w:r>
              <w:rPr>
                <w:spacing w:val="2"/>
                <w:szCs w:val="21"/>
              </w:rPr>
              <w:t>0.9t/a</w:t>
            </w:r>
          </w:p>
        </w:tc>
        <w:tc>
          <w:tcPr>
            <w:tcW w:w="1651" w:type="dxa"/>
            <w:vAlign w:val="center"/>
          </w:tcPr>
          <w:p>
            <w:pPr>
              <w:spacing w:line="320" w:lineRule="exact"/>
              <w:jc w:val="center"/>
            </w:pPr>
            <w:r>
              <w:t>/</w:t>
            </w:r>
          </w:p>
        </w:tc>
        <w:tc>
          <w:tcPr>
            <w:tcW w:w="2518" w:type="dxa"/>
            <w:vAlign w:val="center"/>
          </w:tcPr>
          <w:p>
            <w:pPr>
              <w:spacing w:line="320" w:lineRule="exact"/>
            </w:pPr>
            <w:r>
              <w:t>运往废石场安全堆存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continue"/>
            <w:vAlign w:val="center"/>
          </w:tcPr>
          <w:p>
            <w:pPr>
              <w:spacing w:line="320" w:lineRule="exact"/>
              <w:jc w:val="center"/>
            </w:pPr>
          </w:p>
        </w:tc>
        <w:tc>
          <w:tcPr>
            <w:tcW w:w="688" w:type="dxa"/>
            <w:vMerge w:val="continue"/>
            <w:vAlign w:val="center"/>
          </w:tcPr>
          <w:p>
            <w:pPr>
              <w:spacing w:line="320" w:lineRule="exact"/>
            </w:pPr>
          </w:p>
        </w:tc>
        <w:tc>
          <w:tcPr>
            <w:tcW w:w="1443" w:type="dxa"/>
            <w:vAlign w:val="center"/>
          </w:tcPr>
          <w:p>
            <w:pPr>
              <w:spacing w:line="320" w:lineRule="exact"/>
              <w:ind w:firstLine="210" w:firstLineChars="100"/>
              <w:jc w:val="center"/>
            </w:pPr>
            <w:r>
              <w:t>生活垃圾</w:t>
            </w:r>
          </w:p>
        </w:tc>
        <w:tc>
          <w:tcPr>
            <w:tcW w:w="1439" w:type="dxa"/>
            <w:vAlign w:val="center"/>
          </w:tcPr>
          <w:p>
            <w:pPr>
              <w:spacing w:line="320" w:lineRule="exact"/>
              <w:jc w:val="center"/>
              <w:rPr>
                <w:spacing w:val="2"/>
                <w:szCs w:val="21"/>
              </w:rPr>
            </w:pPr>
            <w:r>
              <w:rPr>
                <w:spacing w:val="2"/>
                <w:szCs w:val="21"/>
              </w:rPr>
              <w:t>7.5t/a</w:t>
            </w:r>
          </w:p>
        </w:tc>
        <w:tc>
          <w:tcPr>
            <w:tcW w:w="1651" w:type="dxa"/>
            <w:vAlign w:val="center"/>
          </w:tcPr>
          <w:p>
            <w:pPr>
              <w:spacing w:line="320" w:lineRule="exact"/>
              <w:jc w:val="center"/>
            </w:pPr>
            <w:r>
              <w:t>/</w:t>
            </w:r>
          </w:p>
        </w:tc>
        <w:tc>
          <w:tcPr>
            <w:tcW w:w="2518" w:type="dxa"/>
            <w:vAlign w:val="center"/>
          </w:tcPr>
          <w:p>
            <w:pPr>
              <w:spacing w:line="320" w:lineRule="exact"/>
            </w:pPr>
            <w:r>
              <w:t>运往垃圾中转站</w:t>
            </w:r>
          </w:p>
        </w:tc>
      </w:tr>
    </w:tbl>
    <w:p>
      <w:pPr>
        <w:pStyle w:val="10"/>
        <w:spacing w:beforeLines="50" w:line="360" w:lineRule="auto"/>
        <w:rPr>
          <w:rFonts w:ascii="Times New Roman" w:hAnsi="Times New Roman"/>
          <w:szCs w:val="20"/>
        </w:rPr>
      </w:pPr>
      <w:bookmarkStart w:id="519" w:name="_Toc407217365"/>
      <w:bookmarkStart w:id="520" w:name="_Toc406504217"/>
      <w:bookmarkStart w:id="521" w:name="_Toc407153499"/>
      <w:bookmarkStart w:id="522" w:name="_Toc370112131"/>
      <w:bookmarkStart w:id="523" w:name="_Toc420663683"/>
      <w:r>
        <w:rPr>
          <w:rFonts w:ascii="Times New Roman" w:hAnsi="Times New Roman"/>
        </w:rPr>
        <w:t>5.1.2扩建选厂及尾矿库污染源调查</w:t>
      </w:r>
    </w:p>
    <w:p>
      <w:pPr>
        <w:spacing w:line="360" w:lineRule="auto"/>
        <w:ind w:firstLine="480" w:firstLineChars="200"/>
        <w:rPr>
          <w:sz w:val="24"/>
        </w:rPr>
      </w:pPr>
      <w:r>
        <w:rPr>
          <w:sz w:val="24"/>
        </w:rPr>
        <w:t>选矿废水和生活污水；大气污染源主要是破碎车间粉尘、尾矿库的风蚀扬尘及运输道路扬尘；噪声污染源主要是高噪声生产设备；固体废弃物主要是尾矿、生活垃圾。该工程主要污染源见表5.1-2。</w:t>
      </w:r>
    </w:p>
    <w:p>
      <w:pPr>
        <w:adjustRightInd w:val="0"/>
        <w:snapToGrid w:val="0"/>
        <w:ind w:firstLine="440" w:firstLineChars="200"/>
        <w:rPr>
          <w:sz w:val="24"/>
        </w:rPr>
      </w:pPr>
      <w:r>
        <w:rPr>
          <w:rFonts w:eastAsia="黑体"/>
          <w:sz w:val="22"/>
          <w:szCs w:val="22"/>
        </w:rPr>
        <w:t>表5.1-2           验收期间工程主要污染源情况一览表</w:t>
      </w:r>
    </w:p>
    <w:tbl>
      <w:tblPr>
        <w:tblStyle w:val="54"/>
        <w:tblW w:w="831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1"/>
        <w:gridCol w:w="1330"/>
        <w:gridCol w:w="2070"/>
        <w:gridCol w:w="2361"/>
        <w:gridCol w:w="1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661" w:type="dxa"/>
            <w:vAlign w:val="center"/>
          </w:tcPr>
          <w:p>
            <w:pPr>
              <w:adjustRightInd w:val="0"/>
              <w:snapToGrid w:val="0"/>
              <w:jc w:val="center"/>
              <w:rPr>
                <w:szCs w:val="21"/>
              </w:rPr>
            </w:pPr>
            <w:r>
              <w:rPr>
                <w:szCs w:val="21"/>
              </w:rPr>
              <w:t>名称</w:t>
            </w:r>
          </w:p>
        </w:tc>
        <w:tc>
          <w:tcPr>
            <w:tcW w:w="1330" w:type="dxa"/>
            <w:vAlign w:val="center"/>
          </w:tcPr>
          <w:p>
            <w:pPr>
              <w:adjustRightInd w:val="0"/>
              <w:snapToGrid w:val="0"/>
              <w:jc w:val="center"/>
              <w:rPr>
                <w:szCs w:val="21"/>
              </w:rPr>
            </w:pPr>
            <w:r>
              <w:rPr>
                <w:szCs w:val="21"/>
              </w:rPr>
              <w:t>主要来源</w:t>
            </w:r>
          </w:p>
        </w:tc>
        <w:tc>
          <w:tcPr>
            <w:tcW w:w="2070" w:type="dxa"/>
            <w:vAlign w:val="center"/>
          </w:tcPr>
          <w:p>
            <w:pPr>
              <w:adjustRightInd w:val="0"/>
              <w:snapToGrid w:val="0"/>
              <w:jc w:val="center"/>
              <w:rPr>
                <w:szCs w:val="21"/>
              </w:rPr>
            </w:pPr>
            <w:r>
              <w:rPr>
                <w:szCs w:val="21"/>
              </w:rPr>
              <w:t>源强</w:t>
            </w:r>
          </w:p>
        </w:tc>
        <w:tc>
          <w:tcPr>
            <w:tcW w:w="2361" w:type="dxa"/>
            <w:vAlign w:val="center"/>
          </w:tcPr>
          <w:p>
            <w:pPr>
              <w:adjustRightInd w:val="0"/>
              <w:snapToGrid w:val="0"/>
              <w:jc w:val="center"/>
              <w:rPr>
                <w:szCs w:val="21"/>
              </w:rPr>
            </w:pPr>
            <w:r>
              <w:rPr>
                <w:szCs w:val="21"/>
              </w:rPr>
              <w:t>主要污染物</w:t>
            </w:r>
          </w:p>
        </w:tc>
        <w:tc>
          <w:tcPr>
            <w:tcW w:w="1890" w:type="dxa"/>
            <w:vAlign w:val="center"/>
          </w:tcPr>
          <w:p>
            <w:pPr>
              <w:adjustRightInd w:val="0"/>
              <w:snapToGrid w:val="0"/>
              <w:jc w:val="center"/>
              <w:rPr>
                <w:szCs w:val="21"/>
              </w:rPr>
            </w:pPr>
            <w:r>
              <w:rPr>
                <w:szCs w:val="21"/>
              </w:rPr>
              <w:t>排放去向</w:t>
            </w:r>
          </w:p>
        </w:tc>
      </w:tr>
      <w:tr>
        <w:tblPrEx>
          <w:tblLayout w:type="fixed"/>
          <w:tblCellMar>
            <w:top w:w="0" w:type="dxa"/>
            <w:left w:w="0" w:type="dxa"/>
            <w:bottom w:w="0" w:type="dxa"/>
            <w:right w:w="0" w:type="dxa"/>
          </w:tblCellMar>
        </w:tblPrEx>
        <w:tc>
          <w:tcPr>
            <w:tcW w:w="661" w:type="dxa"/>
            <w:vAlign w:val="center"/>
          </w:tcPr>
          <w:p>
            <w:pPr>
              <w:adjustRightInd w:val="0"/>
              <w:snapToGrid w:val="0"/>
              <w:jc w:val="center"/>
              <w:rPr>
                <w:szCs w:val="21"/>
              </w:rPr>
            </w:pPr>
            <w:r>
              <w:rPr>
                <w:szCs w:val="21"/>
              </w:rPr>
              <w:t>生活污水</w:t>
            </w:r>
          </w:p>
        </w:tc>
        <w:tc>
          <w:tcPr>
            <w:tcW w:w="1330" w:type="dxa"/>
            <w:vAlign w:val="center"/>
          </w:tcPr>
          <w:p>
            <w:pPr>
              <w:adjustRightInd w:val="0"/>
              <w:snapToGrid w:val="0"/>
              <w:jc w:val="center"/>
              <w:rPr>
                <w:szCs w:val="21"/>
              </w:rPr>
            </w:pPr>
            <w:r>
              <w:rPr>
                <w:szCs w:val="21"/>
              </w:rPr>
              <w:t>洗漱、食堂</w:t>
            </w:r>
          </w:p>
        </w:tc>
        <w:tc>
          <w:tcPr>
            <w:tcW w:w="2070" w:type="dxa"/>
            <w:vAlign w:val="center"/>
          </w:tcPr>
          <w:p>
            <w:pPr>
              <w:adjustRightInd w:val="0"/>
              <w:snapToGrid w:val="0"/>
              <w:jc w:val="center"/>
              <w:rPr>
                <w:szCs w:val="21"/>
              </w:rPr>
            </w:pPr>
            <w:r>
              <w:rPr>
                <w:szCs w:val="21"/>
              </w:rPr>
              <w:t>4.5m</w:t>
            </w:r>
            <w:r>
              <w:rPr>
                <w:szCs w:val="21"/>
                <w:vertAlign w:val="superscript"/>
              </w:rPr>
              <w:t>3</w:t>
            </w:r>
            <w:r>
              <w:rPr>
                <w:szCs w:val="21"/>
              </w:rPr>
              <w:t>/d</w:t>
            </w:r>
          </w:p>
        </w:tc>
        <w:tc>
          <w:tcPr>
            <w:tcW w:w="2361" w:type="dxa"/>
            <w:vAlign w:val="center"/>
          </w:tcPr>
          <w:p>
            <w:pPr>
              <w:adjustRightInd w:val="0"/>
              <w:snapToGrid w:val="0"/>
              <w:rPr>
                <w:szCs w:val="21"/>
              </w:rPr>
            </w:pPr>
            <w:r>
              <w:rPr>
                <w:szCs w:val="21"/>
              </w:rPr>
              <w:t>pH、COD</w:t>
            </w:r>
            <w:r>
              <w:rPr>
                <w:szCs w:val="21"/>
                <w:vertAlign w:val="subscript"/>
              </w:rPr>
              <w:t>Cr</w:t>
            </w:r>
            <w:r>
              <w:rPr>
                <w:szCs w:val="21"/>
              </w:rPr>
              <w:t>、BOD</w:t>
            </w:r>
            <w:r>
              <w:rPr>
                <w:szCs w:val="21"/>
                <w:vertAlign w:val="subscript"/>
              </w:rPr>
              <w:t>5</w:t>
            </w:r>
            <w:r>
              <w:rPr>
                <w:szCs w:val="21"/>
              </w:rPr>
              <w:t>、SS、氨氮等</w:t>
            </w:r>
          </w:p>
        </w:tc>
        <w:tc>
          <w:tcPr>
            <w:tcW w:w="1890" w:type="dxa"/>
            <w:vAlign w:val="center"/>
          </w:tcPr>
          <w:p>
            <w:pPr>
              <w:adjustRightInd w:val="0"/>
              <w:snapToGrid w:val="0"/>
              <w:jc w:val="center"/>
              <w:rPr>
                <w:szCs w:val="21"/>
              </w:rPr>
            </w:pPr>
            <w:r>
              <w:rPr>
                <w:szCs w:val="21"/>
              </w:rPr>
              <w:t>处理后，排入尾矿库，回用于选厂</w:t>
            </w:r>
          </w:p>
        </w:tc>
      </w:tr>
      <w:tr>
        <w:tblPrEx>
          <w:tblLayout w:type="fixed"/>
          <w:tblCellMar>
            <w:top w:w="0" w:type="dxa"/>
            <w:left w:w="0" w:type="dxa"/>
            <w:bottom w:w="0" w:type="dxa"/>
            <w:right w:w="0" w:type="dxa"/>
          </w:tblCellMar>
        </w:tblPrEx>
        <w:tc>
          <w:tcPr>
            <w:tcW w:w="661" w:type="dxa"/>
            <w:vAlign w:val="center"/>
          </w:tcPr>
          <w:p>
            <w:pPr>
              <w:adjustRightInd w:val="0"/>
              <w:snapToGrid w:val="0"/>
              <w:jc w:val="center"/>
              <w:rPr>
                <w:szCs w:val="21"/>
              </w:rPr>
            </w:pPr>
            <w:r>
              <w:rPr>
                <w:szCs w:val="21"/>
              </w:rPr>
              <w:t>尾矿澄清水</w:t>
            </w:r>
          </w:p>
        </w:tc>
        <w:tc>
          <w:tcPr>
            <w:tcW w:w="1330" w:type="dxa"/>
            <w:vAlign w:val="center"/>
          </w:tcPr>
          <w:p>
            <w:pPr>
              <w:adjustRightInd w:val="0"/>
              <w:snapToGrid w:val="0"/>
              <w:jc w:val="center"/>
              <w:rPr>
                <w:szCs w:val="21"/>
              </w:rPr>
            </w:pPr>
            <w:r>
              <w:rPr>
                <w:szCs w:val="21"/>
              </w:rPr>
              <w:t>选厂</w:t>
            </w:r>
          </w:p>
        </w:tc>
        <w:tc>
          <w:tcPr>
            <w:tcW w:w="2070" w:type="dxa"/>
            <w:vAlign w:val="center"/>
          </w:tcPr>
          <w:p>
            <w:pPr>
              <w:adjustRightInd w:val="0"/>
              <w:snapToGrid w:val="0"/>
              <w:jc w:val="center"/>
              <w:rPr>
                <w:szCs w:val="21"/>
              </w:rPr>
            </w:pPr>
            <w:r>
              <w:rPr>
                <w:szCs w:val="21"/>
              </w:rPr>
              <w:t>1287m</w:t>
            </w:r>
            <w:r>
              <w:rPr>
                <w:szCs w:val="21"/>
                <w:vertAlign w:val="superscript"/>
              </w:rPr>
              <w:t>3</w:t>
            </w:r>
            <w:r>
              <w:rPr>
                <w:szCs w:val="21"/>
              </w:rPr>
              <w:t>/d</w:t>
            </w:r>
          </w:p>
        </w:tc>
        <w:tc>
          <w:tcPr>
            <w:tcW w:w="2361" w:type="dxa"/>
            <w:vAlign w:val="center"/>
          </w:tcPr>
          <w:p>
            <w:pPr>
              <w:adjustRightInd w:val="0"/>
              <w:snapToGrid w:val="0"/>
              <w:rPr>
                <w:szCs w:val="21"/>
              </w:rPr>
            </w:pPr>
            <w:r>
              <w:rPr>
                <w:kern w:val="0"/>
                <w:szCs w:val="21"/>
              </w:rPr>
              <w:t>pH、COD、悬浮物、汞、镉、六价铬、氟化物、硫化物、总铅、总砷、总锌、总铁、氨氮、石油类等</w:t>
            </w:r>
          </w:p>
        </w:tc>
        <w:tc>
          <w:tcPr>
            <w:tcW w:w="1890" w:type="dxa"/>
            <w:vAlign w:val="center"/>
          </w:tcPr>
          <w:p>
            <w:pPr>
              <w:adjustRightInd w:val="0"/>
              <w:snapToGrid w:val="0"/>
              <w:jc w:val="center"/>
              <w:rPr>
                <w:szCs w:val="21"/>
              </w:rPr>
            </w:pPr>
            <w:r>
              <w:rPr>
                <w:szCs w:val="21"/>
              </w:rPr>
              <w:t>排入尾矿库澄清，经废水处理站处理后，回用于选厂生产</w:t>
            </w:r>
          </w:p>
        </w:tc>
      </w:tr>
      <w:tr>
        <w:tblPrEx>
          <w:tblLayout w:type="fixed"/>
          <w:tblCellMar>
            <w:top w:w="0" w:type="dxa"/>
            <w:left w:w="0" w:type="dxa"/>
            <w:bottom w:w="0" w:type="dxa"/>
            <w:right w:w="0" w:type="dxa"/>
          </w:tblCellMar>
        </w:tblPrEx>
        <w:trPr>
          <w:trHeight w:val="269" w:hRule="atLeast"/>
        </w:trPr>
        <w:tc>
          <w:tcPr>
            <w:tcW w:w="661" w:type="dxa"/>
            <w:vMerge w:val="restart"/>
            <w:vAlign w:val="center"/>
          </w:tcPr>
          <w:p>
            <w:pPr>
              <w:adjustRightInd w:val="0"/>
              <w:snapToGrid w:val="0"/>
              <w:jc w:val="center"/>
              <w:rPr>
                <w:szCs w:val="21"/>
              </w:rPr>
            </w:pPr>
            <w:r>
              <w:rPr>
                <w:szCs w:val="21"/>
              </w:rPr>
              <w:t>废气</w:t>
            </w:r>
          </w:p>
        </w:tc>
        <w:tc>
          <w:tcPr>
            <w:tcW w:w="1330" w:type="dxa"/>
            <w:vAlign w:val="center"/>
          </w:tcPr>
          <w:p>
            <w:pPr>
              <w:adjustRightInd w:val="0"/>
              <w:snapToGrid w:val="0"/>
              <w:jc w:val="center"/>
              <w:rPr>
                <w:szCs w:val="21"/>
              </w:rPr>
            </w:pPr>
            <w:r>
              <w:rPr>
                <w:szCs w:val="21"/>
              </w:rPr>
              <w:t>原料堆场</w:t>
            </w:r>
          </w:p>
        </w:tc>
        <w:tc>
          <w:tcPr>
            <w:tcW w:w="2070" w:type="dxa"/>
            <w:vAlign w:val="center"/>
          </w:tcPr>
          <w:p>
            <w:pPr>
              <w:adjustRightInd w:val="0"/>
              <w:snapToGrid w:val="0"/>
              <w:jc w:val="center"/>
              <w:rPr>
                <w:szCs w:val="21"/>
              </w:rPr>
            </w:pPr>
            <w:r>
              <w:rPr>
                <w:szCs w:val="21"/>
              </w:rPr>
              <w:t>无组织排放</w:t>
            </w:r>
          </w:p>
        </w:tc>
        <w:tc>
          <w:tcPr>
            <w:tcW w:w="2361" w:type="dxa"/>
            <w:vMerge w:val="restart"/>
            <w:vAlign w:val="center"/>
          </w:tcPr>
          <w:p>
            <w:pPr>
              <w:adjustRightInd w:val="0"/>
              <w:snapToGrid w:val="0"/>
              <w:jc w:val="center"/>
              <w:rPr>
                <w:szCs w:val="21"/>
              </w:rPr>
            </w:pPr>
            <w:r>
              <w:rPr>
                <w:szCs w:val="21"/>
              </w:rPr>
              <w:t>颗粒物</w:t>
            </w:r>
          </w:p>
        </w:tc>
        <w:tc>
          <w:tcPr>
            <w:tcW w:w="1890" w:type="dxa"/>
            <w:vMerge w:val="restart"/>
            <w:vAlign w:val="center"/>
          </w:tcPr>
          <w:p>
            <w:pPr>
              <w:adjustRightInd w:val="0"/>
              <w:snapToGrid w:val="0"/>
              <w:jc w:val="center"/>
              <w:rPr>
                <w:szCs w:val="21"/>
              </w:rPr>
            </w:pPr>
            <w:r>
              <w:rPr>
                <w:szCs w:val="21"/>
              </w:rPr>
              <w:t>环境大气</w:t>
            </w:r>
          </w:p>
        </w:tc>
      </w:tr>
      <w:tr>
        <w:tblPrEx>
          <w:tblLayout w:type="fixed"/>
          <w:tblCellMar>
            <w:top w:w="0" w:type="dxa"/>
            <w:left w:w="0" w:type="dxa"/>
            <w:bottom w:w="0" w:type="dxa"/>
            <w:right w:w="0" w:type="dxa"/>
          </w:tblCellMar>
        </w:tblPrEx>
        <w:trPr>
          <w:trHeight w:val="279" w:hRule="atLeast"/>
        </w:trPr>
        <w:tc>
          <w:tcPr>
            <w:tcW w:w="661" w:type="dxa"/>
            <w:vMerge w:val="continue"/>
            <w:vAlign w:val="center"/>
          </w:tcPr>
          <w:p>
            <w:pPr>
              <w:adjustRightInd w:val="0"/>
              <w:snapToGrid w:val="0"/>
              <w:jc w:val="center"/>
              <w:rPr>
                <w:szCs w:val="21"/>
              </w:rPr>
            </w:pPr>
          </w:p>
        </w:tc>
        <w:tc>
          <w:tcPr>
            <w:tcW w:w="1330" w:type="dxa"/>
            <w:vAlign w:val="center"/>
          </w:tcPr>
          <w:p>
            <w:pPr>
              <w:adjustRightInd w:val="0"/>
              <w:snapToGrid w:val="0"/>
              <w:jc w:val="center"/>
              <w:rPr>
                <w:szCs w:val="21"/>
              </w:rPr>
            </w:pPr>
            <w:r>
              <w:rPr>
                <w:szCs w:val="21"/>
              </w:rPr>
              <w:t>破碎筛分粉尘</w:t>
            </w:r>
          </w:p>
        </w:tc>
        <w:tc>
          <w:tcPr>
            <w:tcW w:w="2070" w:type="dxa"/>
            <w:vAlign w:val="center"/>
          </w:tcPr>
          <w:p>
            <w:pPr>
              <w:adjustRightInd w:val="0"/>
              <w:snapToGrid w:val="0"/>
              <w:jc w:val="center"/>
              <w:rPr>
                <w:szCs w:val="21"/>
              </w:rPr>
            </w:pPr>
            <w:r>
              <w:rPr>
                <w:szCs w:val="21"/>
              </w:rPr>
              <w:t>6760m</w:t>
            </w:r>
            <w:r>
              <w:rPr>
                <w:szCs w:val="21"/>
                <w:vertAlign w:val="superscript"/>
              </w:rPr>
              <w:t>3</w:t>
            </w:r>
            <w:r>
              <w:rPr>
                <w:szCs w:val="21"/>
              </w:rPr>
              <w:t>/h</w:t>
            </w:r>
          </w:p>
        </w:tc>
        <w:tc>
          <w:tcPr>
            <w:tcW w:w="2361" w:type="dxa"/>
            <w:vMerge w:val="continue"/>
            <w:vAlign w:val="center"/>
          </w:tcPr>
          <w:p>
            <w:pPr>
              <w:adjustRightInd w:val="0"/>
              <w:snapToGrid w:val="0"/>
              <w:jc w:val="center"/>
              <w:rPr>
                <w:szCs w:val="21"/>
              </w:rPr>
            </w:pPr>
          </w:p>
        </w:tc>
        <w:tc>
          <w:tcPr>
            <w:tcW w:w="1890" w:type="dxa"/>
            <w:vMerge w:val="continue"/>
            <w:vAlign w:val="center"/>
          </w:tcPr>
          <w:p>
            <w:pPr>
              <w:adjustRightInd w:val="0"/>
              <w:snapToGrid w:val="0"/>
              <w:jc w:val="center"/>
              <w:rPr>
                <w:szCs w:val="21"/>
              </w:rPr>
            </w:pPr>
          </w:p>
        </w:tc>
      </w:tr>
      <w:tr>
        <w:tblPrEx>
          <w:tblLayout w:type="fixed"/>
          <w:tblCellMar>
            <w:top w:w="0" w:type="dxa"/>
            <w:left w:w="0" w:type="dxa"/>
            <w:bottom w:w="0" w:type="dxa"/>
            <w:right w:w="0" w:type="dxa"/>
          </w:tblCellMar>
        </w:tblPrEx>
        <w:tc>
          <w:tcPr>
            <w:tcW w:w="661" w:type="dxa"/>
            <w:vAlign w:val="center"/>
          </w:tcPr>
          <w:p>
            <w:pPr>
              <w:adjustRightInd w:val="0"/>
              <w:snapToGrid w:val="0"/>
              <w:jc w:val="center"/>
              <w:rPr>
                <w:szCs w:val="21"/>
              </w:rPr>
            </w:pPr>
            <w:r>
              <w:rPr>
                <w:szCs w:val="21"/>
              </w:rPr>
              <w:t>噪声</w:t>
            </w:r>
          </w:p>
        </w:tc>
        <w:tc>
          <w:tcPr>
            <w:tcW w:w="1330" w:type="dxa"/>
            <w:vAlign w:val="center"/>
          </w:tcPr>
          <w:p>
            <w:pPr>
              <w:adjustRightInd w:val="0"/>
              <w:snapToGrid w:val="0"/>
              <w:jc w:val="center"/>
              <w:rPr>
                <w:szCs w:val="21"/>
              </w:rPr>
            </w:pPr>
            <w:r>
              <w:rPr>
                <w:szCs w:val="21"/>
              </w:rPr>
              <w:t>高噪声设备</w:t>
            </w:r>
          </w:p>
        </w:tc>
        <w:tc>
          <w:tcPr>
            <w:tcW w:w="2070" w:type="dxa"/>
            <w:vAlign w:val="center"/>
          </w:tcPr>
          <w:p>
            <w:pPr>
              <w:adjustRightInd w:val="0"/>
              <w:snapToGrid w:val="0"/>
              <w:jc w:val="center"/>
              <w:rPr>
                <w:szCs w:val="21"/>
              </w:rPr>
            </w:pPr>
            <w:r>
              <w:rPr>
                <w:szCs w:val="21"/>
              </w:rPr>
              <w:t>70～90dB (A)</w:t>
            </w:r>
          </w:p>
        </w:tc>
        <w:tc>
          <w:tcPr>
            <w:tcW w:w="2361" w:type="dxa"/>
            <w:vAlign w:val="center"/>
          </w:tcPr>
          <w:p>
            <w:pPr>
              <w:adjustRightInd w:val="0"/>
              <w:snapToGrid w:val="0"/>
              <w:jc w:val="center"/>
              <w:rPr>
                <w:szCs w:val="21"/>
              </w:rPr>
            </w:pPr>
            <w:r>
              <w:rPr>
                <w:szCs w:val="21"/>
              </w:rPr>
              <w:t>噪声</w:t>
            </w:r>
          </w:p>
        </w:tc>
        <w:tc>
          <w:tcPr>
            <w:tcW w:w="1890" w:type="dxa"/>
            <w:vAlign w:val="center"/>
          </w:tcPr>
          <w:p>
            <w:pPr>
              <w:adjustRightInd w:val="0"/>
              <w:snapToGrid w:val="0"/>
              <w:jc w:val="center"/>
              <w:rPr>
                <w:szCs w:val="21"/>
              </w:rPr>
            </w:pPr>
            <w:r>
              <w:rPr>
                <w:szCs w:val="21"/>
              </w:rPr>
              <w:t>环境</w:t>
            </w:r>
          </w:p>
        </w:tc>
      </w:tr>
      <w:tr>
        <w:tblPrEx>
          <w:tblLayout w:type="fixed"/>
          <w:tblCellMar>
            <w:top w:w="0" w:type="dxa"/>
            <w:left w:w="0" w:type="dxa"/>
            <w:bottom w:w="0" w:type="dxa"/>
            <w:right w:w="0" w:type="dxa"/>
          </w:tblCellMar>
        </w:tblPrEx>
        <w:tc>
          <w:tcPr>
            <w:tcW w:w="661" w:type="dxa"/>
            <w:vMerge w:val="restart"/>
            <w:vAlign w:val="center"/>
          </w:tcPr>
          <w:p>
            <w:pPr>
              <w:adjustRightInd w:val="0"/>
              <w:snapToGrid w:val="0"/>
              <w:jc w:val="center"/>
              <w:rPr>
                <w:szCs w:val="21"/>
              </w:rPr>
            </w:pPr>
            <w:r>
              <w:rPr>
                <w:szCs w:val="21"/>
              </w:rPr>
              <w:t>固废</w:t>
            </w:r>
          </w:p>
        </w:tc>
        <w:tc>
          <w:tcPr>
            <w:tcW w:w="1330" w:type="dxa"/>
            <w:vMerge w:val="restart"/>
            <w:vAlign w:val="center"/>
          </w:tcPr>
          <w:p>
            <w:pPr>
              <w:adjustRightInd w:val="0"/>
              <w:snapToGrid w:val="0"/>
              <w:jc w:val="center"/>
              <w:rPr>
                <w:szCs w:val="21"/>
              </w:rPr>
            </w:pPr>
            <w:r>
              <w:rPr>
                <w:szCs w:val="21"/>
              </w:rPr>
              <w:t>尾矿渣、生活垃圾</w:t>
            </w:r>
          </w:p>
        </w:tc>
        <w:tc>
          <w:tcPr>
            <w:tcW w:w="2070" w:type="dxa"/>
            <w:vAlign w:val="center"/>
          </w:tcPr>
          <w:p>
            <w:pPr>
              <w:adjustRightInd w:val="0"/>
              <w:snapToGrid w:val="0"/>
              <w:jc w:val="center"/>
              <w:rPr>
                <w:szCs w:val="21"/>
              </w:rPr>
            </w:pPr>
            <w:r>
              <w:rPr>
                <w:spacing w:val="2"/>
                <w:szCs w:val="21"/>
              </w:rPr>
              <w:t>尾矿渣7.65万t/a</w:t>
            </w:r>
          </w:p>
        </w:tc>
        <w:tc>
          <w:tcPr>
            <w:tcW w:w="2361" w:type="dxa"/>
            <w:vAlign w:val="center"/>
          </w:tcPr>
          <w:p>
            <w:pPr>
              <w:adjustRightInd w:val="0"/>
              <w:snapToGrid w:val="0"/>
              <w:jc w:val="center"/>
              <w:rPr>
                <w:szCs w:val="21"/>
              </w:rPr>
            </w:pPr>
            <w:r>
              <w:rPr>
                <w:szCs w:val="21"/>
              </w:rPr>
              <w:t>尾矿渣</w:t>
            </w:r>
          </w:p>
        </w:tc>
        <w:tc>
          <w:tcPr>
            <w:tcW w:w="1890" w:type="dxa"/>
            <w:vAlign w:val="center"/>
          </w:tcPr>
          <w:p>
            <w:pPr>
              <w:adjustRightInd w:val="0"/>
              <w:snapToGrid w:val="0"/>
              <w:jc w:val="center"/>
              <w:rPr>
                <w:szCs w:val="21"/>
              </w:rPr>
            </w:pPr>
            <w:r>
              <w:rPr>
                <w:szCs w:val="21"/>
              </w:rPr>
              <w:t>尾矿库</w:t>
            </w:r>
          </w:p>
        </w:tc>
      </w:tr>
      <w:tr>
        <w:tblPrEx>
          <w:tblLayout w:type="fixed"/>
          <w:tblCellMar>
            <w:top w:w="0" w:type="dxa"/>
            <w:left w:w="0" w:type="dxa"/>
            <w:bottom w:w="0" w:type="dxa"/>
            <w:right w:w="0" w:type="dxa"/>
          </w:tblCellMar>
        </w:tblPrEx>
        <w:tc>
          <w:tcPr>
            <w:tcW w:w="661" w:type="dxa"/>
            <w:vMerge w:val="continue"/>
            <w:vAlign w:val="center"/>
          </w:tcPr>
          <w:p>
            <w:pPr>
              <w:adjustRightInd w:val="0"/>
              <w:snapToGrid w:val="0"/>
              <w:jc w:val="center"/>
              <w:rPr>
                <w:szCs w:val="21"/>
              </w:rPr>
            </w:pPr>
          </w:p>
        </w:tc>
        <w:tc>
          <w:tcPr>
            <w:tcW w:w="1330" w:type="dxa"/>
            <w:vMerge w:val="continue"/>
            <w:vAlign w:val="center"/>
          </w:tcPr>
          <w:p>
            <w:pPr>
              <w:adjustRightInd w:val="0"/>
              <w:snapToGrid w:val="0"/>
              <w:jc w:val="center"/>
              <w:rPr>
                <w:szCs w:val="21"/>
              </w:rPr>
            </w:pPr>
          </w:p>
        </w:tc>
        <w:tc>
          <w:tcPr>
            <w:tcW w:w="2070" w:type="dxa"/>
            <w:vAlign w:val="center"/>
          </w:tcPr>
          <w:p>
            <w:pPr>
              <w:adjustRightInd w:val="0"/>
              <w:snapToGrid w:val="0"/>
              <w:jc w:val="center"/>
              <w:rPr>
                <w:spacing w:val="2"/>
                <w:szCs w:val="21"/>
              </w:rPr>
            </w:pPr>
            <w:r>
              <w:rPr>
                <w:spacing w:val="2"/>
                <w:szCs w:val="21"/>
              </w:rPr>
              <w:t>生活垃圾为3.75t/a</w:t>
            </w:r>
          </w:p>
        </w:tc>
        <w:tc>
          <w:tcPr>
            <w:tcW w:w="2361" w:type="dxa"/>
            <w:vAlign w:val="center"/>
          </w:tcPr>
          <w:p>
            <w:pPr>
              <w:adjustRightInd w:val="0"/>
              <w:snapToGrid w:val="0"/>
              <w:jc w:val="center"/>
              <w:rPr>
                <w:szCs w:val="21"/>
              </w:rPr>
            </w:pPr>
            <w:r>
              <w:rPr>
                <w:szCs w:val="21"/>
              </w:rPr>
              <w:t>生活垃圾</w:t>
            </w:r>
          </w:p>
        </w:tc>
        <w:tc>
          <w:tcPr>
            <w:tcW w:w="1890" w:type="dxa"/>
            <w:vAlign w:val="center"/>
          </w:tcPr>
          <w:p>
            <w:pPr>
              <w:adjustRightInd w:val="0"/>
              <w:snapToGrid w:val="0"/>
              <w:jc w:val="center"/>
              <w:rPr>
                <w:szCs w:val="21"/>
              </w:rPr>
            </w:pPr>
            <w:r>
              <w:rPr>
                <w:szCs w:val="21"/>
              </w:rPr>
              <w:t>朱阳镇垃圾中转场</w:t>
            </w:r>
          </w:p>
        </w:tc>
      </w:tr>
    </w:tbl>
    <w:p>
      <w:pPr>
        <w:pStyle w:val="74"/>
      </w:pPr>
      <w:bookmarkStart w:id="524" w:name="_Toc470358692"/>
      <w:r>
        <w:t>5.1.3项目污染物排放情况</w:t>
      </w:r>
    </w:p>
    <w:p>
      <w:pPr>
        <w:pStyle w:val="88"/>
        <w:spacing w:line="360" w:lineRule="auto"/>
      </w:pPr>
      <w:r>
        <w:t xml:space="preserve">    （1）扩建项目污染物排放统计</w:t>
      </w:r>
    </w:p>
    <w:p>
      <w:pPr>
        <w:pStyle w:val="88"/>
        <w:spacing w:line="360" w:lineRule="auto"/>
      </w:pPr>
      <w:r>
        <w:t xml:space="preserve">    扩建项目污染污染物产排及变化情况见表5.1-3。</w:t>
      </w:r>
    </w:p>
    <w:p>
      <w:pPr>
        <w:spacing w:beforeLines="50"/>
        <w:jc w:val="left"/>
        <w:rPr>
          <w:rFonts w:eastAsia="黑体"/>
          <w:sz w:val="22"/>
          <w:szCs w:val="22"/>
        </w:rPr>
      </w:pPr>
      <w:r>
        <w:rPr>
          <w:b/>
          <w:szCs w:val="20"/>
        </w:rPr>
        <w:t xml:space="preserve">    </w:t>
      </w:r>
      <w:r>
        <w:rPr>
          <w:rFonts w:eastAsia="黑体"/>
          <w:sz w:val="22"/>
          <w:szCs w:val="22"/>
        </w:rPr>
        <w:t>表5.1-3             扩建项目污染产排及变化情况          单位:t/a</w:t>
      </w:r>
    </w:p>
    <w:tbl>
      <w:tblPr>
        <w:tblStyle w:val="54"/>
        <w:tblW w:w="8755"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483"/>
        <w:gridCol w:w="1326"/>
        <w:gridCol w:w="1417"/>
        <w:gridCol w:w="1276"/>
        <w:gridCol w:w="1417"/>
        <w:gridCol w:w="1418"/>
        <w:gridCol w:w="99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50" w:hRule="atLeast"/>
          <w:tblHeader/>
        </w:trPr>
        <w:tc>
          <w:tcPr>
            <w:tcW w:w="426" w:type="dxa"/>
            <w:vMerge w:val="restart"/>
            <w:tcBorders>
              <w:top w:val="single" w:color="auto" w:sz="12" w:space="0"/>
              <w:lef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序号</w:t>
            </w:r>
          </w:p>
        </w:tc>
        <w:tc>
          <w:tcPr>
            <w:tcW w:w="483" w:type="dxa"/>
            <w:vMerge w:val="restart"/>
            <w:tcBorders>
              <w:top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污染源</w:t>
            </w:r>
          </w:p>
        </w:tc>
        <w:tc>
          <w:tcPr>
            <w:tcW w:w="1326" w:type="dxa"/>
            <w:vMerge w:val="restart"/>
            <w:tcBorders>
              <w:top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污染物</w:t>
            </w:r>
          </w:p>
        </w:tc>
        <w:tc>
          <w:tcPr>
            <w:tcW w:w="2693" w:type="dxa"/>
            <w:gridSpan w:val="2"/>
            <w:tcBorders>
              <w:top w:val="single" w:color="auto" w:sz="12" w:space="0"/>
              <w:bottom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环评预测</w:t>
            </w:r>
          </w:p>
        </w:tc>
        <w:tc>
          <w:tcPr>
            <w:tcW w:w="2835" w:type="dxa"/>
            <w:gridSpan w:val="2"/>
            <w:tcBorders>
              <w:top w:val="single" w:color="auto" w:sz="12" w:space="0"/>
              <w:left w:val="single" w:color="auto" w:sz="6" w:space="0"/>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验收实测（调查）</w:t>
            </w:r>
          </w:p>
        </w:tc>
        <w:tc>
          <w:tcPr>
            <w:tcW w:w="992" w:type="dxa"/>
            <w:vMerge w:val="restart"/>
            <w:tcBorders>
              <w:top w:val="single" w:color="auto" w:sz="12" w:space="0"/>
              <w:left w:val="single" w:color="auto" w:sz="6" w:space="0"/>
              <w:right w:val="single" w:color="auto" w:sz="12" w:space="0"/>
            </w:tcBorders>
            <w:vAlign w:val="center"/>
          </w:tcPr>
          <w:p>
            <w:pPr>
              <w:pStyle w:val="26"/>
              <w:adjustRightInd w:val="0"/>
              <w:snapToGrid w:val="0"/>
              <w:jc w:val="center"/>
              <w:rPr>
                <w:rFonts w:ascii="Times New Roman" w:hAnsi="Times New Roman"/>
                <w:b/>
                <w:spacing w:val="2"/>
                <w:szCs w:val="21"/>
              </w:rPr>
            </w:pPr>
            <w:r>
              <w:rPr>
                <w:rFonts w:ascii="Times New Roman" w:hAnsi="Times New Roman"/>
                <w:szCs w:val="21"/>
              </w:rPr>
              <w:t>排放增（+）减（-）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3" w:hRule="atLeast"/>
          <w:tblHeader/>
        </w:trPr>
        <w:tc>
          <w:tcPr>
            <w:tcW w:w="426" w:type="dxa"/>
            <w:vMerge w:val="continue"/>
            <w:tcBorders>
              <w:left w:val="single" w:color="auto" w:sz="12" w:space="0"/>
            </w:tcBorders>
            <w:vAlign w:val="center"/>
          </w:tcPr>
          <w:p>
            <w:pPr>
              <w:pStyle w:val="26"/>
              <w:adjustRightInd w:val="0"/>
              <w:snapToGrid w:val="0"/>
              <w:jc w:val="center"/>
              <w:rPr>
                <w:rFonts w:ascii="Times New Roman" w:hAnsi="Times New Roman"/>
                <w:spacing w:val="2"/>
                <w:szCs w:val="21"/>
              </w:rPr>
            </w:pPr>
          </w:p>
        </w:tc>
        <w:tc>
          <w:tcPr>
            <w:tcW w:w="483" w:type="dxa"/>
            <w:vMerge w:val="continue"/>
            <w:vAlign w:val="center"/>
          </w:tcPr>
          <w:p>
            <w:pPr>
              <w:pStyle w:val="26"/>
              <w:adjustRightInd w:val="0"/>
              <w:snapToGrid w:val="0"/>
              <w:jc w:val="center"/>
              <w:rPr>
                <w:rFonts w:ascii="Times New Roman" w:hAnsi="Times New Roman"/>
                <w:spacing w:val="2"/>
                <w:szCs w:val="21"/>
              </w:rPr>
            </w:pPr>
          </w:p>
        </w:tc>
        <w:tc>
          <w:tcPr>
            <w:tcW w:w="1326" w:type="dxa"/>
            <w:vMerge w:val="continue"/>
            <w:vAlign w:val="center"/>
          </w:tcPr>
          <w:p>
            <w:pPr>
              <w:pStyle w:val="26"/>
              <w:adjustRightInd w:val="0"/>
              <w:snapToGrid w:val="0"/>
              <w:jc w:val="center"/>
              <w:rPr>
                <w:rFonts w:ascii="Times New Roman" w:hAnsi="Times New Roman"/>
                <w:spacing w:val="2"/>
                <w:szCs w:val="21"/>
              </w:rPr>
            </w:pPr>
          </w:p>
        </w:tc>
        <w:tc>
          <w:tcPr>
            <w:tcW w:w="1417" w:type="dxa"/>
            <w:tcBorders>
              <w:top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产生量</w:t>
            </w:r>
          </w:p>
        </w:tc>
        <w:tc>
          <w:tcPr>
            <w:tcW w:w="1276" w:type="dxa"/>
            <w:tcBorders>
              <w:top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排放量</w:t>
            </w:r>
          </w:p>
        </w:tc>
        <w:tc>
          <w:tcPr>
            <w:tcW w:w="1417" w:type="dxa"/>
            <w:tcBorders>
              <w:top w:val="single" w:color="auto" w:sz="6" w:space="0"/>
              <w:left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产生量</w:t>
            </w:r>
          </w:p>
        </w:tc>
        <w:tc>
          <w:tcPr>
            <w:tcW w:w="1418" w:type="dxa"/>
            <w:tcBorders>
              <w:top w:val="single" w:color="auto" w:sz="6" w:space="0"/>
              <w:lef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排放量</w:t>
            </w:r>
          </w:p>
        </w:tc>
        <w:tc>
          <w:tcPr>
            <w:tcW w:w="992" w:type="dxa"/>
            <w:vMerge w:val="continue"/>
            <w:tcBorders>
              <w:left w:val="single" w:color="auto" w:sz="6" w:space="0"/>
              <w:right w:val="single" w:color="auto" w:sz="12" w:space="0"/>
            </w:tcBorders>
            <w:vAlign w:val="center"/>
          </w:tcPr>
          <w:p>
            <w:pPr>
              <w:pStyle w:val="26"/>
              <w:adjustRightInd w:val="0"/>
              <w:snapToGrid w:val="0"/>
              <w:jc w:val="center"/>
              <w:rPr>
                <w:rFonts w:ascii="Times New Roman" w:hAnsi="Times New Roman"/>
                <w:b/>
                <w:spacing w:val="2"/>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426" w:type="dxa"/>
            <w:vMerge w:val="restart"/>
            <w:tcBorders>
              <w:left w:val="single" w:color="auto" w:sz="12" w:space="0"/>
            </w:tcBorders>
            <w:vAlign w:val="center"/>
          </w:tcPr>
          <w:p>
            <w:pPr>
              <w:pStyle w:val="26"/>
              <w:adjustRightInd w:val="0"/>
              <w:snapToGrid w:val="0"/>
              <w:jc w:val="center"/>
              <w:rPr>
                <w:rFonts w:ascii="Times New Roman" w:hAnsi="Times New Roman"/>
                <w:b/>
                <w:spacing w:val="2"/>
                <w:szCs w:val="21"/>
              </w:rPr>
            </w:pPr>
            <w:r>
              <w:rPr>
                <w:rFonts w:ascii="Times New Roman" w:hAnsi="Times New Roman"/>
                <w:spacing w:val="2"/>
                <w:szCs w:val="21"/>
              </w:rPr>
              <w:t>1</w:t>
            </w:r>
          </w:p>
        </w:tc>
        <w:tc>
          <w:tcPr>
            <w:tcW w:w="483" w:type="dxa"/>
            <w:vMerge w:val="restart"/>
            <w:vAlign w:val="center"/>
          </w:tcPr>
          <w:p>
            <w:pPr>
              <w:pStyle w:val="26"/>
              <w:adjustRightInd w:val="0"/>
              <w:snapToGrid w:val="0"/>
              <w:jc w:val="center"/>
              <w:rPr>
                <w:rFonts w:ascii="Times New Roman" w:hAnsi="Times New Roman"/>
                <w:b/>
                <w:spacing w:val="2"/>
                <w:szCs w:val="21"/>
              </w:rPr>
            </w:pPr>
            <w:r>
              <w:rPr>
                <w:rFonts w:ascii="Times New Roman" w:hAnsi="Times New Roman"/>
                <w:spacing w:val="2"/>
                <w:szCs w:val="21"/>
              </w:rPr>
              <w:t>废气</w:t>
            </w:r>
          </w:p>
        </w:tc>
        <w:tc>
          <w:tcPr>
            <w:tcW w:w="1326" w:type="dxa"/>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选厂：有组织废气量</w:t>
            </w:r>
          </w:p>
        </w:tc>
        <w:tc>
          <w:tcPr>
            <w:tcW w:w="1417" w:type="dxa"/>
            <w:vAlign w:val="center"/>
          </w:tcPr>
          <w:p>
            <w:pPr>
              <w:pStyle w:val="26"/>
              <w:adjustRightInd w:val="0"/>
              <w:snapToGrid w:val="0"/>
              <w:jc w:val="center"/>
              <w:rPr>
                <w:rFonts w:ascii="Times New Roman" w:hAnsi="Times New Roman"/>
                <w:b/>
                <w:spacing w:val="2"/>
                <w:szCs w:val="21"/>
              </w:rPr>
            </w:pPr>
            <w:r>
              <w:rPr>
                <w:rFonts w:ascii="Times New Roman" w:hAnsi="Times New Roman"/>
                <w:spacing w:val="2"/>
                <w:szCs w:val="21"/>
              </w:rPr>
              <w:t>3840</w:t>
            </w:r>
            <w:r>
              <w:rPr>
                <w:rFonts w:ascii="Times New Roman" w:hAnsi="Times New Roman"/>
                <w:spacing w:val="-12"/>
                <w:szCs w:val="21"/>
              </w:rPr>
              <w:t>万m</w:t>
            </w:r>
            <w:r>
              <w:rPr>
                <w:rFonts w:ascii="Times New Roman" w:hAnsi="Times New Roman"/>
                <w:spacing w:val="-12"/>
                <w:szCs w:val="21"/>
                <w:vertAlign w:val="superscript"/>
              </w:rPr>
              <w:t>3</w:t>
            </w:r>
            <w:r>
              <w:rPr>
                <w:rFonts w:ascii="Times New Roman" w:hAnsi="Times New Roman"/>
                <w:spacing w:val="-12"/>
                <w:szCs w:val="21"/>
              </w:rPr>
              <w:t>/a</w:t>
            </w:r>
          </w:p>
        </w:tc>
        <w:tc>
          <w:tcPr>
            <w:tcW w:w="1276" w:type="dxa"/>
            <w:tcBorders>
              <w:right w:val="single" w:color="auto" w:sz="6" w:space="0"/>
            </w:tcBorders>
            <w:vAlign w:val="center"/>
          </w:tcPr>
          <w:p>
            <w:pPr>
              <w:pStyle w:val="26"/>
              <w:adjustRightInd w:val="0"/>
              <w:snapToGrid w:val="0"/>
              <w:jc w:val="center"/>
              <w:rPr>
                <w:rFonts w:ascii="Times New Roman" w:hAnsi="Times New Roman"/>
                <w:b/>
                <w:spacing w:val="2"/>
                <w:szCs w:val="21"/>
              </w:rPr>
            </w:pPr>
            <w:r>
              <w:rPr>
                <w:rFonts w:ascii="Times New Roman" w:hAnsi="Times New Roman"/>
                <w:spacing w:val="2"/>
                <w:szCs w:val="21"/>
              </w:rPr>
              <w:t>3840</w:t>
            </w:r>
            <w:r>
              <w:rPr>
                <w:rFonts w:ascii="Times New Roman" w:hAnsi="Times New Roman"/>
                <w:spacing w:val="-12"/>
                <w:szCs w:val="21"/>
              </w:rPr>
              <w:t>万m</w:t>
            </w:r>
            <w:r>
              <w:rPr>
                <w:rFonts w:ascii="Times New Roman" w:hAnsi="Times New Roman"/>
                <w:spacing w:val="-12"/>
                <w:szCs w:val="21"/>
                <w:vertAlign w:val="superscript"/>
              </w:rPr>
              <w:t>3</w:t>
            </w:r>
            <w:r>
              <w:rPr>
                <w:rFonts w:ascii="Times New Roman" w:hAnsi="Times New Roman"/>
                <w:spacing w:val="-12"/>
                <w:szCs w:val="21"/>
              </w:rPr>
              <w:t>/a</w:t>
            </w:r>
          </w:p>
        </w:tc>
        <w:tc>
          <w:tcPr>
            <w:tcW w:w="1417" w:type="dxa"/>
            <w:tcBorders>
              <w:left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1034.1</w:t>
            </w:r>
            <w:r>
              <w:rPr>
                <w:rFonts w:ascii="Times New Roman" w:hAnsi="Times New Roman"/>
                <w:spacing w:val="-12"/>
                <w:szCs w:val="21"/>
              </w:rPr>
              <w:t>万m</w:t>
            </w:r>
            <w:r>
              <w:rPr>
                <w:rFonts w:ascii="Times New Roman" w:hAnsi="Times New Roman"/>
                <w:spacing w:val="-12"/>
                <w:szCs w:val="21"/>
                <w:vertAlign w:val="superscript"/>
              </w:rPr>
              <w:t>3</w:t>
            </w:r>
            <w:r>
              <w:rPr>
                <w:rFonts w:ascii="Times New Roman" w:hAnsi="Times New Roman"/>
                <w:spacing w:val="-12"/>
                <w:szCs w:val="21"/>
              </w:rPr>
              <w:t>/a</w:t>
            </w:r>
          </w:p>
        </w:tc>
        <w:tc>
          <w:tcPr>
            <w:tcW w:w="1418" w:type="dxa"/>
            <w:tcBorders>
              <w:lef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1101.6</w:t>
            </w:r>
            <w:r>
              <w:rPr>
                <w:rFonts w:ascii="Times New Roman" w:hAnsi="Times New Roman"/>
                <w:spacing w:val="-12"/>
                <w:szCs w:val="21"/>
              </w:rPr>
              <w:t>万m</w:t>
            </w:r>
            <w:r>
              <w:rPr>
                <w:rFonts w:ascii="Times New Roman" w:hAnsi="Times New Roman"/>
                <w:spacing w:val="-12"/>
                <w:szCs w:val="21"/>
                <w:vertAlign w:val="superscript"/>
              </w:rPr>
              <w:t>3</w:t>
            </w:r>
            <w:r>
              <w:rPr>
                <w:rFonts w:ascii="Times New Roman" w:hAnsi="Times New Roman"/>
                <w:spacing w:val="-12"/>
                <w:szCs w:val="21"/>
              </w:rPr>
              <w:t>/a</w:t>
            </w:r>
          </w:p>
        </w:tc>
        <w:tc>
          <w:tcPr>
            <w:tcW w:w="992" w:type="dxa"/>
            <w:tcBorders>
              <w:left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426" w:type="dxa"/>
            <w:vMerge w:val="continue"/>
            <w:tcBorders>
              <w:left w:val="single" w:color="auto" w:sz="12" w:space="0"/>
              <w:bottom w:val="single" w:color="auto" w:sz="4" w:space="0"/>
            </w:tcBorders>
            <w:vAlign w:val="center"/>
          </w:tcPr>
          <w:p>
            <w:pPr>
              <w:pStyle w:val="26"/>
              <w:adjustRightInd w:val="0"/>
              <w:snapToGrid w:val="0"/>
              <w:jc w:val="center"/>
              <w:rPr>
                <w:rFonts w:ascii="Times New Roman" w:hAnsi="Times New Roman"/>
                <w:spacing w:val="2"/>
                <w:szCs w:val="21"/>
              </w:rPr>
            </w:pPr>
          </w:p>
        </w:tc>
        <w:tc>
          <w:tcPr>
            <w:tcW w:w="483" w:type="dxa"/>
            <w:vMerge w:val="continue"/>
            <w:tcBorders>
              <w:bottom w:val="single" w:color="auto" w:sz="4" w:space="0"/>
            </w:tcBorders>
            <w:vAlign w:val="center"/>
          </w:tcPr>
          <w:p>
            <w:pPr>
              <w:pStyle w:val="26"/>
              <w:adjustRightInd w:val="0"/>
              <w:snapToGrid w:val="0"/>
              <w:jc w:val="center"/>
              <w:rPr>
                <w:rFonts w:ascii="Times New Roman" w:hAnsi="Times New Roman"/>
                <w:spacing w:val="2"/>
                <w:szCs w:val="21"/>
              </w:rPr>
            </w:pPr>
          </w:p>
        </w:tc>
        <w:tc>
          <w:tcPr>
            <w:tcW w:w="1326" w:type="dxa"/>
            <w:tcBorders>
              <w:bottom w:val="single" w:color="auto" w:sz="4"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选厂：有组织粉尘量</w:t>
            </w:r>
          </w:p>
        </w:tc>
        <w:tc>
          <w:tcPr>
            <w:tcW w:w="1417" w:type="dxa"/>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250.8t/a</w:t>
            </w:r>
          </w:p>
        </w:tc>
        <w:tc>
          <w:tcPr>
            <w:tcW w:w="1276" w:type="dxa"/>
            <w:tcBorders>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5.016t/a</w:t>
            </w:r>
          </w:p>
        </w:tc>
        <w:tc>
          <w:tcPr>
            <w:tcW w:w="1417" w:type="dxa"/>
            <w:tcBorders>
              <w:left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8.58 t/a</w:t>
            </w:r>
          </w:p>
        </w:tc>
        <w:tc>
          <w:tcPr>
            <w:tcW w:w="1418" w:type="dxa"/>
            <w:tcBorders>
              <w:lef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0.168 t/a</w:t>
            </w:r>
          </w:p>
        </w:tc>
        <w:tc>
          <w:tcPr>
            <w:tcW w:w="992" w:type="dxa"/>
            <w:tcBorders>
              <w:left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-4.848 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614" w:hRule="atLeast"/>
        </w:trPr>
        <w:tc>
          <w:tcPr>
            <w:tcW w:w="426" w:type="dxa"/>
            <w:tcBorders>
              <w:top w:val="single" w:color="auto" w:sz="4" w:space="0"/>
              <w:lef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2</w:t>
            </w:r>
          </w:p>
        </w:tc>
        <w:tc>
          <w:tcPr>
            <w:tcW w:w="483" w:type="dxa"/>
            <w:tcBorders>
              <w:top w:val="single" w:color="auto" w:sz="4"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生产废水</w:t>
            </w:r>
          </w:p>
        </w:tc>
        <w:tc>
          <w:tcPr>
            <w:tcW w:w="1326" w:type="dxa"/>
            <w:tcBorders>
              <w:top w:val="single" w:color="auto" w:sz="4"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选厂：生产废水量</w:t>
            </w:r>
          </w:p>
        </w:tc>
        <w:tc>
          <w:tcPr>
            <w:tcW w:w="1417" w:type="dxa"/>
            <w:tcBorders>
              <w:top w:val="single" w:color="auto" w:sz="6" w:space="0"/>
            </w:tcBorders>
            <w:vAlign w:val="center"/>
          </w:tcPr>
          <w:p>
            <w:pPr>
              <w:pStyle w:val="26"/>
              <w:adjustRightInd w:val="0"/>
              <w:snapToGrid w:val="0"/>
              <w:jc w:val="center"/>
              <w:rPr>
                <w:rFonts w:ascii="Times New Roman" w:hAnsi="Times New Roman"/>
                <w:spacing w:val="-12"/>
                <w:szCs w:val="21"/>
              </w:rPr>
            </w:pPr>
            <w:r>
              <w:rPr>
                <w:rFonts w:ascii="Times New Roman" w:hAnsi="Times New Roman"/>
                <w:spacing w:val="-12"/>
                <w:szCs w:val="21"/>
              </w:rPr>
              <w:t>77.36×10</w:t>
            </w:r>
            <w:r>
              <w:rPr>
                <w:rFonts w:ascii="Times New Roman" w:hAnsi="Times New Roman"/>
                <w:spacing w:val="-12"/>
                <w:szCs w:val="21"/>
                <w:vertAlign w:val="superscript"/>
              </w:rPr>
              <w:t>4</w:t>
            </w:r>
            <w:r>
              <w:rPr>
                <w:rFonts w:ascii="Times New Roman" w:hAnsi="Times New Roman"/>
                <w:spacing w:val="-12"/>
                <w:szCs w:val="21"/>
              </w:rPr>
              <w:t>m</w:t>
            </w:r>
            <w:r>
              <w:rPr>
                <w:rFonts w:ascii="Times New Roman" w:hAnsi="Times New Roman"/>
                <w:spacing w:val="-12"/>
                <w:szCs w:val="21"/>
                <w:vertAlign w:val="superscript"/>
              </w:rPr>
              <w:t>3</w:t>
            </w:r>
            <w:r>
              <w:rPr>
                <w:rFonts w:ascii="Times New Roman" w:hAnsi="Times New Roman"/>
                <w:spacing w:val="-12"/>
                <w:szCs w:val="21"/>
              </w:rPr>
              <w:t>/a</w:t>
            </w:r>
          </w:p>
        </w:tc>
        <w:tc>
          <w:tcPr>
            <w:tcW w:w="1276" w:type="dxa"/>
            <w:tcBorders>
              <w:top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12"/>
                <w:szCs w:val="21"/>
              </w:rPr>
              <w:t>0</w:t>
            </w:r>
          </w:p>
        </w:tc>
        <w:tc>
          <w:tcPr>
            <w:tcW w:w="1417" w:type="dxa"/>
            <w:tcBorders>
              <w:top w:val="single" w:color="auto" w:sz="6" w:space="0"/>
              <w:left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38.68</w:t>
            </w:r>
            <w:r>
              <w:rPr>
                <w:rFonts w:ascii="Times New Roman" w:hAnsi="Times New Roman"/>
                <w:spacing w:val="-12"/>
                <w:szCs w:val="21"/>
              </w:rPr>
              <w:t xml:space="preserve"> m</w:t>
            </w:r>
            <w:r>
              <w:rPr>
                <w:rFonts w:ascii="Times New Roman" w:hAnsi="Times New Roman"/>
                <w:spacing w:val="-12"/>
                <w:szCs w:val="21"/>
                <w:vertAlign w:val="superscript"/>
              </w:rPr>
              <w:t>3</w:t>
            </w:r>
            <w:r>
              <w:rPr>
                <w:rFonts w:ascii="Times New Roman" w:hAnsi="Times New Roman"/>
                <w:spacing w:val="-12"/>
                <w:szCs w:val="21"/>
              </w:rPr>
              <w:t>/a</w:t>
            </w:r>
          </w:p>
        </w:tc>
        <w:tc>
          <w:tcPr>
            <w:tcW w:w="1418" w:type="dxa"/>
            <w:tcBorders>
              <w:top w:val="single" w:color="auto" w:sz="6" w:space="0"/>
              <w:lef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12"/>
                <w:szCs w:val="21"/>
              </w:rPr>
              <w:t>0</w:t>
            </w:r>
          </w:p>
        </w:tc>
        <w:tc>
          <w:tcPr>
            <w:tcW w:w="992" w:type="dxa"/>
            <w:tcBorders>
              <w:top w:val="single" w:color="auto" w:sz="6" w:space="0"/>
              <w:left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-38.68</w:t>
            </w:r>
            <w:r>
              <w:rPr>
                <w:rFonts w:ascii="Times New Roman" w:hAnsi="Times New Roman"/>
                <w:spacing w:val="-12"/>
                <w:szCs w:val="21"/>
              </w:rPr>
              <w:t xml:space="preserve"> m</w:t>
            </w:r>
            <w:r>
              <w:rPr>
                <w:rFonts w:ascii="Times New Roman" w:hAnsi="Times New Roman"/>
                <w:spacing w:val="-12"/>
                <w:szCs w:val="21"/>
                <w:vertAlign w:val="superscript"/>
              </w:rPr>
              <w:t>3</w:t>
            </w:r>
            <w:r>
              <w:rPr>
                <w:rFonts w:ascii="Times New Roman" w:hAnsi="Times New Roman"/>
                <w:spacing w:val="-12"/>
                <w:szCs w:val="21"/>
              </w:rPr>
              <w: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75" w:hRule="atLeast"/>
        </w:trPr>
        <w:tc>
          <w:tcPr>
            <w:tcW w:w="426" w:type="dxa"/>
            <w:vMerge w:val="restart"/>
            <w:tcBorders>
              <w:lef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3</w:t>
            </w:r>
          </w:p>
        </w:tc>
        <w:tc>
          <w:tcPr>
            <w:tcW w:w="483" w:type="dxa"/>
            <w:vMerge w:val="restart"/>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生活污水</w:t>
            </w:r>
          </w:p>
        </w:tc>
        <w:tc>
          <w:tcPr>
            <w:tcW w:w="1326" w:type="dxa"/>
            <w:tcBorders>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矿山：生活污水量</w:t>
            </w:r>
          </w:p>
        </w:tc>
        <w:tc>
          <w:tcPr>
            <w:tcW w:w="1417" w:type="dxa"/>
            <w:tcBorders>
              <w:bottom w:val="single" w:color="auto" w:sz="6" w:space="0"/>
            </w:tcBorders>
            <w:vAlign w:val="center"/>
          </w:tcPr>
          <w:p>
            <w:pPr>
              <w:pStyle w:val="26"/>
              <w:adjustRightInd w:val="0"/>
              <w:snapToGrid w:val="0"/>
              <w:jc w:val="center"/>
              <w:rPr>
                <w:rFonts w:ascii="Times New Roman" w:hAnsi="Times New Roman"/>
                <w:spacing w:val="-12"/>
                <w:szCs w:val="21"/>
              </w:rPr>
            </w:pPr>
            <w:r>
              <w:rPr>
                <w:rFonts w:ascii="Times New Roman" w:hAnsi="Times New Roman"/>
                <w:spacing w:val="-12"/>
                <w:szCs w:val="21"/>
              </w:rPr>
              <w:t>1350m</w:t>
            </w:r>
            <w:r>
              <w:rPr>
                <w:rFonts w:ascii="Times New Roman" w:hAnsi="Times New Roman"/>
                <w:spacing w:val="-12"/>
                <w:szCs w:val="21"/>
                <w:vertAlign w:val="superscript"/>
              </w:rPr>
              <w:t>3</w:t>
            </w:r>
            <w:r>
              <w:rPr>
                <w:rFonts w:ascii="Times New Roman" w:hAnsi="Times New Roman"/>
                <w:spacing w:val="-12"/>
                <w:szCs w:val="21"/>
              </w:rPr>
              <w:t>/a</w:t>
            </w:r>
          </w:p>
        </w:tc>
        <w:tc>
          <w:tcPr>
            <w:tcW w:w="1276" w:type="dxa"/>
            <w:tcBorders>
              <w:bottom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1417" w:type="dxa"/>
            <w:tcBorders>
              <w:left w:val="single" w:color="auto" w:sz="6" w:space="0"/>
              <w:bottom w:val="single" w:color="auto" w:sz="6" w:space="0"/>
              <w:right w:val="single" w:color="auto" w:sz="6" w:space="0"/>
            </w:tcBorders>
            <w:vAlign w:val="center"/>
          </w:tcPr>
          <w:p>
            <w:pPr>
              <w:pStyle w:val="26"/>
              <w:adjustRightInd w:val="0"/>
              <w:snapToGrid w:val="0"/>
              <w:jc w:val="center"/>
              <w:rPr>
                <w:rFonts w:ascii="Times New Roman" w:hAnsi="Times New Roman"/>
                <w:spacing w:val="-12"/>
                <w:szCs w:val="21"/>
              </w:rPr>
            </w:pPr>
            <w:r>
              <w:rPr>
                <w:rFonts w:ascii="Times New Roman" w:hAnsi="Times New Roman"/>
                <w:spacing w:val="-12"/>
                <w:szCs w:val="21"/>
              </w:rPr>
              <w:t>1350m</w:t>
            </w:r>
            <w:r>
              <w:rPr>
                <w:rFonts w:ascii="Times New Roman" w:hAnsi="Times New Roman"/>
                <w:spacing w:val="-12"/>
                <w:szCs w:val="21"/>
                <w:vertAlign w:val="superscript"/>
              </w:rPr>
              <w:t>3</w:t>
            </w:r>
            <w:r>
              <w:rPr>
                <w:rFonts w:ascii="Times New Roman" w:hAnsi="Times New Roman"/>
                <w:spacing w:val="-12"/>
                <w:szCs w:val="21"/>
              </w:rPr>
              <w:t>/a</w:t>
            </w:r>
          </w:p>
        </w:tc>
        <w:tc>
          <w:tcPr>
            <w:tcW w:w="1418" w:type="dxa"/>
            <w:tcBorders>
              <w:left w:val="single" w:color="auto" w:sz="6" w:space="0"/>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992" w:type="dxa"/>
            <w:tcBorders>
              <w:left w:val="single" w:color="auto" w:sz="6" w:space="0"/>
              <w:bottom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601" w:hRule="atLeast"/>
        </w:trPr>
        <w:tc>
          <w:tcPr>
            <w:tcW w:w="426" w:type="dxa"/>
            <w:vMerge w:val="continue"/>
            <w:tcBorders>
              <w:left w:val="single" w:color="auto" w:sz="12" w:space="0"/>
            </w:tcBorders>
            <w:vAlign w:val="center"/>
          </w:tcPr>
          <w:p>
            <w:pPr>
              <w:pStyle w:val="26"/>
              <w:adjustRightInd w:val="0"/>
              <w:snapToGrid w:val="0"/>
              <w:jc w:val="center"/>
              <w:rPr>
                <w:rFonts w:ascii="Times New Roman" w:hAnsi="Times New Roman"/>
                <w:spacing w:val="2"/>
                <w:szCs w:val="21"/>
              </w:rPr>
            </w:pPr>
          </w:p>
        </w:tc>
        <w:tc>
          <w:tcPr>
            <w:tcW w:w="483" w:type="dxa"/>
            <w:vMerge w:val="continue"/>
            <w:vAlign w:val="center"/>
          </w:tcPr>
          <w:p>
            <w:pPr>
              <w:pStyle w:val="26"/>
              <w:adjustRightInd w:val="0"/>
              <w:snapToGrid w:val="0"/>
              <w:jc w:val="center"/>
              <w:rPr>
                <w:rFonts w:ascii="Times New Roman" w:hAnsi="Times New Roman"/>
                <w:spacing w:val="2"/>
                <w:szCs w:val="21"/>
              </w:rPr>
            </w:pPr>
          </w:p>
        </w:tc>
        <w:tc>
          <w:tcPr>
            <w:tcW w:w="1326" w:type="dxa"/>
            <w:tcBorders>
              <w:top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选厂：生活污水量</w:t>
            </w:r>
          </w:p>
        </w:tc>
        <w:tc>
          <w:tcPr>
            <w:tcW w:w="1417" w:type="dxa"/>
            <w:tcBorders>
              <w:top w:val="single" w:color="auto" w:sz="6" w:space="0"/>
            </w:tcBorders>
            <w:vAlign w:val="center"/>
          </w:tcPr>
          <w:p>
            <w:pPr>
              <w:pStyle w:val="26"/>
              <w:adjustRightInd w:val="0"/>
              <w:snapToGrid w:val="0"/>
              <w:jc w:val="center"/>
              <w:rPr>
                <w:rFonts w:ascii="Times New Roman" w:hAnsi="Times New Roman"/>
                <w:spacing w:val="-12"/>
                <w:szCs w:val="21"/>
              </w:rPr>
            </w:pPr>
            <w:r>
              <w:rPr>
                <w:rFonts w:ascii="Times New Roman" w:hAnsi="Times New Roman"/>
                <w:spacing w:val="-12"/>
                <w:szCs w:val="21"/>
              </w:rPr>
              <w:t>1350m</w:t>
            </w:r>
            <w:r>
              <w:rPr>
                <w:rFonts w:ascii="Times New Roman" w:hAnsi="Times New Roman"/>
                <w:spacing w:val="-12"/>
                <w:szCs w:val="21"/>
                <w:vertAlign w:val="superscript"/>
              </w:rPr>
              <w:t>3</w:t>
            </w:r>
            <w:r>
              <w:rPr>
                <w:rFonts w:ascii="Times New Roman" w:hAnsi="Times New Roman"/>
                <w:spacing w:val="-12"/>
                <w:szCs w:val="21"/>
              </w:rPr>
              <w:t>/a</w:t>
            </w:r>
          </w:p>
        </w:tc>
        <w:tc>
          <w:tcPr>
            <w:tcW w:w="1276" w:type="dxa"/>
            <w:tcBorders>
              <w:top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1417" w:type="dxa"/>
            <w:tcBorders>
              <w:top w:val="single" w:color="auto" w:sz="6" w:space="0"/>
              <w:left w:val="single" w:color="auto" w:sz="6" w:space="0"/>
              <w:right w:val="single" w:color="auto" w:sz="6" w:space="0"/>
            </w:tcBorders>
            <w:vAlign w:val="center"/>
          </w:tcPr>
          <w:p>
            <w:pPr>
              <w:pStyle w:val="26"/>
              <w:adjustRightInd w:val="0"/>
              <w:snapToGrid w:val="0"/>
              <w:jc w:val="center"/>
              <w:rPr>
                <w:rFonts w:ascii="Times New Roman" w:hAnsi="Times New Roman"/>
                <w:spacing w:val="-12"/>
                <w:szCs w:val="21"/>
              </w:rPr>
            </w:pPr>
            <w:r>
              <w:rPr>
                <w:rFonts w:ascii="Times New Roman" w:hAnsi="Times New Roman"/>
                <w:spacing w:val="-12"/>
                <w:szCs w:val="21"/>
              </w:rPr>
              <w:t>1350m</w:t>
            </w:r>
            <w:r>
              <w:rPr>
                <w:rFonts w:ascii="Times New Roman" w:hAnsi="Times New Roman"/>
                <w:spacing w:val="-12"/>
                <w:szCs w:val="21"/>
                <w:vertAlign w:val="superscript"/>
              </w:rPr>
              <w:t>3</w:t>
            </w:r>
            <w:r>
              <w:rPr>
                <w:rFonts w:ascii="Times New Roman" w:hAnsi="Times New Roman"/>
                <w:spacing w:val="-12"/>
                <w:szCs w:val="21"/>
              </w:rPr>
              <w:t>/a</w:t>
            </w:r>
          </w:p>
        </w:tc>
        <w:tc>
          <w:tcPr>
            <w:tcW w:w="1418" w:type="dxa"/>
            <w:tcBorders>
              <w:top w:val="single" w:color="auto" w:sz="6" w:space="0"/>
              <w:lef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992" w:type="dxa"/>
            <w:tcBorders>
              <w:top w:val="single" w:color="auto" w:sz="6" w:space="0"/>
              <w:left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75" w:hRule="atLeast"/>
        </w:trPr>
        <w:tc>
          <w:tcPr>
            <w:tcW w:w="426" w:type="dxa"/>
            <w:vMerge w:val="continue"/>
            <w:tcBorders>
              <w:left w:val="single" w:color="auto" w:sz="12" w:space="0"/>
            </w:tcBorders>
            <w:vAlign w:val="center"/>
          </w:tcPr>
          <w:p>
            <w:pPr>
              <w:pStyle w:val="26"/>
              <w:adjustRightInd w:val="0"/>
              <w:snapToGrid w:val="0"/>
              <w:jc w:val="center"/>
              <w:rPr>
                <w:rFonts w:ascii="Times New Roman" w:hAnsi="Times New Roman"/>
                <w:spacing w:val="2"/>
                <w:szCs w:val="21"/>
              </w:rPr>
            </w:pPr>
          </w:p>
        </w:tc>
        <w:tc>
          <w:tcPr>
            <w:tcW w:w="483" w:type="dxa"/>
            <w:vMerge w:val="continue"/>
            <w:vAlign w:val="center"/>
          </w:tcPr>
          <w:p>
            <w:pPr>
              <w:pStyle w:val="26"/>
              <w:adjustRightInd w:val="0"/>
              <w:snapToGrid w:val="0"/>
              <w:jc w:val="center"/>
              <w:rPr>
                <w:rFonts w:ascii="Times New Roman" w:hAnsi="Times New Roman"/>
                <w:spacing w:val="2"/>
                <w:szCs w:val="21"/>
              </w:rPr>
            </w:pPr>
          </w:p>
        </w:tc>
        <w:tc>
          <w:tcPr>
            <w:tcW w:w="1326" w:type="dxa"/>
            <w:tcBorders>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矿山：COD、氨氮</w:t>
            </w:r>
          </w:p>
        </w:tc>
        <w:tc>
          <w:tcPr>
            <w:tcW w:w="1417" w:type="dxa"/>
            <w:tcBorders>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12"/>
                <w:szCs w:val="21"/>
              </w:rPr>
              <w:t>0.378</w:t>
            </w:r>
            <w:r>
              <w:rPr>
                <w:rFonts w:ascii="Times New Roman" w:hAnsi="Times New Roman"/>
                <w:spacing w:val="2"/>
                <w:szCs w:val="21"/>
              </w:rPr>
              <w:t>t/a、0.0405 t/a</w:t>
            </w:r>
          </w:p>
        </w:tc>
        <w:tc>
          <w:tcPr>
            <w:tcW w:w="1276" w:type="dxa"/>
            <w:tcBorders>
              <w:bottom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1417" w:type="dxa"/>
            <w:tcBorders>
              <w:left w:val="single" w:color="auto" w:sz="6" w:space="0"/>
              <w:bottom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12"/>
                <w:szCs w:val="21"/>
              </w:rPr>
              <w:t>0.378</w:t>
            </w:r>
            <w:r>
              <w:rPr>
                <w:rFonts w:ascii="Times New Roman" w:hAnsi="Times New Roman"/>
                <w:spacing w:val="2"/>
                <w:szCs w:val="21"/>
              </w:rPr>
              <w:t>t/a、0.0405 t/a</w:t>
            </w:r>
          </w:p>
        </w:tc>
        <w:tc>
          <w:tcPr>
            <w:tcW w:w="1418" w:type="dxa"/>
            <w:tcBorders>
              <w:left w:val="single" w:color="auto" w:sz="6" w:space="0"/>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992" w:type="dxa"/>
            <w:tcBorders>
              <w:left w:val="single" w:color="auto" w:sz="6" w:space="0"/>
              <w:bottom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57" w:hRule="atLeast"/>
        </w:trPr>
        <w:tc>
          <w:tcPr>
            <w:tcW w:w="426" w:type="dxa"/>
            <w:vMerge w:val="continue"/>
            <w:tcBorders>
              <w:left w:val="single" w:color="auto" w:sz="12" w:space="0"/>
            </w:tcBorders>
            <w:vAlign w:val="center"/>
          </w:tcPr>
          <w:p>
            <w:pPr>
              <w:pStyle w:val="26"/>
              <w:adjustRightInd w:val="0"/>
              <w:snapToGrid w:val="0"/>
              <w:jc w:val="center"/>
              <w:rPr>
                <w:rFonts w:ascii="Times New Roman" w:hAnsi="Times New Roman"/>
                <w:spacing w:val="2"/>
                <w:szCs w:val="21"/>
              </w:rPr>
            </w:pPr>
          </w:p>
        </w:tc>
        <w:tc>
          <w:tcPr>
            <w:tcW w:w="483" w:type="dxa"/>
            <w:vMerge w:val="continue"/>
            <w:vAlign w:val="center"/>
          </w:tcPr>
          <w:p>
            <w:pPr>
              <w:pStyle w:val="26"/>
              <w:adjustRightInd w:val="0"/>
              <w:snapToGrid w:val="0"/>
              <w:jc w:val="center"/>
              <w:rPr>
                <w:rFonts w:ascii="Times New Roman" w:hAnsi="Times New Roman"/>
                <w:spacing w:val="2"/>
                <w:szCs w:val="21"/>
              </w:rPr>
            </w:pPr>
          </w:p>
        </w:tc>
        <w:tc>
          <w:tcPr>
            <w:tcW w:w="1326" w:type="dxa"/>
            <w:tcBorders>
              <w:top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选厂：COD、氨氮</w:t>
            </w:r>
          </w:p>
        </w:tc>
        <w:tc>
          <w:tcPr>
            <w:tcW w:w="1417" w:type="dxa"/>
            <w:tcBorders>
              <w:top w:val="single" w:color="auto" w:sz="6" w:space="0"/>
            </w:tcBorders>
            <w:vAlign w:val="center"/>
          </w:tcPr>
          <w:p>
            <w:pPr>
              <w:pStyle w:val="26"/>
              <w:adjustRightInd w:val="0"/>
              <w:snapToGrid w:val="0"/>
              <w:jc w:val="center"/>
              <w:rPr>
                <w:rFonts w:ascii="Times New Roman" w:hAnsi="Times New Roman"/>
                <w:spacing w:val="-12"/>
                <w:szCs w:val="21"/>
              </w:rPr>
            </w:pPr>
            <w:r>
              <w:rPr>
                <w:rFonts w:ascii="Times New Roman" w:hAnsi="Times New Roman"/>
                <w:spacing w:val="-12"/>
                <w:szCs w:val="21"/>
              </w:rPr>
              <w:t>0.378</w:t>
            </w:r>
            <w:r>
              <w:rPr>
                <w:rFonts w:ascii="Times New Roman" w:hAnsi="Times New Roman"/>
                <w:spacing w:val="2"/>
                <w:szCs w:val="21"/>
              </w:rPr>
              <w:t>t/a、0.0405 t/a</w:t>
            </w:r>
          </w:p>
        </w:tc>
        <w:tc>
          <w:tcPr>
            <w:tcW w:w="1276" w:type="dxa"/>
            <w:tcBorders>
              <w:top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1417" w:type="dxa"/>
            <w:tcBorders>
              <w:top w:val="single" w:color="auto" w:sz="6" w:space="0"/>
              <w:left w:val="single" w:color="auto" w:sz="6" w:space="0"/>
              <w:right w:val="single" w:color="auto" w:sz="6" w:space="0"/>
            </w:tcBorders>
            <w:vAlign w:val="center"/>
          </w:tcPr>
          <w:p>
            <w:pPr>
              <w:pStyle w:val="26"/>
              <w:adjustRightInd w:val="0"/>
              <w:snapToGrid w:val="0"/>
              <w:jc w:val="center"/>
              <w:rPr>
                <w:rFonts w:ascii="Times New Roman" w:hAnsi="Times New Roman"/>
                <w:spacing w:val="-12"/>
                <w:szCs w:val="21"/>
              </w:rPr>
            </w:pPr>
            <w:r>
              <w:rPr>
                <w:rFonts w:ascii="Times New Roman" w:hAnsi="Times New Roman"/>
                <w:spacing w:val="-12"/>
                <w:szCs w:val="21"/>
              </w:rPr>
              <w:t>0.378</w:t>
            </w:r>
            <w:r>
              <w:rPr>
                <w:rFonts w:ascii="Times New Roman" w:hAnsi="Times New Roman"/>
                <w:spacing w:val="2"/>
                <w:szCs w:val="21"/>
              </w:rPr>
              <w:t>t/a、0.0405 t/a</w:t>
            </w:r>
          </w:p>
        </w:tc>
        <w:tc>
          <w:tcPr>
            <w:tcW w:w="1418" w:type="dxa"/>
            <w:tcBorders>
              <w:top w:val="single" w:color="auto" w:sz="6" w:space="0"/>
              <w:lef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992" w:type="dxa"/>
            <w:tcBorders>
              <w:top w:val="single" w:color="auto" w:sz="6" w:space="0"/>
              <w:left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trPr>
        <w:tc>
          <w:tcPr>
            <w:tcW w:w="426" w:type="dxa"/>
            <w:vMerge w:val="restart"/>
            <w:tcBorders>
              <w:lef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4</w:t>
            </w:r>
          </w:p>
        </w:tc>
        <w:tc>
          <w:tcPr>
            <w:tcW w:w="483" w:type="dxa"/>
            <w:vMerge w:val="restart"/>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一般固废</w:t>
            </w:r>
          </w:p>
        </w:tc>
        <w:tc>
          <w:tcPr>
            <w:tcW w:w="1326" w:type="dxa"/>
            <w:tcBorders>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矿山：废石</w:t>
            </w:r>
          </w:p>
        </w:tc>
        <w:tc>
          <w:tcPr>
            <w:tcW w:w="1417" w:type="dxa"/>
            <w:tcBorders>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1.8万t/a</w:t>
            </w:r>
          </w:p>
        </w:tc>
        <w:tc>
          <w:tcPr>
            <w:tcW w:w="1276" w:type="dxa"/>
            <w:tcBorders>
              <w:bottom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1417" w:type="dxa"/>
            <w:tcBorders>
              <w:left w:val="single" w:color="auto" w:sz="6" w:space="0"/>
              <w:bottom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0.9万t/a</w:t>
            </w:r>
          </w:p>
        </w:tc>
        <w:tc>
          <w:tcPr>
            <w:tcW w:w="1418" w:type="dxa"/>
            <w:tcBorders>
              <w:left w:val="single" w:color="auto" w:sz="6" w:space="0"/>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992" w:type="dxa"/>
            <w:tcBorders>
              <w:left w:val="single" w:color="auto" w:sz="6" w:space="0"/>
              <w:bottom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-0.9万t/a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01" w:hRule="atLeast"/>
        </w:trPr>
        <w:tc>
          <w:tcPr>
            <w:tcW w:w="426" w:type="dxa"/>
            <w:vMerge w:val="continue"/>
            <w:tcBorders>
              <w:left w:val="single" w:color="auto" w:sz="12" w:space="0"/>
            </w:tcBorders>
            <w:vAlign w:val="center"/>
          </w:tcPr>
          <w:p>
            <w:pPr>
              <w:pStyle w:val="26"/>
              <w:adjustRightInd w:val="0"/>
              <w:snapToGrid w:val="0"/>
              <w:jc w:val="center"/>
              <w:rPr>
                <w:rFonts w:ascii="Times New Roman" w:hAnsi="Times New Roman"/>
                <w:spacing w:val="2"/>
                <w:szCs w:val="21"/>
              </w:rPr>
            </w:pPr>
          </w:p>
        </w:tc>
        <w:tc>
          <w:tcPr>
            <w:tcW w:w="483" w:type="dxa"/>
            <w:vMerge w:val="continue"/>
            <w:vAlign w:val="center"/>
          </w:tcPr>
          <w:p>
            <w:pPr>
              <w:pStyle w:val="26"/>
              <w:adjustRightInd w:val="0"/>
              <w:snapToGrid w:val="0"/>
              <w:jc w:val="center"/>
              <w:rPr>
                <w:rFonts w:ascii="Times New Roman" w:hAnsi="Times New Roman"/>
                <w:spacing w:val="2"/>
                <w:szCs w:val="21"/>
              </w:rPr>
            </w:pPr>
          </w:p>
        </w:tc>
        <w:tc>
          <w:tcPr>
            <w:tcW w:w="1326" w:type="dxa"/>
            <w:tcBorders>
              <w:top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选厂：尾矿</w:t>
            </w:r>
          </w:p>
        </w:tc>
        <w:tc>
          <w:tcPr>
            <w:tcW w:w="1417" w:type="dxa"/>
            <w:tcBorders>
              <w:top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12.41万t/a</w:t>
            </w:r>
          </w:p>
        </w:tc>
        <w:tc>
          <w:tcPr>
            <w:tcW w:w="1276" w:type="dxa"/>
            <w:tcBorders>
              <w:top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1417" w:type="dxa"/>
            <w:tcBorders>
              <w:top w:val="single" w:color="auto" w:sz="6" w:space="0"/>
              <w:left w:val="single" w:color="auto" w:sz="6" w:space="0"/>
              <w:right w:val="single" w:color="auto" w:sz="6" w:space="0"/>
            </w:tcBorders>
            <w:vAlign w:val="center"/>
          </w:tcPr>
          <w:p>
            <w:pPr>
              <w:adjustRightInd w:val="0"/>
              <w:snapToGrid w:val="0"/>
              <w:jc w:val="center"/>
              <w:rPr>
                <w:spacing w:val="2"/>
                <w:szCs w:val="21"/>
              </w:rPr>
            </w:pPr>
            <w:r>
              <w:rPr>
                <w:spacing w:val="2"/>
                <w:szCs w:val="21"/>
              </w:rPr>
              <w:t>6.205万t/a</w:t>
            </w:r>
          </w:p>
        </w:tc>
        <w:tc>
          <w:tcPr>
            <w:tcW w:w="1418" w:type="dxa"/>
            <w:tcBorders>
              <w:top w:val="single" w:color="auto" w:sz="6" w:space="0"/>
              <w:lef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992" w:type="dxa"/>
            <w:tcBorders>
              <w:top w:val="single" w:color="auto" w:sz="6" w:space="0"/>
              <w:left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-6.205万t/a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426" w:type="dxa"/>
            <w:vMerge w:val="continue"/>
            <w:tcBorders>
              <w:left w:val="single" w:color="auto" w:sz="12" w:space="0"/>
            </w:tcBorders>
            <w:vAlign w:val="center"/>
          </w:tcPr>
          <w:p>
            <w:pPr>
              <w:pStyle w:val="26"/>
              <w:adjustRightInd w:val="0"/>
              <w:snapToGrid w:val="0"/>
              <w:jc w:val="center"/>
              <w:rPr>
                <w:rFonts w:ascii="Times New Roman" w:hAnsi="Times New Roman"/>
                <w:spacing w:val="2"/>
                <w:szCs w:val="21"/>
              </w:rPr>
            </w:pPr>
          </w:p>
        </w:tc>
        <w:tc>
          <w:tcPr>
            <w:tcW w:w="483" w:type="dxa"/>
            <w:vMerge w:val="continue"/>
            <w:vAlign w:val="center"/>
          </w:tcPr>
          <w:p>
            <w:pPr>
              <w:pStyle w:val="26"/>
              <w:adjustRightInd w:val="0"/>
              <w:snapToGrid w:val="0"/>
              <w:jc w:val="center"/>
              <w:rPr>
                <w:rFonts w:ascii="Times New Roman" w:hAnsi="Times New Roman"/>
                <w:spacing w:val="2"/>
                <w:szCs w:val="21"/>
              </w:rPr>
            </w:pPr>
          </w:p>
        </w:tc>
        <w:tc>
          <w:tcPr>
            <w:tcW w:w="1326" w:type="dxa"/>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选厂：回收粉尘</w:t>
            </w:r>
          </w:p>
        </w:tc>
        <w:tc>
          <w:tcPr>
            <w:tcW w:w="1417" w:type="dxa"/>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245.784t/a</w:t>
            </w:r>
          </w:p>
        </w:tc>
        <w:tc>
          <w:tcPr>
            <w:tcW w:w="1276" w:type="dxa"/>
            <w:tcBorders>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1417" w:type="dxa"/>
            <w:tcBorders>
              <w:left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9.743 t/a</w:t>
            </w:r>
          </w:p>
        </w:tc>
        <w:tc>
          <w:tcPr>
            <w:tcW w:w="1418" w:type="dxa"/>
            <w:tcBorders>
              <w:lef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992" w:type="dxa"/>
            <w:tcBorders>
              <w:left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-236.041 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trPr>
        <w:tc>
          <w:tcPr>
            <w:tcW w:w="426" w:type="dxa"/>
            <w:vMerge w:val="continue"/>
            <w:tcBorders>
              <w:left w:val="single" w:color="auto" w:sz="12" w:space="0"/>
            </w:tcBorders>
            <w:vAlign w:val="center"/>
          </w:tcPr>
          <w:p>
            <w:pPr>
              <w:pStyle w:val="26"/>
              <w:adjustRightInd w:val="0"/>
              <w:snapToGrid w:val="0"/>
              <w:jc w:val="center"/>
              <w:rPr>
                <w:rFonts w:ascii="Times New Roman" w:hAnsi="Times New Roman"/>
                <w:spacing w:val="2"/>
                <w:szCs w:val="21"/>
              </w:rPr>
            </w:pPr>
          </w:p>
        </w:tc>
        <w:tc>
          <w:tcPr>
            <w:tcW w:w="483" w:type="dxa"/>
            <w:vMerge w:val="continue"/>
            <w:vAlign w:val="center"/>
          </w:tcPr>
          <w:p>
            <w:pPr>
              <w:pStyle w:val="26"/>
              <w:adjustRightInd w:val="0"/>
              <w:snapToGrid w:val="0"/>
              <w:jc w:val="center"/>
              <w:rPr>
                <w:rFonts w:ascii="Times New Roman" w:hAnsi="Times New Roman"/>
                <w:spacing w:val="2"/>
                <w:szCs w:val="21"/>
              </w:rPr>
            </w:pPr>
          </w:p>
        </w:tc>
        <w:tc>
          <w:tcPr>
            <w:tcW w:w="1326" w:type="dxa"/>
            <w:tcBorders>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矿山：生活垃圾</w:t>
            </w:r>
          </w:p>
        </w:tc>
        <w:tc>
          <w:tcPr>
            <w:tcW w:w="1417" w:type="dxa"/>
            <w:tcBorders>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7.5 t/a</w:t>
            </w:r>
          </w:p>
        </w:tc>
        <w:tc>
          <w:tcPr>
            <w:tcW w:w="1276" w:type="dxa"/>
            <w:tcBorders>
              <w:bottom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1417" w:type="dxa"/>
            <w:tcBorders>
              <w:left w:val="single" w:color="auto" w:sz="6" w:space="0"/>
              <w:bottom w:val="single" w:color="auto" w:sz="6"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7.5 t/a</w:t>
            </w:r>
          </w:p>
        </w:tc>
        <w:tc>
          <w:tcPr>
            <w:tcW w:w="1418" w:type="dxa"/>
            <w:tcBorders>
              <w:left w:val="single" w:color="auto" w:sz="6" w:space="0"/>
              <w:bottom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992" w:type="dxa"/>
            <w:tcBorders>
              <w:left w:val="single" w:color="auto" w:sz="6" w:space="0"/>
              <w:bottom w:val="single" w:color="auto" w:sz="6"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8" w:hRule="atLeast"/>
        </w:trPr>
        <w:tc>
          <w:tcPr>
            <w:tcW w:w="426" w:type="dxa"/>
            <w:vMerge w:val="continue"/>
            <w:tcBorders>
              <w:left w:val="single" w:color="auto" w:sz="12" w:space="0"/>
              <w:bottom w:val="single" w:color="auto" w:sz="12" w:space="0"/>
            </w:tcBorders>
            <w:vAlign w:val="center"/>
          </w:tcPr>
          <w:p>
            <w:pPr>
              <w:pStyle w:val="26"/>
              <w:adjustRightInd w:val="0"/>
              <w:snapToGrid w:val="0"/>
              <w:jc w:val="center"/>
              <w:rPr>
                <w:rFonts w:ascii="Times New Roman" w:hAnsi="Times New Roman"/>
                <w:spacing w:val="2"/>
                <w:szCs w:val="21"/>
              </w:rPr>
            </w:pPr>
          </w:p>
        </w:tc>
        <w:tc>
          <w:tcPr>
            <w:tcW w:w="483" w:type="dxa"/>
            <w:vMerge w:val="continue"/>
            <w:tcBorders>
              <w:bottom w:val="single" w:color="auto" w:sz="12" w:space="0"/>
            </w:tcBorders>
            <w:vAlign w:val="center"/>
          </w:tcPr>
          <w:p>
            <w:pPr>
              <w:pStyle w:val="26"/>
              <w:adjustRightInd w:val="0"/>
              <w:snapToGrid w:val="0"/>
              <w:jc w:val="center"/>
              <w:rPr>
                <w:rFonts w:ascii="Times New Roman" w:hAnsi="Times New Roman"/>
                <w:spacing w:val="2"/>
                <w:szCs w:val="21"/>
              </w:rPr>
            </w:pPr>
          </w:p>
        </w:tc>
        <w:tc>
          <w:tcPr>
            <w:tcW w:w="1326" w:type="dxa"/>
            <w:tcBorders>
              <w:top w:val="single" w:color="auto" w:sz="6" w:space="0"/>
              <w:bottom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选厂：生活垃圾</w:t>
            </w:r>
          </w:p>
        </w:tc>
        <w:tc>
          <w:tcPr>
            <w:tcW w:w="1417" w:type="dxa"/>
            <w:tcBorders>
              <w:top w:val="single" w:color="auto" w:sz="6" w:space="0"/>
              <w:bottom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7.5 t/a</w:t>
            </w:r>
          </w:p>
        </w:tc>
        <w:tc>
          <w:tcPr>
            <w:tcW w:w="1276" w:type="dxa"/>
            <w:tcBorders>
              <w:top w:val="single" w:color="auto" w:sz="6" w:space="0"/>
              <w:bottom w:val="single" w:color="auto" w:sz="12"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1417" w:type="dxa"/>
            <w:tcBorders>
              <w:top w:val="single" w:color="auto" w:sz="6" w:space="0"/>
              <w:left w:val="single" w:color="auto" w:sz="6" w:space="0"/>
              <w:bottom w:val="single" w:color="auto" w:sz="12" w:space="0"/>
              <w:right w:val="single" w:color="auto" w:sz="6"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7.5 t/a</w:t>
            </w:r>
          </w:p>
        </w:tc>
        <w:tc>
          <w:tcPr>
            <w:tcW w:w="1418" w:type="dxa"/>
            <w:tcBorders>
              <w:top w:val="single" w:color="auto" w:sz="6" w:space="0"/>
              <w:left w:val="single" w:color="auto" w:sz="6" w:space="0"/>
              <w:bottom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c>
          <w:tcPr>
            <w:tcW w:w="992" w:type="dxa"/>
            <w:tcBorders>
              <w:top w:val="single" w:color="auto" w:sz="6" w:space="0"/>
              <w:left w:val="single" w:color="auto" w:sz="6" w:space="0"/>
              <w:bottom w:val="single" w:color="auto" w:sz="12" w:space="0"/>
              <w:right w:val="single" w:color="auto" w:sz="12" w:space="0"/>
            </w:tcBorders>
            <w:vAlign w:val="center"/>
          </w:tcPr>
          <w:p>
            <w:pPr>
              <w:pStyle w:val="26"/>
              <w:adjustRightInd w:val="0"/>
              <w:snapToGrid w:val="0"/>
              <w:jc w:val="center"/>
              <w:rPr>
                <w:rFonts w:ascii="Times New Roman" w:hAnsi="Times New Roman"/>
                <w:spacing w:val="2"/>
                <w:szCs w:val="21"/>
              </w:rPr>
            </w:pPr>
            <w:r>
              <w:rPr>
                <w:rFonts w:ascii="Times New Roman" w:hAnsi="Times New Roman"/>
                <w:spacing w:val="2"/>
                <w:szCs w:val="21"/>
              </w:rPr>
              <w:t>0</w:t>
            </w:r>
          </w:p>
        </w:tc>
      </w:tr>
    </w:tbl>
    <w:p>
      <w:pPr>
        <w:pStyle w:val="88"/>
      </w:pPr>
      <w:r>
        <w:t xml:space="preserve">    （2）全厂污染物排放统计</w:t>
      </w:r>
    </w:p>
    <w:p>
      <w:pPr>
        <w:pStyle w:val="88"/>
      </w:pPr>
      <w:r>
        <w:t xml:space="preserve">    全厂污染污染物产排及变化情况见表5.1-4。</w:t>
      </w:r>
    </w:p>
    <w:p>
      <w:pPr>
        <w:spacing w:beforeLines="50"/>
        <w:jc w:val="left"/>
        <w:rPr>
          <w:rFonts w:eastAsia="黑体"/>
          <w:sz w:val="22"/>
          <w:szCs w:val="22"/>
        </w:rPr>
      </w:pPr>
      <w:r>
        <w:rPr>
          <w:b/>
          <w:szCs w:val="20"/>
        </w:rPr>
        <w:t xml:space="preserve">    </w:t>
      </w:r>
      <w:r>
        <w:rPr>
          <w:rFonts w:eastAsia="黑体"/>
          <w:sz w:val="22"/>
          <w:szCs w:val="22"/>
        </w:rPr>
        <w:t>表5.1-4               全厂污染产排及变化情况                 单位:t/a</w:t>
      </w:r>
    </w:p>
    <w:tbl>
      <w:tblPr>
        <w:tblStyle w:val="54"/>
        <w:tblW w:w="8528"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21"/>
        <w:gridCol w:w="681"/>
        <w:gridCol w:w="566"/>
        <w:gridCol w:w="1134"/>
        <w:gridCol w:w="1416"/>
        <w:gridCol w:w="1276"/>
        <w:gridCol w:w="1421"/>
        <w:gridCol w:w="161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50" w:hRule="atLeast"/>
          <w:tblHeader/>
        </w:trPr>
        <w:tc>
          <w:tcPr>
            <w:tcW w:w="421" w:type="dxa"/>
            <w:vMerge w:val="restart"/>
            <w:tcBorders>
              <w:top w:val="single" w:color="auto" w:sz="12" w:space="0"/>
              <w:left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序号</w:t>
            </w:r>
          </w:p>
        </w:tc>
        <w:tc>
          <w:tcPr>
            <w:tcW w:w="681" w:type="dxa"/>
            <w:vMerge w:val="restart"/>
            <w:tcBorders>
              <w:top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污染源</w:t>
            </w:r>
          </w:p>
        </w:tc>
        <w:tc>
          <w:tcPr>
            <w:tcW w:w="1700" w:type="dxa"/>
            <w:gridSpan w:val="2"/>
            <w:vMerge w:val="restart"/>
            <w:tcBorders>
              <w:top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污染物</w:t>
            </w:r>
          </w:p>
        </w:tc>
        <w:tc>
          <w:tcPr>
            <w:tcW w:w="1416" w:type="dxa"/>
            <w:tcBorders>
              <w:top w:val="single" w:color="auto" w:sz="12" w:space="0"/>
              <w:left w:val="single" w:color="auto" w:sz="6" w:space="0"/>
              <w:bottom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扩建前</w:t>
            </w:r>
          </w:p>
        </w:tc>
        <w:tc>
          <w:tcPr>
            <w:tcW w:w="2697" w:type="dxa"/>
            <w:gridSpan w:val="2"/>
            <w:tcBorders>
              <w:top w:val="single" w:color="auto" w:sz="12" w:space="0"/>
              <w:left w:val="single" w:color="auto" w:sz="6" w:space="0"/>
              <w:bottom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扩建项目</w:t>
            </w:r>
          </w:p>
        </w:tc>
        <w:tc>
          <w:tcPr>
            <w:tcW w:w="1613" w:type="dxa"/>
            <w:tcBorders>
              <w:top w:val="single" w:color="auto" w:sz="12" w:space="0"/>
              <w:left w:val="single" w:color="auto" w:sz="6" w:space="0"/>
              <w:bottom w:val="single" w:color="auto" w:sz="6" w:space="0"/>
              <w:right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扩建后全厂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3" w:hRule="atLeast"/>
          <w:tblHeader/>
        </w:trPr>
        <w:tc>
          <w:tcPr>
            <w:tcW w:w="421" w:type="dxa"/>
            <w:vMerge w:val="continue"/>
            <w:tcBorders>
              <w:left w:val="single" w:color="auto" w:sz="12" w:space="0"/>
              <w:bottom w:val="single" w:color="auto" w:sz="6" w:space="0"/>
            </w:tcBorders>
            <w:vAlign w:val="center"/>
          </w:tcPr>
          <w:p>
            <w:pPr>
              <w:pStyle w:val="26"/>
              <w:adjustRightInd w:val="0"/>
              <w:snapToGrid w:val="0"/>
              <w:jc w:val="center"/>
              <w:rPr>
                <w:rFonts w:ascii="Times New Roman" w:hAnsi="Times New Roman"/>
                <w:spacing w:val="2"/>
                <w:sz w:val="20"/>
              </w:rPr>
            </w:pPr>
          </w:p>
        </w:tc>
        <w:tc>
          <w:tcPr>
            <w:tcW w:w="681" w:type="dxa"/>
            <w:vMerge w:val="continue"/>
            <w:tcBorders>
              <w:bottom w:val="single" w:color="auto" w:sz="6" w:space="0"/>
            </w:tcBorders>
            <w:vAlign w:val="center"/>
          </w:tcPr>
          <w:p>
            <w:pPr>
              <w:pStyle w:val="26"/>
              <w:adjustRightInd w:val="0"/>
              <w:snapToGrid w:val="0"/>
              <w:jc w:val="center"/>
              <w:rPr>
                <w:rFonts w:ascii="Times New Roman" w:hAnsi="Times New Roman"/>
                <w:spacing w:val="2"/>
                <w:sz w:val="20"/>
              </w:rPr>
            </w:pPr>
          </w:p>
        </w:tc>
        <w:tc>
          <w:tcPr>
            <w:tcW w:w="1700" w:type="dxa"/>
            <w:gridSpan w:val="2"/>
            <w:vMerge w:val="continue"/>
            <w:tcBorders>
              <w:bottom w:val="single" w:color="auto" w:sz="6" w:space="0"/>
            </w:tcBorders>
            <w:vAlign w:val="center"/>
          </w:tcPr>
          <w:p>
            <w:pPr>
              <w:pStyle w:val="26"/>
              <w:adjustRightInd w:val="0"/>
              <w:snapToGrid w:val="0"/>
              <w:jc w:val="center"/>
              <w:rPr>
                <w:rFonts w:ascii="Times New Roman" w:hAnsi="Times New Roman"/>
                <w:spacing w:val="2"/>
                <w:sz w:val="20"/>
              </w:rPr>
            </w:pPr>
          </w:p>
        </w:tc>
        <w:tc>
          <w:tcPr>
            <w:tcW w:w="1416" w:type="dxa"/>
            <w:tcBorders>
              <w:top w:val="single" w:color="auto" w:sz="6" w:space="0"/>
              <w:left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排放量</w:t>
            </w:r>
          </w:p>
        </w:tc>
        <w:tc>
          <w:tcPr>
            <w:tcW w:w="1276" w:type="dxa"/>
            <w:tcBorders>
              <w:top w:val="single" w:color="auto" w:sz="6" w:space="0"/>
              <w:left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产生量</w:t>
            </w:r>
          </w:p>
        </w:tc>
        <w:tc>
          <w:tcPr>
            <w:tcW w:w="1421" w:type="dxa"/>
            <w:tcBorders>
              <w:top w:val="single" w:color="auto" w:sz="6" w:space="0"/>
              <w:left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排放量</w:t>
            </w:r>
          </w:p>
        </w:tc>
        <w:tc>
          <w:tcPr>
            <w:tcW w:w="1613" w:type="dxa"/>
            <w:tcBorders>
              <w:top w:val="single" w:color="auto" w:sz="6" w:space="0"/>
              <w:left w:val="single" w:color="auto" w:sz="6" w:space="0"/>
              <w:right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排放量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421" w:type="dxa"/>
            <w:tcBorders>
              <w:top w:val="single" w:color="auto" w:sz="6" w:space="0"/>
              <w:left w:val="single" w:color="auto" w:sz="12" w:space="0"/>
              <w:bottom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1</w:t>
            </w:r>
          </w:p>
        </w:tc>
        <w:tc>
          <w:tcPr>
            <w:tcW w:w="681" w:type="dxa"/>
            <w:tcBorders>
              <w:top w:val="single" w:color="auto" w:sz="6" w:space="0"/>
              <w:bottom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废气</w:t>
            </w:r>
          </w:p>
        </w:tc>
        <w:tc>
          <w:tcPr>
            <w:tcW w:w="1700" w:type="dxa"/>
            <w:gridSpan w:val="2"/>
            <w:tcBorders>
              <w:top w:val="single" w:color="auto" w:sz="6" w:space="0"/>
              <w:bottom w:val="single" w:color="auto" w:sz="4"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选厂：有组织粉尘量</w:t>
            </w:r>
          </w:p>
        </w:tc>
        <w:tc>
          <w:tcPr>
            <w:tcW w:w="1416" w:type="dxa"/>
            <w:tcBorders>
              <w:left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3.38</w:t>
            </w:r>
            <w:r>
              <w:rPr>
                <w:rFonts w:ascii="Times New Roman" w:hAnsi="Times New Roman"/>
                <w:kern w:val="0"/>
                <w:sz w:val="20"/>
              </w:rPr>
              <w:t xml:space="preserve"> t/a</w:t>
            </w:r>
          </w:p>
        </w:tc>
        <w:tc>
          <w:tcPr>
            <w:tcW w:w="1276" w:type="dxa"/>
            <w:tcBorders>
              <w:left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206.58</w:t>
            </w:r>
            <w:r>
              <w:rPr>
                <w:rFonts w:ascii="Times New Roman" w:hAnsi="Times New Roman"/>
                <w:kern w:val="0"/>
                <w:sz w:val="20"/>
              </w:rPr>
              <w:t xml:space="preserve"> t/a</w:t>
            </w:r>
          </w:p>
        </w:tc>
        <w:tc>
          <w:tcPr>
            <w:tcW w:w="1421" w:type="dxa"/>
            <w:tcBorders>
              <w:left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0.168</w:t>
            </w:r>
            <w:r>
              <w:rPr>
                <w:rFonts w:ascii="Times New Roman" w:hAnsi="Times New Roman"/>
                <w:kern w:val="0"/>
                <w:sz w:val="20"/>
              </w:rPr>
              <w:t xml:space="preserve"> t/a</w:t>
            </w:r>
          </w:p>
        </w:tc>
        <w:tc>
          <w:tcPr>
            <w:tcW w:w="1613" w:type="dxa"/>
            <w:tcBorders>
              <w:left w:val="single" w:color="auto" w:sz="6" w:space="0"/>
              <w:right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3.928</w:t>
            </w:r>
            <w:r>
              <w:rPr>
                <w:rFonts w:ascii="Times New Roman" w:hAnsi="Times New Roman"/>
                <w:kern w:val="0"/>
                <w:sz w:val="20"/>
              </w:rPr>
              <w:t xml:space="preserve"> 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25" w:hRule="atLeast"/>
        </w:trPr>
        <w:tc>
          <w:tcPr>
            <w:tcW w:w="421" w:type="dxa"/>
            <w:vMerge w:val="restart"/>
            <w:tcBorders>
              <w:top w:val="single" w:color="auto" w:sz="6" w:space="0"/>
              <w:left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2</w:t>
            </w:r>
          </w:p>
        </w:tc>
        <w:tc>
          <w:tcPr>
            <w:tcW w:w="681" w:type="dxa"/>
            <w:vMerge w:val="restart"/>
            <w:tcBorders>
              <w:top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废水</w:t>
            </w:r>
          </w:p>
        </w:tc>
        <w:tc>
          <w:tcPr>
            <w:tcW w:w="566" w:type="dxa"/>
            <w:vMerge w:val="restart"/>
            <w:tcBorders>
              <w:top w:val="single" w:color="auto" w:sz="6" w:space="0"/>
              <w:right w:val="single" w:color="auto" w:sz="4"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矿井涌水</w:t>
            </w:r>
          </w:p>
        </w:tc>
        <w:tc>
          <w:tcPr>
            <w:tcW w:w="1134" w:type="dxa"/>
            <w:tcBorders>
              <w:top w:val="single" w:color="auto" w:sz="4" w:space="0"/>
              <w:left w:val="single" w:color="auto" w:sz="4" w:space="0"/>
              <w:bottom w:val="single" w:color="auto" w:sz="4"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涌水量</w:t>
            </w:r>
          </w:p>
        </w:tc>
        <w:tc>
          <w:tcPr>
            <w:tcW w:w="1416" w:type="dxa"/>
            <w:tcBorders>
              <w:top w:val="single" w:color="auto" w:sz="6" w:space="0"/>
              <w:left w:val="single" w:color="auto" w:sz="6" w:space="0"/>
              <w:bottom w:val="single" w:color="auto" w:sz="4" w:space="0"/>
              <w:right w:val="single" w:color="auto" w:sz="6" w:space="0"/>
            </w:tcBorders>
            <w:vAlign w:val="center"/>
          </w:tcPr>
          <w:p>
            <w:pPr>
              <w:widowControl/>
              <w:spacing w:line="240" w:lineRule="exact"/>
              <w:jc w:val="center"/>
              <w:rPr>
                <w:kern w:val="0"/>
                <w:sz w:val="20"/>
                <w:szCs w:val="20"/>
              </w:rPr>
            </w:pPr>
            <w:r>
              <w:rPr>
                <w:kern w:val="0"/>
                <w:sz w:val="20"/>
              </w:rPr>
              <w:t>1661100</w:t>
            </w:r>
            <w:r>
              <w:rPr>
                <w:spacing w:val="-12"/>
                <w:sz w:val="20"/>
                <w:szCs w:val="20"/>
              </w:rPr>
              <w:t>m</w:t>
            </w:r>
            <w:r>
              <w:rPr>
                <w:spacing w:val="-12"/>
                <w:sz w:val="20"/>
                <w:szCs w:val="20"/>
                <w:vertAlign w:val="superscript"/>
              </w:rPr>
              <w:t>3</w:t>
            </w:r>
            <w:r>
              <w:rPr>
                <w:spacing w:val="-12"/>
                <w:sz w:val="20"/>
                <w:szCs w:val="20"/>
              </w:rPr>
              <w:t>/a</w:t>
            </w:r>
          </w:p>
        </w:tc>
        <w:tc>
          <w:tcPr>
            <w:tcW w:w="1276" w:type="dxa"/>
            <w:tcBorders>
              <w:top w:val="single" w:color="auto" w:sz="6" w:space="0"/>
              <w:left w:val="single" w:color="auto" w:sz="6" w:space="0"/>
              <w:bottom w:val="single" w:color="auto" w:sz="4" w:space="0"/>
              <w:right w:val="single" w:color="auto" w:sz="6" w:space="0"/>
            </w:tcBorders>
            <w:vAlign w:val="center"/>
          </w:tcPr>
          <w:p>
            <w:pPr>
              <w:widowControl/>
              <w:spacing w:line="240" w:lineRule="exact"/>
              <w:jc w:val="center"/>
              <w:rPr>
                <w:kern w:val="0"/>
                <w:sz w:val="20"/>
                <w:szCs w:val="20"/>
              </w:rPr>
            </w:pPr>
            <w:r>
              <w:rPr>
                <w:kern w:val="0"/>
                <w:sz w:val="20"/>
                <w:szCs w:val="20"/>
              </w:rPr>
              <w:t>0</w:t>
            </w:r>
          </w:p>
        </w:tc>
        <w:tc>
          <w:tcPr>
            <w:tcW w:w="1421" w:type="dxa"/>
            <w:tcBorders>
              <w:top w:val="single" w:color="auto" w:sz="6" w:space="0"/>
              <w:left w:val="single" w:color="auto" w:sz="6" w:space="0"/>
              <w:bottom w:val="single" w:color="auto" w:sz="4" w:space="0"/>
              <w:right w:val="single" w:color="auto" w:sz="6" w:space="0"/>
            </w:tcBorders>
            <w:vAlign w:val="center"/>
          </w:tcPr>
          <w:p>
            <w:pPr>
              <w:pStyle w:val="26"/>
              <w:adjustRightInd w:val="0"/>
              <w:snapToGrid w:val="0"/>
              <w:jc w:val="center"/>
              <w:rPr>
                <w:rFonts w:ascii="Times New Roman" w:hAnsi="Times New Roman"/>
                <w:spacing w:val="-12"/>
                <w:sz w:val="20"/>
              </w:rPr>
            </w:pPr>
            <w:r>
              <w:rPr>
                <w:rFonts w:ascii="Times New Roman" w:hAnsi="Times New Roman"/>
                <w:spacing w:val="-12"/>
                <w:sz w:val="20"/>
              </w:rPr>
              <w:t>0</w:t>
            </w:r>
          </w:p>
        </w:tc>
        <w:tc>
          <w:tcPr>
            <w:tcW w:w="1613" w:type="dxa"/>
            <w:tcBorders>
              <w:top w:val="single" w:color="auto" w:sz="6" w:space="0"/>
              <w:left w:val="single" w:color="auto" w:sz="6" w:space="0"/>
              <w:bottom w:val="single" w:color="auto" w:sz="4" w:space="0"/>
              <w:right w:val="single" w:color="auto" w:sz="12" w:space="0"/>
            </w:tcBorders>
            <w:vAlign w:val="center"/>
          </w:tcPr>
          <w:p>
            <w:pPr>
              <w:pStyle w:val="26"/>
              <w:adjustRightInd w:val="0"/>
              <w:snapToGrid w:val="0"/>
              <w:jc w:val="center"/>
              <w:rPr>
                <w:rFonts w:ascii="Times New Roman" w:hAnsi="Times New Roman"/>
                <w:kern w:val="0"/>
                <w:sz w:val="20"/>
              </w:rPr>
            </w:pPr>
            <w:r>
              <w:rPr>
                <w:rFonts w:ascii="Times New Roman" w:hAnsi="Times New Roman"/>
                <w:kern w:val="0"/>
                <w:sz w:val="20"/>
              </w:rPr>
              <w:t>1661100</w:t>
            </w:r>
            <w:r>
              <w:rPr>
                <w:rFonts w:ascii="Times New Roman" w:hAnsi="Times New Roman"/>
                <w:spacing w:val="-12"/>
                <w:sz w:val="20"/>
              </w:rPr>
              <w:t>m</w:t>
            </w:r>
            <w:r>
              <w:rPr>
                <w:rFonts w:ascii="Times New Roman" w:hAnsi="Times New Roman"/>
                <w:spacing w:val="-12"/>
                <w:sz w:val="20"/>
                <w:vertAlign w:val="superscript"/>
              </w:rPr>
              <w:t>3</w:t>
            </w:r>
            <w:r>
              <w:rPr>
                <w:rFonts w:ascii="Times New Roman" w:hAnsi="Times New Roman"/>
                <w:spacing w:val="-12"/>
                <w:sz w:val="20"/>
              </w:rPr>
              <w: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22" w:hRule="atLeast"/>
        </w:trPr>
        <w:tc>
          <w:tcPr>
            <w:tcW w:w="421" w:type="dxa"/>
            <w:vMerge w:val="continue"/>
            <w:tcBorders>
              <w:left w:val="single" w:color="auto" w:sz="12" w:space="0"/>
            </w:tcBorders>
            <w:vAlign w:val="center"/>
          </w:tcPr>
          <w:p>
            <w:pPr>
              <w:pStyle w:val="26"/>
              <w:adjustRightInd w:val="0"/>
              <w:snapToGrid w:val="0"/>
              <w:jc w:val="center"/>
              <w:rPr>
                <w:rFonts w:ascii="Times New Roman" w:hAnsi="Times New Roman"/>
                <w:spacing w:val="2"/>
                <w:sz w:val="20"/>
              </w:rPr>
            </w:pPr>
          </w:p>
        </w:tc>
        <w:tc>
          <w:tcPr>
            <w:tcW w:w="681" w:type="dxa"/>
            <w:vMerge w:val="continue"/>
            <w:vAlign w:val="center"/>
          </w:tcPr>
          <w:p>
            <w:pPr>
              <w:pStyle w:val="26"/>
              <w:adjustRightInd w:val="0"/>
              <w:snapToGrid w:val="0"/>
              <w:jc w:val="center"/>
              <w:rPr>
                <w:rFonts w:ascii="Times New Roman" w:hAnsi="Times New Roman"/>
                <w:spacing w:val="2"/>
                <w:sz w:val="20"/>
              </w:rPr>
            </w:pPr>
          </w:p>
        </w:tc>
        <w:tc>
          <w:tcPr>
            <w:tcW w:w="566" w:type="dxa"/>
            <w:vMerge w:val="continue"/>
            <w:tcBorders>
              <w:right w:val="single" w:color="auto" w:sz="4" w:space="0"/>
            </w:tcBorders>
            <w:vAlign w:val="center"/>
          </w:tcPr>
          <w:p>
            <w:pPr>
              <w:pStyle w:val="26"/>
              <w:adjustRightInd w:val="0"/>
              <w:snapToGrid w:val="0"/>
              <w:jc w:val="center"/>
              <w:rPr>
                <w:rFonts w:ascii="Times New Roman" w:hAnsi="Times New Roman"/>
                <w:spacing w:val="2"/>
                <w:sz w:val="20"/>
              </w:rPr>
            </w:pPr>
          </w:p>
        </w:tc>
        <w:tc>
          <w:tcPr>
            <w:tcW w:w="1134" w:type="dxa"/>
            <w:tcBorders>
              <w:top w:val="single" w:color="auto" w:sz="4" w:space="0"/>
              <w:left w:val="single" w:color="auto" w:sz="4"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COD</w:t>
            </w:r>
          </w:p>
        </w:tc>
        <w:tc>
          <w:tcPr>
            <w:tcW w:w="1416" w:type="dxa"/>
            <w:tcBorders>
              <w:top w:val="single" w:color="auto" w:sz="4" w:space="0"/>
              <w:left w:val="single" w:color="auto" w:sz="6" w:space="0"/>
              <w:right w:val="single" w:color="auto" w:sz="6" w:space="0"/>
            </w:tcBorders>
            <w:vAlign w:val="center"/>
          </w:tcPr>
          <w:p>
            <w:pPr>
              <w:spacing w:line="240" w:lineRule="exact"/>
              <w:jc w:val="center"/>
              <w:rPr>
                <w:kern w:val="0"/>
                <w:sz w:val="20"/>
                <w:szCs w:val="20"/>
              </w:rPr>
            </w:pPr>
            <w:r>
              <w:rPr>
                <w:kern w:val="0"/>
                <w:sz w:val="20"/>
                <w:szCs w:val="20"/>
              </w:rPr>
              <w:t>0</w:t>
            </w:r>
          </w:p>
        </w:tc>
        <w:tc>
          <w:tcPr>
            <w:tcW w:w="1276" w:type="dxa"/>
            <w:tcBorders>
              <w:top w:val="single" w:color="auto" w:sz="4" w:space="0"/>
              <w:left w:val="single" w:color="auto" w:sz="6" w:space="0"/>
              <w:right w:val="single" w:color="auto" w:sz="6" w:space="0"/>
            </w:tcBorders>
            <w:vAlign w:val="center"/>
          </w:tcPr>
          <w:p>
            <w:pPr>
              <w:spacing w:line="240" w:lineRule="exact"/>
              <w:jc w:val="center"/>
              <w:rPr>
                <w:kern w:val="0"/>
                <w:sz w:val="20"/>
                <w:szCs w:val="20"/>
              </w:rPr>
            </w:pPr>
            <w:r>
              <w:rPr>
                <w:kern w:val="0"/>
                <w:sz w:val="20"/>
                <w:szCs w:val="20"/>
              </w:rPr>
              <w:t>0</w:t>
            </w:r>
          </w:p>
        </w:tc>
        <w:tc>
          <w:tcPr>
            <w:tcW w:w="1421" w:type="dxa"/>
            <w:tcBorders>
              <w:top w:val="single" w:color="auto" w:sz="4" w:space="0"/>
              <w:left w:val="single" w:color="auto" w:sz="6" w:space="0"/>
              <w:right w:val="single" w:color="auto" w:sz="6" w:space="0"/>
            </w:tcBorders>
            <w:vAlign w:val="center"/>
          </w:tcPr>
          <w:p>
            <w:pPr>
              <w:pStyle w:val="26"/>
              <w:adjustRightInd w:val="0"/>
              <w:snapToGrid w:val="0"/>
              <w:jc w:val="center"/>
              <w:rPr>
                <w:rFonts w:ascii="Times New Roman" w:hAnsi="Times New Roman"/>
                <w:spacing w:val="-12"/>
                <w:sz w:val="20"/>
              </w:rPr>
            </w:pPr>
            <w:r>
              <w:rPr>
                <w:rFonts w:ascii="Times New Roman" w:hAnsi="Times New Roman"/>
                <w:spacing w:val="-12"/>
                <w:sz w:val="20"/>
              </w:rPr>
              <w:t>0</w:t>
            </w:r>
          </w:p>
        </w:tc>
        <w:tc>
          <w:tcPr>
            <w:tcW w:w="1613" w:type="dxa"/>
            <w:tcBorders>
              <w:top w:val="single" w:color="auto" w:sz="4" w:space="0"/>
              <w:left w:val="single" w:color="auto" w:sz="6" w:space="0"/>
              <w:right w:val="single" w:color="auto" w:sz="12" w:space="0"/>
            </w:tcBorders>
            <w:vAlign w:val="center"/>
          </w:tcPr>
          <w:p>
            <w:pPr>
              <w:pStyle w:val="26"/>
              <w:adjustRightInd w:val="0"/>
              <w:snapToGrid w:val="0"/>
              <w:jc w:val="center"/>
              <w:rPr>
                <w:rFonts w:ascii="Times New Roman" w:hAnsi="Times New Roman"/>
                <w:spacing w:val="-12"/>
                <w:sz w:val="20"/>
              </w:rPr>
            </w:pPr>
            <w:r>
              <w:rPr>
                <w:rFonts w:ascii="Times New Roman" w:hAnsi="Times New Roman"/>
                <w:spacing w:val="-12"/>
                <w:sz w:val="20"/>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22" w:hRule="atLeast"/>
        </w:trPr>
        <w:tc>
          <w:tcPr>
            <w:tcW w:w="421" w:type="dxa"/>
            <w:vMerge w:val="continue"/>
            <w:tcBorders>
              <w:left w:val="single" w:color="auto" w:sz="12" w:space="0"/>
            </w:tcBorders>
            <w:vAlign w:val="center"/>
          </w:tcPr>
          <w:p>
            <w:pPr>
              <w:pStyle w:val="26"/>
              <w:adjustRightInd w:val="0"/>
              <w:snapToGrid w:val="0"/>
              <w:jc w:val="center"/>
              <w:rPr>
                <w:rFonts w:ascii="Times New Roman" w:hAnsi="Times New Roman"/>
                <w:spacing w:val="2"/>
                <w:sz w:val="20"/>
              </w:rPr>
            </w:pPr>
          </w:p>
        </w:tc>
        <w:tc>
          <w:tcPr>
            <w:tcW w:w="681" w:type="dxa"/>
            <w:vMerge w:val="continue"/>
            <w:vAlign w:val="center"/>
          </w:tcPr>
          <w:p>
            <w:pPr>
              <w:pStyle w:val="26"/>
              <w:adjustRightInd w:val="0"/>
              <w:snapToGrid w:val="0"/>
              <w:jc w:val="center"/>
              <w:rPr>
                <w:rFonts w:ascii="Times New Roman" w:hAnsi="Times New Roman"/>
                <w:spacing w:val="2"/>
                <w:sz w:val="20"/>
              </w:rPr>
            </w:pPr>
          </w:p>
        </w:tc>
        <w:tc>
          <w:tcPr>
            <w:tcW w:w="566" w:type="dxa"/>
            <w:vMerge w:val="continue"/>
            <w:tcBorders>
              <w:right w:val="single" w:color="auto" w:sz="4" w:space="0"/>
            </w:tcBorders>
            <w:vAlign w:val="center"/>
          </w:tcPr>
          <w:p>
            <w:pPr>
              <w:pStyle w:val="26"/>
              <w:adjustRightInd w:val="0"/>
              <w:snapToGrid w:val="0"/>
              <w:jc w:val="center"/>
              <w:rPr>
                <w:rFonts w:ascii="Times New Roman" w:hAnsi="Times New Roman"/>
                <w:spacing w:val="2"/>
                <w:sz w:val="20"/>
              </w:rPr>
            </w:pPr>
          </w:p>
        </w:tc>
        <w:tc>
          <w:tcPr>
            <w:tcW w:w="1134" w:type="dxa"/>
            <w:tcBorders>
              <w:top w:val="single" w:color="auto" w:sz="4" w:space="0"/>
              <w:left w:val="single" w:color="auto" w:sz="4"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氨氮</w:t>
            </w:r>
          </w:p>
        </w:tc>
        <w:tc>
          <w:tcPr>
            <w:tcW w:w="1416" w:type="dxa"/>
            <w:tcBorders>
              <w:top w:val="single" w:color="auto" w:sz="4" w:space="0"/>
              <w:left w:val="single" w:color="auto" w:sz="6" w:space="0"/>
              <w:right w:val="single" w:color="auto" w:sz="6" w:space="0"/>
            </w:tcBorders>
            <w:vAlign w:val="center"/>
          </w:tcPr>
          <w:p>
            <w:pPr>
              <w:spacing w:line="240" w:lineRule="exact"/>
              <w:jc w:val="center"/>
              <w:rPr>
                <w:kern w:val="0"/>
                <w:sz w:val="20"/>
                <w:szCs w:val="20"/>
              </w:rPr>
            </w:pPr>
            <w:r>
              <w:rPr>
                <w:kern w:val="0"/>
                <w:sz w:val="20"/>
                <w:szCs w:val="20"/>
              </w:rPr>
              <w:t>4.8 t/a</w:t>
            </w:r>
          </w:p>
        </w:tc>
        <w:tc>
          <w:tcPr>
            <w:tcW w:w="1276" w:type="dxa"/>
            <w:tcBorders>
              <w:top w:val="single" w:color="auto" w:sz="4" w:space="0"/>
              <w:left w:val="single" w:color="auto" w:sz="6" w:space="0"/>
              <w:right w:val="single" w:color="auto" w:sz="6" w:space="0"/>
            </w:tcBorders>
            <w:vAlign w:val="center"/>
          </w:tcPr>
          <w:p>
            <w:pPr>
              <w:spacing w:line="240" w:lineRule="exact"/>
              <w:jc w:val="center"/>
              <w:rPr>
                <w:kern w:val="0"/>
                <w:sz w:val="20"/>
                <w:szCs w:val="20"/>
              </w:rPr>
            </w:pPr>
            <w:r>
              <w:rPr>
                <w:kern w:val="0"/>
                <w:sz w:val="20"/>
                <w:szCs w:val="20"/>
              </w:rPr>
              <w:t>0</w:t>
            </w:r>
          </w:p>
        </w:tc>
        <w:tc>
          <w:tcPr>
            <w:tcW w:w="1421" w:type="dxa"/>
            <w:tcBorders>
              <w:top w:val="single" w:color="auto" w:sz="4" w:space="0"/>
              <w:left w:val="single" w:color="auto" w:sz="6" w:space="0"/>
              <w:right w:val="single" w:color="auto" w:sz="6" w:space="0"/>
            </w:tcBorders>
            <w:vAlign w:val="center"/>
          </w:tcPr>
          <w:p>
            <w:pPr>
              <w:pStyle w:val="26"/>
              <w:adjustRightInd w:val="0"/>
              <w:snapToGrid w:val="0"/>
              <w:jc w:val="center"/>
              <w:rPr>
                <w:rFonts w:ascii="Times New Roman" w:hAnsi="Times New Roman"/>
                <w:spacing w:val="-12"/>
                <w:sz w:val="20"/>
              </w:rPr>
            </w:pPr>
            <w:r>
              <w:rPr>
                <w:rFonts w:ascii="Times New Roman" w:hAnsi="Times New Roman"/>
                <w:spacing w:val="-12"/>
                <w:sz w:val="20"/>
              </w:rPr>
              <w:t>0</w:t>
            </w:r>
          </w:p>
        </w:tc>
        <w:tc>
          <w:tcPr>
            <w:tcW w:w="1613" w:type="dxa"/>
            <w:tcBorders>
              <w:top w:val="single" w:color="auto" w:sz="4" w:space="0"/>
              <w:left w:val="single" w:color="auto" w:sz="6" w:space="0"/>
              <w:right w:val="single" w:color="auto" w:sz="12" w:space="0"/>
            </w:tcBorders>
            <w:vAlign w:val="center"/>
          </w:tcPr>
          <w:p>
            <w:pPr>
              <w:pStyle w:val="26"/>
              <w:adjustRightInd w:val="0"/>
              <w:snapToGrid w:val="0"/>
              <w:jc w:val="center"/>
              <w:rPr>
                <w:rFonts w:ascii="Times New Roman" w:hAnsi="Times New Roman"/>
                <w:spacing w:val="-12"/>
                <w:sz w:val="20"/>
              </w:rPr>
            </w:pPr>
            <w:r>
              <w:rPr>
                <w:rFonts w:ascii="Times New Roman" w:hAnsi="Times New Roman"/>
                <w:spacing w:val="-12"/>
                <w:sz w:val="20"/>
              </w:rPr>
              <w:t>4.8</w:t>
            </w:r>
            <w:r>
              <w:rPr>
                <w:rFonts w:ascii="Times New Roman" w:hAnsi="Times New Roman"/>
                <w:kern w:val="0"/>
                <w:sz w:val="20"/>
              </w:rPr>
              <w:t xml:space="preserve"> 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1" w:hRule="atLeast"/>
        </w:trPr>
        <w:tc>
          <w:tcPr>
            <w:tcW w:w="421" w:type="dxa"/>
            <w:vMerge w:val="restart"/>
            <w:tcBorders>
              <w:left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3</w:t>
            </w:r>
          </w:p>
        </w:tc>
        <w:tc>
          <w:tcPr>
            <w:tcW w:w="681" w:type="dxa"/>
            <w:vMerge w:val="restart"/>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一般固废</w:t>
            </w:r>
          </w:p>
        </w:tc>
        <w:tc>
          <w:tcPr>
            <w:tcW w:w="1700" w:type="dxa"/>
            <w:gridSpan w:val="2"/>
            <w:tcBorders>
              <w:bottom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矿山：废石</w:t>
            </w:r>
          </w:p>
        </w:tc>
        <w:tc>
          <w:tcPr>
            <w:tcW w:w="1416" w:type="dxa"/>
            <w:tcBorders>
              <w:left w:val="single" w:color="auto" w:sz="6" w:space="0"/>
              <w:bottom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w:t>
            </w:r>
          </w:p>
        </w:tc>
        <w:tc>
          <w:tcPr>
            <w:tcW w:w="1276" w:type="dxa"/>
            <w:tcBorders>
              <w:left w:val="single" w:color="auto" w:sz="6" w:space="0"/>
              <w:bottom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0.9万t/a</w:t>
            </w:r>
          </w:p>
        </w:tc>
        <w:tc>
          <w:tcPr>
            <w:tcW w:w="1421" w:type="dxa"/>
            <w:tcBorders>
              <w:left w:val="single" w:color="auto" w:sz="6" w:space="0"/>
              <w:bottom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w:t>
            </w:r>
          </w:p>
        </w:tc>
        <w:tc>
          <w:tcPr>
            <w:tcW w:w="1613" w:type="dxa"/>
            <w:tcBorders>
              <w:left w:val="single" w:color="auto" w:sz="6" w:space="0"/>
              <w:bottom w:val="single" w:color="auto" w:sz="6" w:space="0"/>
              <w:right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01" w:hRule="atLeast"/>
        </w:trPr>
        <w:tc>
          <w:tcPr>
            <w:tcW w:w="421" w:type="dxa"/>
            <w:vMerge w:val="continue"/>
            <w:tcBorders>
              <w:left w:val="single" w:color="auto" w:sz="12" w:space="0"/>
            </w:tcBorders>
            <w:vAlign w:val="center"/>
          </w:tcPr>
          <w:p>
            <w:pPr>
              <w:pStyle w:val="26"/>
              <w:adjustRightInd w:val="0"/>
              <w:snapToGrid w:val="0"/>
              <w:jc w:val="center"/>
              <w:rPr>
                <w:rFonts w:ascii="Times New Roman" w:hAnsi="Times New Roman"/>
                <w:spacing w:val="2"/>
                <w:sz w:val="20"/>
              </w:rPr>
            </w:pPr>
          </w:p>
        </w:tc>
        <w:tc>
          <w:tcPr>
            <w:tcW w:w="681" w:type="dxa"/>
            <w:vMerge w:val="continue"/>
            <w:vAlign w:val="center"/>
          </w:tcPr>
          <w:p>
            <w:pPr>
              <w:pStyle w:val="26"/>
              <w:adjustRightInd w:val="0"/>
              <w:snapToGrid w:val="0"/>
              <w:jc w:val="center"/>
              <w:rPr>
                <w:rFonts w:ascii="Times New Roman" w:hAnsi="Times New Roman"/>
                <w:spacing w:val="2"/>
                <w:sz w:val="20"/>
              </w:rPr>
            </w:pPr>
          </w:p>
        </w:tc>
        <w:tc>
          <w:tcPr>
            <w:tcW w:w="1700" w:type="dxa"/>
            <w:gridSpan w:val="2"/>
            <w:tcBorders>
              <w:top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选厂：尾矿</w:t>
            </w:r>
          </w:p>
        </w:tc>
        <w:tc>
          <w:tcPr>
            <w:tcW w:w="1416" w:type="dxa"/>
            <w:tcBorders>
              <w:top w:val="single" w:color="auto" w:sz="6" w:space="0"/>
              <w:left w:val="single" w:color="auto" w:sz="6" w:space="0"/>
              <w:right w:val="single" w:color="auto" w:sz="6" w:space="0"/>
            </w:tcBorders>
            <w:vAlign w:val="center"/>
          </w:tcPr>
          <w:p>
            <w:pPr>
              <w:adjustRightInd w:val="0"/>
              <w:snapToGrid w:val="0"/>
              <w:jc w:val="center"/>
              <w:rPr>
                <w:spacing w:val="2"/>
                <w:sz w:val="20"/>
                <w:szCs w:val="20"/>
              </w:rPr>
            </w:pPr>
            <w:r>
              <w:rPr>
                <w:spacing w:val="2"/>
                <w:sz w:val="20"/>
                <w:szCs w:val="20"/>
              </w:rPr>
              <w:t>0</w:t>
            </w:r>
          </w:p>
        </w:tc>
        <w:tc>
          <w:tcPr>
            <w:tcW w:w="1276" w:type="dxa"/>
            <w:tcBorders>
              <w:top w:val="single" w:color="auto" w:sz="6" w:space="0"/>
              <w:left w:val="single" w:color="auto" w:sz="6" w:space="0"/>
              <w:right w:val="single" w:color="auto" w:sz="6" w:space="0"/>
            </w:tcBorders>
            <w:vAlign w:val="center"/>
          </w:tcPr>
          <w:p>
            <w:pPr>
              <w:adjustRightInd w:val="0"/>
              <w:snapToGrid w:val="0"/>
              <w:jc w:val="center"/>
              <w:rPr>
                <w:spacing w:val="2"/>
                <w:sz w:val="20"/>
                <w:szCs w:val="20"/>
              </w:rPr>
            </w:pPr>
            <w:r>
              <w:rPr>
                <w:spacing w:val="2"/>
                <w:sz w:val="20"/>
                <w:szCs w:val="20"/>
              </w:rPr>
              <w:t>6.05</w:t>
            </w:r>
            <w:r>
              <w:rPr>
                <w:spacing w:val="2"/>
                <w:sz w:val="20"/>
              </w:rPr>
              <w:t>万t/a</w:t>
            </w:r>
          </w:p>
        </w:tc>
        <w:tc>
          <w:tcPr>
            <w:tcW w:w="1421" w:type="dxa"/>
            <w:tcBorders>
              <w:top w:val="single" w:color="auto" w:sz="6" w:space="0"/>
              <w:left w:val="single" w:color="auto" w:sz="6"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w:t>
            </w:r>
          </w:p>
        </w:tc>
        <w:tc>
          <w:tcPr>
            <w:tcW w:w="1613" w:type="dxa"/>
            <w:tcBorders>
              <w:top w:val="single" w:color="auto" w:sz="6" w:space="0"/>
              <w:left w:val="single" w:color="auto" w:sz="6" w:space="0"/>
              <w:right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trPr>
        <w:tc>
          <w:tcPr>
            <w:tcW w:w="421" w:type="dxa"/>
            <w:vMerge w:val="continue"/>
            <w:tcBorders>
              <w:left w:val="single" w:color="auto" w:sz="12" w:space="0"/>
              <w:bottom w:val="single" w:color="auto" w:sz="12" w:space="0"/>
            </w:tcBorders>
            <w:vAlign w:val="center"/>
          </w:tcPr>
          <w:p>
            <w:pPr>
              <w:pStyle w:val="26"/>
              <w:adjustRightInd w:val="0"/>
              <w:snapToGrid w:val="0"/>
              <w:jc w:val="center"/>
              <w:rPr>
                <w:rFonts w:ascii="Times New Roman" w:hAnsi="Times New Roman"/>
                <w:spacing w:val="2"/>
                <w:sz w:val="20"/>
              </w:rPr>
            </w:pPr>
          </w:p>
        </w:tc>
        <w:tc>
          <w:tcPr>
            <w:tcW w:w="681" w:type="dxa"/>
            <w:vMerge w:val="continue"/>
            <w:tcBorders>
              <w:bottom w:val="single" w:color="auto" w:sz="12" w:space="0"/>
            </w:tcBorders>
            <w:vAlign w:val="center"/>
          </w:tcPr>
          <w:p>
            <w:pPr>
              <w:pStyle w:val="26"/>
              <w:adjustRightInd w:val="0"/>
              <w:snapToGrid w:val="0"/>
              <w:jc w:val="center"/>
              <w:rPr>
                <w:rFonts w:ascii="Times New Roman" w:hAnsi="Times New Roman"/>
                <w:spacing w:val="2"/>
                <w:sz w:val="20"/>
              </w:rPr>
            </w:pPr>
          </w:p>
        </w:tc>
        <w:tc>
          <w:tcPr>
            <w:tcW w:w="1700" w:type="dxa"/>
            <w:gridSpan w:val="2"/>
            <w:tcBorders>
              <w:bottom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生活垃圾</w:t>
            </w:r>
          </w:p>
        </w:tc>
        <w:tc>
          <w:tcPr>
            <w:tcW w:w="1416" w:type="dxa"/>
            <w:tcBorders>
              <w:left w:val="single" w:color="auto" w:sz="6" w:space="0"/>
              <w:bottom w:val="single" w:color="auto" w:sz="12"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w:t>
            </w:r>
          </w:p>
        </w:tc>
        <w:tc>
          <w:tcPr>
            <w:tcW w:w="1276" w:type="dxa"/>
            <w:tcBorders>
              <w:left w:val="single" w:color="auto" w:sz="6" w:space="0"/>
              <w:bottom w:val="single" w:color="auto" w:sz="12"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15 t/a</w:t>
            </w:r>
          </w:p>
        </w:tc>
        <w:tc>
          <w:tcPr>
            <w:tcW w:w="1421" w:type="dxa"/>
            <w:tcBorders>
              <w:left w:val="single" w:color="auto" w:sz="6" w:space="0"/>
              <w:bottom w:val="single" w:color="auto" w:sz="12" w:space="0"/>
              <w:right w:val="single" w:color="auto" w:sz="6"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w:t>
            </w:r>
          </w:p>
        </w:tc>
        <w:tc>
          <w:tcPr>
            <w:tcW w:w="1613" w:type="dxa"/>
            <w:tcBorders>
              <w:left w:val="single" w:color="auto" w:sz="6" w:space="0"/>
              <w:bottom w:val="single" w:color="auto" w:sz="12" w:space="0"/>
              <w:right w:val="single" w:color="auto" w:sz="12" w:space="0"/>
            </w:tcBorders>
            <w:vAlign w:val="center"/>
          </w:tcPr>
          <w:p>
            <w:pPr>
              <w:pStyle w:val="26"/>
              <w:adjustRightInd w:val="0"/>
              <w:snapToGrid w:val="0"/>
              <w:jc w:val="center"/>
              <w:rPr>
                <w:rFonts w:ascii="Times New Roman" w:hAnsi="Times New Roman"/>
                <w:spacing w:val="2"/>
                <w:sz w:val="20"/>
              </w:rPr>
            </w:pPr>
            <w:r>
              <w:rPr>
                <w:rFonts w:ascii="Times New Roman" w:hAnsi="Times New Roman"/>
                <w:spacing w:val="2"/>
                <w:sz w:val="20"/>
              </w:rPr>
              <w:t>0</w:t>
            </w:r>
          </w:p>
        </w:tc>
      </w:tr>
    </w:tbl>
    <w:p>
      <w:pPr>
        <w:pStyle w:val="74"/>
      </w:pPr>
    </w:p>
    <w:p>
      <w:pPr>
        <w:pStyle w:val="3"/>
        <w:spacing w:before="0" w:after="0"/>
        <w:rPr>
          <w:rFonts w:ascii="Times New Roman" w:hAnsi="Times New Roman"/>
        </w:rPr>
      </w:pPr>
      <w:bookmarkStart w:id="525" w:name="_Toc488578914"/>
      <w:r>
        <w:rPr>
          <w:rFonts w:ascii="Times New Roman" w:hAnsi="Times New Roman"/>
        </w:rPr>
        <w:t>5.2 监测期间工况</w:t>
      </w:r>
      <w:bookmarkEnd w:id="517"/>
      <w:bookmarkEnd w:id="518"/>
      <w:bookmarkEnd w:id="519"/>
      <w:bookmarkEnd w:id="520"/>
      <w:bookmarkEnd w:id="521"/>
      <w:bookmarkEnd w:id="522"/>
      <w:bookmarkEnd w:id="523"/>
      <w:bookmarkEnd w:id="524"/>
      <w:bookmarkEnd w:id="525"/>
    </w:p>
    <w:p>
      <w:pPr>
        <w:spacing w:line="360" w:lineRule="auto"/>
        <w:jc w:val="left"/>
        <w:rPr>
          <w:sz w:val="24"/>
        </w:rPr>
      </w:pPr>
      <w:r>
        <w:rPr>
          <w:sz w:val="24"/>
        </w:rPr>
        <w:t xml:space="preserve">    本次验收监测期间，全厂生产工况稳定，环保设施运行正常，监测期间生产工况详见表5.2-1，监测报告见附件七.</w:t>
      </w:r>
    </w:p>
    <w:p>
      <w:pPr>
        <w:jc w:val="left"/>
        <w:rPr>
          <w:rFonts w:eastAsia="黑体"/>
          <w:sz w:val="22"/>
          <w:szCs w:val="22"/>
        </w:rPr>
      </w:pPr>
      <w:r>
        <w:rPr>
          <w:rFonts w:eastAsia="黑体"/>
          <w:sz w:val="22"/>
          <w:szCs w:val="22"/>
        </w:rPr>
        <w:t xml:space="preserve">    表5.2-1                 监测期间生产工况调查表</w:t>
      </w:r>
    </w:p>
    <w:tbl>
      <w:tblPr>
        <w:tblStyle w:val="54"/>
        <w:tblW w:w="85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42"/>
        <w:gridCol w:w="1878"/>
        <w:gridCol w:w="2127"/>
        <w:gridCol w:w="2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op w:val="single" w:color="auto" w:sz="12" w:space="0"/>
              <w:left w:val="single" w:color="auto" w:sz="12" w:space="0"/>
              <w:bottom w:val="single" w:color="auto" w:sz="4" w:space="0"/>
              <w:right w:val="single" w:color="auto" w:sz="6" w:space="0"/>
            </w:tcBorders>
            <w:vAlign w:val="center"/>
          </w:tcPr>
          <w:p>
            <w:pPr>
              <w:jc w:val="center"/>
              <w:rPr>
                <w:sz w:val="20"/>
                <w:szCs w:val="20"/>
              </w:rPr>
            </w:pPr>
          </w:p>
        </w:tc>
        <w:tc>
          <w:tcPr>
            <w:tcW w:w="1842" w:type="dxa"/>
            <w:tcBorders>
              <w:top w:val="single" w:color="auto" w:sz="12" w:space="0"/>
              <w:left w:val="single" w:color="auto" w:sz="6" w:space="0"/>
              <w:bottom w:val="single" w:color="auto" w:sz="4" w:space="0"/>
            </w:tcBorders>
            <w:vAlign w:val="center"/>
          </w:tcPr>
          <w:p>
            <w:pPr>
              <w:jc w:val="center"/>
              <w:rPr>
                <w:sz w:val="20"/>
                <w:szCs w:val="20"/>
              </w:rPr>
            </w:pPr>
            <w:r>
              <w:rPr>
                <w:sz w:val="20"/>
                <w:szCs w:val="20"/>
              </w:rPr>
              <w:t>日期</w:t>
            </w:r>
          </w:p>
        </w:tc>
        <w:tc>
          <w:tcPr>
            <w:tcW w:w="1878" w:type="dxa"/>
            <w:tcBorders>
              <w:top w:val="single" w:color="auto" w:sz="12" w:space="0"/>
              <w:bottom w:val="single" w:color="auto" w:sz="4" w:space="0"/>
            </w:tcBorders>
            <w:vAlign w:val="center"/>
          </w:tcPr>
          <w:p>
            <w:pPr>
              <w:jc w:val="center"/>
              <w:rPr>
                <w:sz w:val="20"/>
                <w:szCs w:val="20"/>
              </w:rPr>
            </w:pPr>
            <w:r>
              <w:rPr>
                <w:sz w:val="20"/>
                <w:szCs w:val="20"/>
              </w:rPr>
              <w:t>满负荷产量</w:t>
            </w:r>
          </w:p>
        </w:tc>
        <w:tc>
          <w:tcPr>
            <w:tcW w:w="2127" w:type="dxa"/>
            <w:tcBorders>
              <w:top w:val="single" w:color="auto" w:sz="12" w:space="0"/>
              <w:bottom w:val="single" w:color="auto" w:sz="4" w:space="0"/>
            </w:tcBorders>
            <w:vAlign w:val="center"/>
          </w:tcPr>
          <w:p>
            <w:pPr>
              <w:jc w:val="center"/>
              <w:rPr>
                <w:sz w:val="20"/>
                <w:szCs w:val="20"/>
              </w:rPr>
            </w:pPr>
            <w:r>
              <w:rPr>
                <w:sz w:val="20"/>
                <w:szCs w:val="20"/>
              </w:rPr>
              <w:t>实际日产量</w:t>
            </w:r>
          </w:p>
        </w:tc>
        <w:tc>
          <w:tcPr>
            <w:tcW w:w="2147" w:type="dxa"/>
            <w:tcBorders>
              <w:top w:val="single" w:color="auto" w:sz="12" w:space="0"/>
              <w:bottom w:val="single" w:color="auto" w:sz="4" w:space="0"/>
              <w:right w:val="single" w:color="auto" w:sz="12" w:space="0"/>
            </w:tcBorders>
            <w:vAlign w:val="center"/>
          </w:tcPr>
          <w:p>
            <w:pPr>
              <w:jc w:val="center"/>
              <w:rPr>
                <w:sz w:val="20"/>
                <w:szCs w:val="20"/>
              </w:rPr>
            </w:pPr>
            <w:r>
              <w:rPr>
                <w:sz w:val="20"/>
                <w:szCs w:val="20"/>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restart"/>
            <w:tcBorders>
              <w:top w:val="single" w:color="auto" w:sz="4" w:space="0"/>
              <w:left w:val="single" w:color="auto" w:sz="12" w:space="0"/>
              <w:bottom w:val="single" w:color="auto" w:sz="4" w:space="0"/>
              <w:right w:val="single" w:color="auto" w:sz="6" w:space="0"/>
            </w:tcBorders>
            <w:vAlign w:val="center"/>
          </w:tcPr>
          <w:p>
            <w:pPr>
              <w:jc w:val="center"/>
              <w:rPr>
                <w:sz w:val="20"/>
                <w:szCs w:val="20"/>
              </w:rPr>
            </w:pPr>
            <w:r>
              <w:rPr>
                <w:sz w:val="20"/>
                <w:szCs w:val="20"/>
              </w:rPr>
              <w:t>矿山</w:t>
            </w:r>
          </w:p>
        </w:tc>
        <w:tc>
          <w:tcPr>
            <w:tcW w:w="1842"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2016年8月25日</w:t>
            </w:r>
          </w:p>
        </w:tc>
        <w:tc>
          <w:tcPr>
            <w:tcW w:w="1878" w:type="dxa"/>
            <w:tcBorders>
              <w:top w:val="single" w:color="auto" w:sz="4" w:space="0"/>
              <w:bottom w:val="single" w:color="auto" w:sz="4" w:space="0"/>
            </w:tcBorders>
            <w:vAlign w:val="center"/>
          </w:tcPr>
          <w:p>
            <w:pPr>
              <w:jc w:val="center"/>
              <w:rPr>
                <w:sz w:val="20"/>
                <w:szCs w:val="20"/>
              </w:rPr>
            </w:pPr>
            <w:r>
              <w:rPr>
                <w:sz w:val="20"/>
                <w:szCs w:val="20"/>
              </w:rPr>
              <w:t>500t/d</w:t>
            </w:r>
          </w:p>
        </w:tc>
        <w:tc>
          <w:tcPr>
            <w:tcW w:w="2127" w:type="dxa"/>
            <w:tcBorders>
              <w:top w:val="single" w:color="auto" w:sz="4" w:space="0"/>
              <w:bottom w:val="single" w:color="auto" w:sz="4" w:space="0"/>
            </w:tcBorders>
            <w:vAlign w:val="center"/>
          </w:tcPr>
          <w:p>
            <w:pPr>
              <w:jc w:val="center"/>
              <w:rPr>
                <w:sz w:val="20"/>
                <w:szCs w:val="20"/>
              </w:rPr>
            </w:pPr>
            <w:r>
              <w:rPr>
                <w:sz w:val="20"/>
                <w:szCs w:val="20"/>
              </w:rPr>
              <w:t>400t/d</w:t>
            </w:r>
          </w:p>
        </w:tc>
        <w:tc>
          <w:tcPr>
            <w:tcW w:w="2147" w:type="dxa"/>
            <w:tcBorders>
              <w:top w:val="single" w:color="auto" w:sz="4" w:space="0"/>
              <w:bottom w:val="single" w:color="auto" w:sz="4" w:space="0"/>
              <w:right w:val="single" w:color="auto" w:sz="12" w:space="0"/>
            </w:tcBorders>
            <w:vAlign w:val="center"/>
          </w:tcPr>
          <w:p>
            <w:pPr>
              <w:jc w:val="center"/>
              <w:rPr>
                <w:sz w:val="20"/>
                <w:szCs w:val="20"/>
              </w:rPr>
            </w:pPr>
            <w:r>
              <w:rPr>
                <w:sz w:val="20"/>
                <w:szCs w:val="20"/>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Borders>
              <w:top w:val="single" w:color="auto" w:sz="4" w:space="0"/>
              <w:left w:val="single" w:color="auto" w:sz="12" w:space="0"/>
              <w:bottom w:val="single" w:color="auto" w:sz="4" w:space="0"/>
              <w:right w:val="single" w:color="auto" w:sz="6" w:space="0"/>
            </w:tcBorders>
            <w:vAlign w:val="center"/>
          </w:tcPr>
          <w:p>
            <w:pPr>
              <w:jc w:val="center"/>
              <w:rPr>
                <w:sz w:val="20"/>
                <w:szCs w:val="20"/>
              </w:rPr>
            </w:pPr>
          </w:p>
        </w:tc>
        <w:tc>
          <w:tcPr>
            <w:tcW w:w="1842"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2016年8月26日</w:t>
            </w:r>
          </w:p>
        </w:tc>
        <w:tc>
          <w:tcPr>
            <w:tcW w:w="1878" w:type="dxa"/>
            <w:tcBorders>
              <w:top w:val="single" w:color="auto" w:sz="4" w:space="0"/>
              <w:bottom w:val="single" w:color="auto" w:sz="4" w:space="0"/>
            </w:tcBorders>
            <w:vAlign w:val="center"/>
          </w:tcPr>
          <w:p>
            <w:pPr>
              <w:jc w:val="center"/>
              <w:rPr>
                <w:sz w:val="20"/>
                <w:szCs w:val="20"/>
              </w:rPr>
            </w:pPr>
            <w:r>
              <w:rPr>
                <w:sz w:val="20"/>
                <w:szCs w:val="20"/>
              </w:rPr>
              <w:t>500t/d</w:t>
            </w:r>
          </w:p>
        </w:tc>
        <w:tc>
          <w:tcPr>
            <w:tcW w:w="2127" w:type="dxa"/>
            <w:tcBorders>
              <w:top w:val="single" w:color="auto" w:sz="4" w:space="0"/>
              <w:bottom w:val="single" w:color="auto" w:sz="4" w:space="0"/>
            </w:tcBorders>
            <w:vAlign w:val="center"/>
          </w:tcPr>
          <w:p>
            <w:pPr>
              <w:jc w:val="center"/>
              <w:rPr>
                <w:sz w:val="20"/>
                <w:szCs w:val="20"/>
              </w:rPr>
            </w:pPr>
            <w:r>
              <w:rPr>
                <w:sz w:val="20"/>
                <w:szCs w:val="20"/>
              </w:rPr>
              <w:t>400t/d</w:t>
            </w:r>
          </w:p>
        </w:tc>
        <w:tc>
          <w:tcPr>
            <w:tcW w:w="2147" w:type="dxa"/>
            <w:tcBorders>
              <w:top w:val="single" w:color="auto" w:sz="4" w:space="0"/>
              <w:bottom w:val="single" w:color="auto" w:sz="4" w:space="0"/>
              <w:right w:val="single" w:color="auto" w:sz="12" w:space="0"/>
            </w:tcBorders>
            <w:vAlign w:val="center"/>
          </w:tcPr>
          <w:p>
            <w:pPr>
              <w:jc w:val="center"/>
              <w:rPr>
                <w:sz w:val="20"/>
                <w:szCs w:val="20"/>
              </w:rPr>
            </w:pPr>
            <w:r>
              <w:rPr>
                <w:sz w:val="20"/>
                <w:szCs w:val="20"/>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Borders>
              <w:top w:val="single" w:color="auto" w:sz="4" w:space="0"/>
              <w:left w:val="single" w:color="auto" w:sz="12" w:space="0"/>
              <w:bottom w:val="single" w:color="auto" w:sz="4" w:space="0"/>
              <w:right w:val="single" w:color="auto" w:sz="6" w:space="0"/>
            </w:tcBorders>
            <w:vAlign w:val="center"/>
          </w:tcPr>
          <w:p>
            <w:pPr>
              <w:jc w:val="center"/>
              <w:rPr>
                <w:sz w:val="20"/>
                <w:szCs w:val="20"/>
              </w:rPr>
            </w:pPr>
          </w:p>
        </w:tc>
        <w:tc>
          <w:tcPr>
            <w:tcW w:w="1842"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2016年8月27日</w:t>
            </w:r>
          </w:p>
        </w:tc>
        <w:tc>
          <w:tcPr>
            <w:tcW w:w="1878" w:type="dxa"/>
            <w:tcBorders>
              <w:top w:val="single" w:color="auto" w:sz="4" w:space="0"/>
              <w:bottom w:val="single" w:color="auto" w:sz="4" w:space="0"/>
            </w:tcBorders>
            <w:vAlign w:val="center"/>
          </w:tcPr>
          <w:p>
            <w:pPr>
              <w:jc w:val="center"/>
              <w:rPr>
                <w:sz w:val="20"/>
                <w:szCs w:val="20"/>
              </w:rPr>
            </w:pPr>
            <w:r>
              <w:rPr>
                <w:sz w:val="20"/>
                <w:szCs w:val="20"/>
              </w:rPr>
              <w:t>500t/d</w:t>
            </w:r>
          </w:p>
        </w:tc>
        <w:tc>
          <w:tcPr>
            <w:tcW w:w="2127" w:type="dxa"/>
            <w:tcBorders>
              <w:top w:val="single" w:color="auto" w:sz="4" w:space="0"/>
              <w:bottom w:val="single" w:color="auto" w:sz="4" w:space="0"/>
            </w:tcBorders>
            <w:vAlign w:val="center"/>
          </w:tcPr>
          <w:p>
            <w:pPr>
              <w:jc w:val="center"/>
              <w:rPr>
                <w:sz w:val="20"/>
                <w:szCs w:val="20"/>
              </w:rPr>
            </w:pPr>
            <w:r>
              <w:rPr>
                <w:sz w:val="20"/>
                <w:szCs w:val="20"/>
              </w:rPr>
              <w:t>400t/d</w:t>
            </w:r>
          </w:p>
        </w:tc>
        <w:tc>
          <w:tcPr>
            <w:tcW w:w="2147" w:type="dxa"/>
            <w:tcBorders>
              <w:top w:val="single" w:color="auto" w:sz="4" w:space="0"/>
              <w:bottom w:val="single" w:color="auto" w:sz="4" w:space="0"/>
              <w:right w:val="single" w:color="auto" w:sz="12" w:space="0"/>
            </w:tcBorders>
            <w:vAlign w:val="center"/>
          </w:tcPr>
          <w:p>
            <w:pPr>
              <w:jc w:val="center"/>
              <w:rPr>
                <w:sz w:val="20"/>
                <w:szCs w:val="20"/>
              </w:rPr>
            </w:pPr>
            <w:r>
              <w:rPr>
                <w:sz w:val="20"/>
                <w:szCs w:val="20"/>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Borders>
              <w:top w:val="single" w:color="auto" w:sz="4" w:space="0"/>
              <w:left w:val="single" w:color="auto" w:sz="12" w:space="0"/>
              <w:bottom w:val="single" w:color="auto" w:sz="4" w:space="0"/>
              <w:right w:val="single" w:color="auto" w:sz="6" w:space="0"/>
            </w:tcBorders>
            <w:vAlign w:val="center"/>
          </w:tcPr>
          <w:p>
            <w:pPr>
              <w:jc w:val="center"/>
              <w:rPr>
                <w:sz w:val="20"/>
                <w:szCs w:val="20"/>
              </w:rPr>
            </w:pPr>
          </w:p>
        </w:tc>
        <w:tc>
          <w:tcPr>
            <w:tcW w:w="1842"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均值</w:t>
            </w:r>
          </w:p>
        </w:tc>
        <w:tc>
          <w:tcPr>
            <w:tcW w:w="1878" w:type="dxa"/>
            <w:tcBorders>
              <w:top w:val="single" w:color="auto" w:sz="4" w:space="0"/>
              <w:bottom w:val="single" w:color="auto" w:sz="4" w:space="0"/>
            </w:tcBorders>
            <w:vAlign w:val="center"/>
          </w:tcPr>
          <w:p>
            <w:pPr>
              <w:jc w:val="center"/>
              <w:rPr>
                <w:sz w:val="20"/>
                <w:szCs w:val="20"/>
              </w:rPr>
            </w:pPr>
            <w:r>
              <w:rPr>
                <w:sz w:val="20"/>
                <w:szCs w:val="20"/>
              </w:rPr>
              <w:t>500t/d</w:t>
            </w:r>
          </w:p>
        </w:tc>
        <w:tc>
          <w:tcPr>
            <w:tcW w:w="2127" w:type="dxa"/>
            <w:tcBorders>
              <w:top w:val="single" w:color="auto" w:sz="4" w:space="0"/>
              <w:bottom w:val="single" w:color="auto" w:sz="4" w:space="0"/>
            </w:tcBorders>
            <w:vAlign w:val="center"/>
          </w:tcPr>
          <w:p>
            <w:pPr>
              <w:jc w:val="center"/>
              <w:rPr>
                <w:sz w:val="20"/>
                <w:szCs w:val="20"/>
              </w:rPr>
            </w:pPr>
            <w:r>
              <w:rPr>
                <w:sz w:val="20"/>
                <w:szCs w:val="20"/>
              </w:rPr>
              <w:t>400t/d</w:t>
            </w:r>
          </w:p>
        </w:tc>
        <w:tc>
          <w:tcPr>
            <w:tcW w:w="2147" w:type="dxa"/>
            <w:tcBorders>
              <w:top w:val="single" w:color="auto" w:sz="4" w:space="0"/>
              <w:bottom w:val="single" w:color="auto" w:sz="4" w:space="0"/>
              <w:right w:val="single" w:color="auto" w:sz="12" w:space="0"/>
            </w:tcBorders>
            <w:vAlign w:val="center"/>
          </w:tcPr>
          <w:p>
            <w:pPr>
              <w:jc w:val="center"/>
              <w:rPr>
                <w:sz w:val="20"/>
                <w:szCs w:val="20"/>
              </w:rPr>
            </w:pPr>
            <w:r>
              <w:rPr>
                <w:sz w:val="20"/>
                <w:szCs w:val="20"/>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restart"/>
            <w:tcBorders>
              <w:top w:val="single" w:color="auto" w:sz="4" w:space="0"/>
              <w:left w:val="single" w:color="auto" w:sz="12" w:space="0"/>
              <w:bottom w:val="single" w:color="auto" w:sz="4" w:space="0"/>
              <w:right w:val="single" w:color="auto" w:sz="6" w:space="0"/>
            </w:tcBorders>
            <w:vAlign w:val="center"/>
          </w:tcPr>
          <w:p>
            <w:pPr>
              <w:jc w:val="center"/>
              <w:rPr>
                <w:sz w:val="20"/>
                <w:szCs w:val="20"/>
              </w:rPr>
            </w:pPr>
            <w:r>
              <w:rPr>
                <w:sz w:val="20"/>
                <w:szCs w:val="20"/>
              </w:rPr>
              <w:t>选厂</w:t>
            </w:r>
          </w:p>
        </w:tc>
        <w:tc>
          <w:tcPr>
            <w:tcW w:w="1842"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2016年8月25日</w:t>
            </w:r>
          </w:p>
        </w:tc>
        <w:tc>
          <w:tcPr>
            <w:tcW w:w="1878" w:type="dxa"/>
            <w:tcBorders>
              <w:top w:val="single" w:color="auto" w:sz="4" w:space="0"/>
              <w:bottom w:val="single" w:color="auto" w:sz="4" w:space="0"/>
            </w:tcBorders>
            <w:vAlign w:val="center"/>
          </w:tcPr>
          <w:p>
            <w:pPr>
              <w:jc w:val="center"/>
              <w:rPr>
                <w:sz w:val="20"/>
                <w:szCs w:val="20"/>
              </w:rPr>
            </w:pPr>
            <w:r>
              <w:rPr>
                <w:sz w:val="20"/>
                <w:szCs w:val="20"/>
              </w:rPr>
              <w:t>500t/d</w:t>
            </w:r>
          </w:p>
        </w:tc>
        <w:tc>
          <w:tcPr>
            <w:tcW w:w="2127" w:type="dxa"/>
            <w:tcBorders>
              <w:top w:val="single" w:color="auto" w:sz="4" w:space="0"/>
              <w:bottom w:val="single" w:color="auto" w:sz="4" w:space="0"/>
            </w:tcBorders>
            <w:vAlign w:val="center"/>
          </w:tcPr>
          <w:p>
            <w:pPr>
              <w:jc w:val="center"/>
              <w:rPr>
                <w:sz w:val="20"/>
                <w:szCs w:val="20"/>
              </w:rPr>
            </w:pPr>
            <w:r>
              <w:rPr>
                <w:sz w:val="20"/>
                <w:szCs w:val="20"/>
              </w:rPr>
              <w:t>400t/d</w:t>
            </w:r>
          </w:p>
        </w:tc>
        <w:tc>
          <w:tcPr>
            <w:tcW w:w="2147" w:type="dxa"/>
            <w:tcBorders>
              <w:top w:val="single" w:color="auto" w:sz="4" w:space="0"/>
              <w:bottom w:val="single" w:color="auto" w:sz="4" w:space="0"/>
              <w:right w:val="single" w:color="auto" w:sz="12" w:space="0"/>
            </w:tcBorders>
            <w:vAlign w:val="center"/>
          </w:tcPr>
          <w:p>
            <w:pPr>
              <w:jc w:val="center"/>
              <w:rPr>
                <w:sz w:val="20"/>
                <w:szCs w:val="20"/>
              </w:rPr>
            </w:pPr>
            <w:r>
              <w:rPr>
                <w:sz w:val="20"/>
                <w:szCs w:val="20"/>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Borders>
              <w:top w:val="single" w:color="auto" w:sz="4" w:space="0"/>
              <w:left w:val="single" w:color="auto" w:sz="12" w:space="0"/>
              <w:bottom w:val="single" w:color="auto" w:sz="4" w:space="0"/>
              <w:right w:val="single" w:color="auto" w:sz="6" w:space="0"/>
            </w:tcBorders>
            <w:vAlign w:val="center"/>
          </w:tcPr>
          <w:p>
            <w:pPr>
              <w:jc w:val="center"/>
              <w:rPr>
                <w:sz w:val="20"/>
                <w:szCs w:val="20"/>
              </w:rPr>
            </w:pPr>
          </w:p>
        </w:tc>
        <w:tc>
          <w:tcPr>
            <w:tcW w:w="1842"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2016年8月26日</w:t>
            </w:r>
          </w:p>
        </w:tc>
        <w:tc>
          <w:tcPr>
            <w:tcW w:w="1878" w:type="dxa"/>
            <w:tcBorders>
              <w:top w:val="single" w:color="auto" w:sz="4" w:space="0"/>
              <w:bottom w:val="single" w:color="auto" w:sz="4" w:space="0"/>
            </w:tcBorders>
            <w:vAlign w:val="center"/>
          </w:tcPr>
          <w:p>
            <w:pPr>
              <w:jc w:val="center"/>
              <w:rPr>
                <w:sz w:val="20"/>
                <w:szCs w:val="20"/>
              </w:rPr>
            </w:pPr>
            <w:r>
              <w:rPr>
                <w:sz w:val="20"/>
                <w:szCs w:val="20"/>
              </w:rPr>
              <w:t>500t/d</w:t>
            </w:r>
          </w:p>
        </w:tc>
        <w:tc>
          <w:tcPr>
            <w:tcW w:w="2127" w:type="dxa"/>
            <w:tcBorders>
              <w:top w:val="single" w:color="auto" w:sz="4" w:space="0"/>
              <w:bottom w:val="single" w:color="auto" w:sz="4" w:space="0"/>
            </w:tcBorders>
            <w:vAlign w:val="center"/>
          </w:tcPr>
          <w:p>
            <w:pPr>
              <w:jc w:val="center"/>
              <w:rPr>
                <w:sz w:val="20"/>
                <w:szCs w:val="20"/>
              </w:rPr>
            </w:pPr>
            <w:r>
              <w:rPr>
                <w:sz w:val="20"/>
                <w:szCs w:val="20"/>
              </w:rPr>
              <w:t>400t/d</w:t>
            </w:r>
          </w:p>
        </w:tc>
        <w:tc>
          <w:tcPr>
            <w:tcW w:w="2147" w:type="dxa"/>
            <w:tcBorders>
              <w:top w:val="single" w:color="auto" w:sz="4" w:space="0"/>
              <w:bottom w:val="single" w:color="auto" w:sz="4" w:space="0"/>
              <w:right w:val="single" w:color="auto" w:sz="12" w:space="0"/>
            </w:tcBorders>
            <w:vAlign w:val="center"/>
          </w:tcPr>
          <w:p>
            <w:pPr>
              <w:jc w:val="center"/>
              <w:rPr>
                <w:sz w:val="20"/>
                <w:szCs w:val="20"/>
              </w:rPr>
            </w:pPr>
            <w:r>
              <w:rPr>
                <w:sz w:val="20"/>
                <w:szCs w:val="20"/>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Borders>
              <w:top w:val="single" w:color="auto" w:sz="4" w:space="0"/>
              <w:left w:val="single" w:color="auto" w:sz="12" w:space="0"/>
              <w:bottom w:val="single" w:color="auto" w:sz="4" w:space="0"/>
              <w:right w:val="single" w:color="auto" w:sz="6" w:space="0"/>
            </w:tcBorders>
            <w:vAlign w:val="center"/>
          </w:tcPr>
          <w:p>
            <w:pPr>
              <w:jc w:val="center"/>
              <w:rPr>
                <w:sz w:val="20"/>
                <w:szCs w:val="20"/>
              </w:rPr>
            </w:pPr>
          </w:p>
        </w:tc>
        <w:tc>
          <w:tcPr>
            <w:tcW w:w="1842"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2016年8月27日</w:t>
            </w:r>
          </w:p>
        </w:tc>
        <w:tc>
          <w:tcPr>
            <w:tcW w:w="1878" w:type="dxa"/>
            <w:tcBorders>
              <w:top w:val="single" w:color="auto" w:sz="4" w:space="0"/>
              <w:bottom w:val="single" w:color="auto" w:sz="4" w:space="0"/>
            </w:tcBorders>
            <w:vAlign w:val="center"/>
          </w:tcPr>
          <w:p>
            <w:pPr>
              <w:jc w:val="center"/>
              <w:rPr>
                <w:sz w:val="20"/>
                <w:szCs w:val="20"/>
              </w:rPr>
            </w:pPr>
            <w:r>
              <w:rPr>
                <w:sz w:val="20"/>
                <w:szCs w:val="20"/>
              </w:rPr>
              <w:t>500t/d</w:t>
            </w:r>
          </w:p>
        </w:tc>
        <w:tc>
          <w:tcPr>
            <w:tcW w:w="2127" w:type="dxa"/>
            <w:tcBorders>
              <w:top w:val="single" w:color="auto" w:sz="4" w:space="0"/>
              <w:bottom w:val="single" w:color="auto" w:sz="4" w:space="0"/>
            </w:tcBorders>
            <w:vAlign w:val="center"/>
          </w:tcPr>
          <w:p>
            <w:pPr>
              <w:jc w:val="center"/>
              <w:rPr>
                <w:sz w:val="20"/>
                <w:szCs w:val="20"/>
              </w:rPr>
            </w:pPr>
            <w:r>
              <w:rPr>
                <w:sz w:val="20"/>
                <w:szCs w:val="20"/>
              </w:rPr>
              <w:t>400t/d</w:t>
            </w:r>
          </w:p>
        </w:tc>
        <w:tc>
          <w:tcPr>
            <w:tcW w:w="2147" w:type="dxa"/>
            <w:tcBorders>
              <w:top w:val="single" w:color="auto" w:sz="4" w:space="0"/>
              <w:bottom w:val="single" w:color="auto" w:sz="4" w:space="0"/>
              <w:right w:val="single" w:color="auto" w:sz="12" w:space="0"/>
            </w:tcBorders>
            <w:vAlign w:val="center"/>
          </w:tcPr>
          <w:p>
            <w:pPr>
              <w:jc w:val="center"/>
              <w:rPr>
                <w:sz w:val="20"/>
                <w:szCs w:val="20"/>
              </w:rPr>
            </w:pPr>
            <w:r>
              <w:rPr>
                <w:sz w:val="20"/>
                <w:szCs w:val="20"/>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4" w:type="dxa"/>
            <w:vMerge w:val="continue"/>
            <w:tcBorders>
              <w:top w:val="single" w:color="auto" w:sz="4" w:space="0"/>
              <w:left w:val="single" w:color="auto" w:sz="12" w:space="0"/>
              <w:bottom w:val="single" w:color="auto" w:sz="12" w:space="0"/>
              <w:right w:val="single" w:color="auto" w:sz="6" w:space="0"/>
            </w:tcBorders>
            <w:vAlign w:val="center"/>
          </w:tcPr>
          <w:p>
            <w:pPr>
              <w:jc w:val="center"/>
              <w:rPr>
                <w:sz w:val="20"/>
                <w:szCs w:val="20"/>
              </w:rPr>
            </w:pPr>
          </w:p>
        </w:tc>
        <w:tc>
          <w:tcPr>
            <w:tcW w:w="1842" w:type="dxa"/>
            <w:tcBorders>
              <w:top w:val="single" w:color="auto" w:sz="4" w:space="0"/>
              <w:left w:val="single" w:color="auto" w:sz="6" w:space="0"/>
              <w:bottom w:val="single" w:color="auto" w:sz="12" w:space="0"/>
            </w:tcBorders>
            <w:vAlign w:val="center"/>
          </w:tcPr>
          <w:p>
            <w:pPr>
              <w:jc w:val="center"/>
              <w:rPr>
                <w:sz w:val="20"/>
                <w:szCs w:val="20"/>
              </w:rPr>
            </w:pPr>
            <w:r>
              <w:rPr>
                <w:sz w:val="20"/>
                <w:szCs w:val="20"/>
              </w:rPr>
              <w:t>均值</w:t>
            </w:r>
          </w:p>
        </w:tc>
        <w:tc>
          <w:tcPr>
            <w:tcW w:w="1878" w:type="dxa"/>
            <w:tcBorders>
              <w:top w:val="single" w:color="auto" w:sz="4" w:space="0"/>
              <w:bottom w:val="single" w:color="auto" w:sz="12" w:space="0"/>
            </w:tcBorders>
            <w:vAlign w:val="center"/>
          </w:tcPr>
          <w:p>
            <w:pPr>
              <w:jc w:val="center"/>
              <w:rPr>
                <w:sz w:val="20"/>
                <w:szCs w:val="20"/>
              </w:rPr>
            </w:pPr>
            <w:r>
              <w:rPr>
                <w:sz w:val="20"/>
                <w:szCs w:val="20"/>
              </w:rPr>
              <w:t>500t/d</w:t>
            </w:r>
          </w:p>
        </w:tc>
        <w:tc>
          <w:tcPr>
            <w:tcW w:w="2127" w:type="dxa"/>
            <w:tcBorders>
              <w:top w:val="single" w:color="auto" w:sz="4" w:space="0"/>
              <w:bottom w:val="single" w:color="auto" w:sz="12" w:space="0"/>
            </w:tcBorders>
            <w:vAlign w:val="center"/>
          </w:tcPr>
          <w:p>
            <w:pPr>
              <w:jc w:val="center"/>
              <w:rPr>
                <w:sz w:val="20"/>
                <w:szCs w:val="20"/>
              </w:rPr>
            </w:pPr>
            <w:r>
              <w:rPr>
                <w:sz w:val="20"/>
                <w:szCs w:val="20"/>
              </w:rPr>
              <w:t>400t/d</w:t>
            </w:r>
          </w:p>
        </w:tc>
        <w:tc>
          <w:tcPr>
            <w:tcW w:w="2147" w:type="dxa"/>
            <w:tcBorders>
              <w:top w:val="single" w:color="auto" w:sz="4" w:space="0"/>
              <w:bottom w:val="single" w:color="auto" w:sz="12" w:space="0"/>
              <w:right w:val="single" w:color="auto" w:sz="12" w:space="0"/>
            </w:tcBorders>
            <w:vAlign w:val="center"/>
          </w:tcPr>
          <w:p>
            <w:pPr>
              <w:jc w:val="center"/>
              <w:rPr>
                <w:sz w:val="20"/>
                <w:szCs w:val="20"/>
              </w:rPr>
            </w:pPr>
            <w:r>
              <w:rPr>
                <w:sz w:val="20"/>
                <w:szCs w:val="20"/>
              </w:rPr>
              <w:t>80</w:t>
            </w:r>
          </w:p>
        </w:tc>
      </w:tr>
    </w:tbl>
    <w:p>
      <w:pPr>
        <w:spacing w:beforeLines="50" w:line="360" w:lineRule="auto"/>
        <w:ind w:firstLine="480" w:firstLineChars="200"/>
        <w:rPr>
          <w:sz w:val="24"/>
        </w:rPr>
      </w:pPr>
      <w:r>
        <w:rPr>
          <w:sz w:val="24"/>
        </w:rPr>
        <w:t>扩建工程矿山、选厂满负荷日产量为500吨，矿山、选厂2016年8月25日～26日三日内生产负荷在均保持在80%之间，在设计生产负荷的75%以上。满足国家对建设项目竣工环境保护验收监测期间生产负荷达到额定生产负荷75%以上的要求。</w:t>
      </w:r>
    </w:p>
    <w:p>
      <w:pPr>
        <w:pStyle w:val="3"/>
        <w:rPr>
          <w:rFonts w:ascii="Times New Roman" w:hAnsi="Times New Roman"/>
        </w:rPr>
      </w:pPr>
      <w:bookmarkStart w:id="526" w:name="_Toc488578915"/>
      <w:bookmarkStart w:id="527" w:name="_Toc470358693"/>
      <w:bookmarkStart w:id="528" w:name="_Toc407153500"/>
      <w:bookmarkStart w:id="529" w:name="_Toc407217366"/>
      <w:bookmarkStart w:id="530" w:name="_Toc420663684"/>
      <w:bookmarkStart w:id="531" w:name="_Toc173284091"/>
      <w:bookmarkStart w:id="532" w:name="_Toc370112132"/>
      <w:bookmarkStart w:id="533" w:name="_Toc406504218"/>
      <w:bookmarkStart w:id="534" w:name="_Toc173147942"/>
      <w:r>
        <w:rPr>
          <w:rFonts w:ascii="Times New Roman" w:hAnsi="Times New Roman"/>
        </w:rPr>
        <w:t>5.3 水环境影响调查</w:t>
      </w:r>
      <w:bookmarkEnd w:id="526"/>
      <w:bookmarkEnd w:id="527"/>
      <w:bookmarkEnd w:id="528"/>
      <w:bookmarkEnd w:id="529"/>
      <w:bookmarkEnd w:id="530"/>
      <w:bookmarkEnd w:id="531"/>
      <w:bookmarkEnd w:id="532"/>
      <w:bookmarkEnd w:id="533"/>
      <w:bookmarkEnd w:id="534"/>
    </w:p>
    <w:p>
      <w:pPr>
        <w:pStyle w:val="10"/>
        <w:spacing w:line="360" w:lineRule="auto"/>
        <w:rPr>
          <w:rFonts w:ascii="Times New Roman" w:hAnsi="Times New Roman"/>
        </w:rPr>
      </w:pPr>
      <w:bookmarkStart w:id="535" w:name="_Toc407217367"/>
      <w:bookmarkStart w:id="536" w:name="_Toc407153501"/>
      <w:bookmarkStart w:id="537" w:name="_Toc420663685"/>
      <w:bookmarkStart w:id="538" w:name="_Toc406504219"/>
      <w:r>
        <w:rPr>
          <w:rFonts w:ascii="Times New Roman" w:hAnsi="Times New Roman"/>
        </w:rPr>
        <w:t>5.3.1 区域水环境现状</w:t>
      </w:r>
      <w:bookmarkEnd w:id="535"/>
      <w:bookmarkEnd w:id="536"/>
      <w:bookmarkEnd w:id="537"/>
      <w:bookmarkEnd w:id="538"/>
    </w:p>
    <w:p>
      <w:pPr>
        <w:spacing w:line="360" w:lineRule="auto"/>
        <w:ind w:firstLine="600" w:firstLineChars="250"/>
        <w:rPr>
          <w:sz w:val="24"/>
        </w:rPr>
      </w:pPr>
      <w:r>
        <w:rPr>
          <w:sz w:val="24"/>
        </w:rPr>
        <w:t>本项目麻家河支流银家沟通过本项目矿区，经过2.5km麻家河主河道，</w:t>
      </w:r>
      <w:bookmarkStart w:id="539" w:name="_Toc407217368"/>
      <w:bookmarkStart w:id="540" w:name="_Toc407153502"/>
      <w:bookmarkStart w:id="541" w:name="_Toc420663686"/>
      <w:bookmarkStart w:id="542" w:name="_Toc406504220"/>
      <w:r>
        <w:rPr>
          <w:sz w:val="24"/>
        </w:rPr>
        <w:t>麻家河下游15km汇入窄口水库最终汇入弘农涧河。属黄河流域。</w:t>
      </w:r>
    </w:p>
    <w:p>
      <w:pPr>
        <w:pStyle w:val="10"/>
        <w:spacing w:line="360" w:lineRule="auto"/>
        <w:rPr>
          <w:rFonts w:ascii="Times New Roman" w:hAnsi="Times New Roman"/>
        </w:rPr>
      </w:pPr>
      <w:r>
        <w:rPr>
          <w:rFonts w:ascii="Times New Roman" w:hAnsi="Times New Roman"/>
        </w:rPr>
        <w:t>5.3.2 地表水监测</w:t>
      </w:r>
      <w:bookmarkEnd w:id="539"/>
      <w:bookmarkEnd w:id="540"/>
      <w:bookmarkEnd w:id="541"/>
      <w:bookmarkEnd w:id="542"/>
    </w:p>
    <w:p>
      <w:pPr>
        <w:pStyle w:val="5"/>
      </w:pPr>
      <w:r>
        <w:t xml:space="preserve">5.3.2.1 </w:t>
      </w:r>
      <w:r>
        <w:rPr>
          <w:rFonts w:eastAsia="宋体"/>
        </w:rPr>
        <w:t>监测点位及监测因子</w:t>
      </w:r>
    </w:p>
    <w:p>
      <w:pPr>
        <w:spacing w:line="360" w:lineRule="auto"/>
        <w:ind w:firstLine="480" w:firstLineChars="200"/>
        <w:rPr>
          <w:sz w:val="24"/>
        </w:rPr>
      </w:pPr>
      <w:r>
        <w:rPr>
          <w:sz w:val="24"/>
        </w:rPr>
        <w:t>依据项目所在地的环境特点及项目工程特点，本次地表水现状监测共布设7个监测断面。具体监测断面布设见表5.3-1和附图4。</w:t>
      </w:r>
    </w:p>
    <w:p>
      <w:pPr>
        <w:ind w:firstLine="480" w:firstLineChars="200"/>
        <w:rPr>
          <w:b/>
          <w:spacing w:val="2"/>
          <w:sz w:val="24"/>
        </w:rPr>
      </w:pPr>
      <w:r>
        <w:rPr>
          <w:rFonts w:eastAsia="黑体"/>
          <w:sz w:val="24"/>
        </w:rPr>
        <w:t>表5.3-1</w:t>
      </w:r>
      <w:r>
        <w:rPr>
          <w:rFonts w:eastAsia="黑体"/>
          <w:sz w:val="24"/>
        </w:rPr>
        <w:tab/>
      </w:r>
      <w:r>
        <w:rPr>
          <w:rFonts w:eastAsia="黑体"/>
          <w:sz w:val="24"/>
        </w:rPr>
        <w:t xml:space="preserve">     地表水环境质量现状监测断面布设一览表</w:t>
      </w:r>
    </w:p>
    <w:tbl>
      <w:tblPr>
        <w:tblStyle w:val="54"/>
        <w:tblW w:w="8100"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937"/>
        <w:gridCol w:w="1181"/>
        <w:gridCol w:w="22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9" w:type="dxa"/>
          </w:tcPr>
          <w:p>
            <w:pPr>
              <w:jc w:val="center"/>
              <w:rPr>
                <w:spacing w:val="2"/>
                <w:szCs w:val="21"/>
              </w:rPr>
            </w:pPr>
            <w:r>
              <w:rPr>
                <w:spacing w:val="2"/>
                <w:szCs w:val="21"/>
              </w:rPr>
              <w:t>编号</w:t>
            </w:r>
          </w:p>
        </w:tc>
        <w:tc>
          <w:tcPr>
            <w:tcW w:w="3937" w:type="dxa"/>
            <w:vAlign w:val="center"/>
          </w:tcPr>
          <w:p>
            <w:pPr>
              <w:jc w:val="center"/>
              <w:rPr>
                <w:spacing w:val="2"/>
                <w:szCs w:val="21"/>
              </w:rPr>
            </w:pPr>
            <w:r>
              <w:rPr>
                <w:spacing w:val="2"/>
                <w:szCs w:val="21"/>
              </w:rPr>
              <w:t>监测点位置</w:t>
            </w:r>
          </w:p>
        </w:tc>
        <w:tc>
          <w:tcPr>
            <w:tcW w:w="1181" w:type="dxa"/>
            <w:vAlign w:val="center"/>
          </w:tcPr>
          <w:p>
            <w:pPr>
              <w:jc w:val="center"/>
              <w:rPr>
                <w:spacing w:val="2"/>
                <w:szCs w:val="21"/>
              </w:rPr>
            </w:pPr>
            <w:r>
              <w:rPr>
                <w:spacing w:val="2"/>
                <w:szCs w:val="21"/>
              </w:rPr>
              <w:t>功能</w:t>
            </w:r>
          </w:p>
        </w:tc>
        <w:tc>
          <w:tcPr>
            <w:tcW w:w="2223" w:type="dxa"/>
            <w:vAlign w:val="center"/>
          </w:tcPr>
          <w:p>
            <w:pPr>
              <w:jc w:val="center"/>
              <w:rPr>
                <w:spacing w:val="2"/>
                <w:szCs w:val="21"/>
              </w:rPr>
            </w:pPr>
            <w:r>
              <w:rPr>
                <w:spacing w:val="2"/>
                <w:szCs w:val="21"/>
              </w:rPr>
              <w:t>备注</w:t>
            </w:r>
          </w:p>
        </w:tc>
      </w:tr>
      <w:tr>
        <w:tblPrEx>
          <w:tblLayout w:type="fixed"/>
          <w:tblCellMar>
            <w:top w:w="0" w:type="dxa"/>
            <w:left w:w="108" w:type="dxa"/>
            <w:bottom w:w="0" w:type="dxa"/>
            <w:right w:w="108" w:type="dxa"/>
          </w:tblCellMar>
        </w:tblPrEx>
        <w:trPr>
          <w:cantSplit/>
          <w:trHeight w:val="304" w:hRule="atLeast"/>
        </w:trPr>
        <w:tc>
          <w:tcPr>
            <w:tcW w:w="759" w:type="dxa"/>
            <w:vAlign w:val="center"/>
          </w:tcPr>
          <w:p>
            <w:pPr>
              <w:jc w:val="center"/>
              <w:rPr>
                <w:szCs w:val="21"/>
              </w:rPr>
            </w:pPr>
            <w:r>
              <w:rPr>
                <w:szCs w:val="21"/>
              </w:rPr>
              <w:t>1</w:t>
            </w:r>
            <w:r>
              <w:rPr>
                <w:szCs w:val="21"/>
                <w:vertAlign w:val="superscript"/>
              </w:rPr>
              <w:t>＃</w:t>
            </w:r>
          </w:p>
        </w:tc>
        <w:tc>
          <w:tcPr>
            <w:tcW w:w="3937" w:type="dxa"/>
            <w:vAlign w:val="center"/>
          </w:tcPr>
          <w:p>
            <w:pPr>
              <w:adjustRightInd w:val="0"/>
              <w:snapToGrid w:val="0"/>
              <w:rPr>
                <w:sz w:val="20"/>
                <w:szCs w:val="20"/>
              </w:rPr>
            </w:pPr>
            <w:r>
              <w:rPr>
                <w:sz w:val="20"/>
                <w:szCs w:val="20"/>
              </w:rPr>
              <w:t>沟口河：废水（银家沟）入沟口河上游100m；</w:t>
            </w:r>
          </w:p>
        </w:tc>
        <w:tc>
          <w:tcPr>
            <w:tcW w:w="1181" w:type="dxa"/>
            <w:vAlign w:val="center"/>
          </w:tcPr>
          <w:p>
            <w:pPr>
              <w:jc w:val="center"/>
              <w:rPr>
                <w:spacing w:val="2"/>
                <w:szCs w:val="21"/>
              </w:rPr>
            </w:pPr>
            <w:r>
              <w:rPr>
                <w:spacing w:val="2"/>
                <w:szCs w:val="21"/>
              </w:rPr>
              <w:t>背景断面</w:t>
            </w:r>
          </w:p>
        </w:tc>
        <w:tc>
          <w:tcPr>
            <w:tcW w:w="2223" w:type="dxa"/>
            <w:vAlign w:val="center"/>
          </w:tcPr>
          <w:p>
            <w:pPr>
              <w:jc w:val="center"/>
              <w:rPr>
                <w:spacing w:val="2"/>
                <w:szCs w:val="21"/>
              </w:rPr>
            </w:pPr>
            <w:r>
              <w:rPr>
                <w:spacing w:val="2"/>
                <w:szCs w:val="21"/>
              </w:rPr>
              <w:t>上游来水水质</w:t>
            </w:r>
          </w:p>
        </w:tc>
      </w:tr>
      <w:tr>
        <w:tblPrEx>
          <w:tblLayout w:type="fixed"/>
          <w:tblCellMar>
            <w:top w:w="0" w:type="dxa"/>
            <w:left w:w="108" w:type="dxa"/>
            <w:bottom w:w="0" w:type="dxa"/>
            <w:right w:w="108" w:type="dxa"/>
          </w:tblCellMar>
        </w:tblPrEx>
        <w:trPr>
          <w:cantSplit/>
          <w:trHeight w:val="304" w:hRule="atLeast"/>
        </w:trPr>
        <w:tc>
          <w:tcPr>
            <w:tcW w:w="759" w:type="dxa"/>
            <w:vAlign w:val="center"/>
          </w:tcPr>
          <w:p>
            <w:pPr>
              <w:jc w:val="center"/>
              <w:rPr>
                <w:szCs w:val="21"/>
              </w:rPr>
            </w:pPr>
            <w:r>
              <w:rPr>
                <w:szCs w:val="21"/>
              </w:rPr>
              <w:t>2</w:t>
            </w:r>
            <w:r>
              <w:rPr>
                <w:szCs w:val="21"/>
                <w:vertAlign w:val="superscript"/>
              </w:rPr>
              <w:t>＃</w:t>
            </w:r>
          </w:p>
        </w:tc>
        <w:tc>
          <w:tcPr>
            <w:tcW w:w="3937" w:type="dxa"/>
            <w:vAlign w:val="center"/>
          </w:tcPr>
          <w:p>
            <w:pPr>
              <w:adjustRightInd w:val="0"/>
              <w:snapToGrid w:val="0"/>
              <w:rPr>
                <w:sz w:val="20"/>
                <w:szCs w:val="20"/>
              </w:rPr>
            </w:pPr>
            <w:r>
              <w:rPr>
                <w:sz w:val="20"/>
                <w:szCs w:val="20"/>
              </w:rPr>
              <w:t>沟口河：废水（银家沟）入沟口河下100m；</w:t>
            </w:r>
          </w:p>
        </w:tc>
        <w:tc>
          <w:tcPr>
            <w:tcW w:w="1181" w:type="dxa"/>
            <w:vAlign w:val="center"/>
          </w:tcPr>
          <w:p>
            <w:pPr>
              <w:jc w:val="center"/>
              <w:rPr>
                <w:spacing w:val="2"/>
                <w:szCs w:val="21"/>
              </w:rPr>
            </w:pPr>
            <w:r>
              <w:rPr>
                <w:spacing w:val="2"/>
                <w:szCs w:val="21"/>
              </w:rPr>
              <w:t>控制断面</w:t>
            </w:r>
          </w:p>
        </w:tc>
        <w:tc>
          <w:tcPr>
            <w:tcW w:w="2223" w:type="dxa"/>
            <w:vAlign w:val="center"/>
          </w:tcPr>
          <w:p>
            <w:pPr>
              <w:jc w:val="center"/>
              <w:rPr>
                <w:spacing w:val="2"/>
                <w:szCs w:val="21"/>
              </w:rPr>
            </w:pPr>
            <w:r>
              <w:rPr>
                <w:spacing w:val="2"/>
                <w:szCs w:val="21"/>
              </w:rPr>
              <w:t>/</w:t>
            </w:r>
          </w:p>
        </w:tc>
      </w:tr>
      <w:tr>
        <w:tblPrEx>
          <w:tblLayout w:type="fixed"/>
          <w:tblCellMar>
            <w:top w:w="0" w:type="dxa"/>
            <w:left w:w="108" w:type="dxa"/>
            <w:bottom w:w="0" w:type="dxa"/>
            <w:right w:w="108" w:type="dxa"/>
          </w:tblCellMar>
        </w:tblPrEx>
        <w:trPr>
          <w:cantSplit/>
          <w:trHeight w:val="304" w:hRule="atLeast"/>
        </w:trPr>
        <w:tc>
          <w:tcPr>
            <w:tcW w:w="759" w:type="dxa"/>
            <w:vAlign w:val="center"/>
          </w:tcPr>
          <w:p>
            <w:pPr>
              <w:jc w:val="center"/>
              <w:rPr>
                <w:szCs w:val="21"/>
              </w:rPr>
            </w:pPr>
            <w:r>
              <w:rPr>
                <w:szCs w:val="21"/>
              </w:rPr>
              <w:t>3</w:t>
            </w:r>
            <w:r>
              <w:rPr>
                <w:szCs w:val="21"/>
                <w:vertAlign w:val="superscript"/>
              </w:rPr>
              <w:t>＃</w:t>
            </w:r>
          </w:p>
        </w:tc>
        <w:tc>
          <w:tcPr>
            <w:tcW w:w="3937" w:type="dxa"/>
            <w:vAlign w:val="center"/>
          </w:tcPr>
          <w:p>
            <w:pPr>
              <w:adjustRightInd w:val="0"/>
              <w:snapToGrid w:val="0"/>
              <w:rPr>
                <w:sz w:val="20"/>
                <w:szCs w:val="20"/>
              </w:rPr>
            </w:pPr>
            <w:r>
              <w:rPr>
                <w:sz w:val="20"/>
                <w:szCs w:val="20"/>
              </w:rPr>
              <w:t>黑山河：黑山河入麻家河上游100m；</w:t>
            </w:r>
          </w:p>
        </w:tc>
        <w:tc>
          <w:tcPr>
            <w:tcW w:w="1181" w:type="dxa"/>
            <w:vAlign w:val="center"/>
          </w:tcPr>
          <w:p>
            <w:pPr>
              <w:jc w:val="center"/>
              <w:rPr>
                <w:spacing w:val="2"/>
                <w:szCs w:val="21"/>
              </w:rPr>
            </w:pPr>
            <w:r>
              <w:rPr>
                <w:spacing w:val="2"/>
                <w:szCs w:val="21"/>
              </w:rPr>
              <w:t>背景断面</w:t>
            </w:r>
          </w:p>
        </w:tc>
        <w:tc>
          <w:tcPr>
            <w:tcW w:w="2223" w:type="dxa"/>
            <w:vAlign w:val="center"/>
          </w:tcPr>
          <w:p>
            <w:pPr>
              <w:jc w:val="center"/>
              <w:rPr>
                <w:spacing w:val="2"/>
                <w:szCs w:val="21"/>
              </w:rPr>
            </w:pPr>
            <w:r>
              <w:rPr>
                <w:spacing w:val="2"/>
                <w:szCs w:val="21"/>
              </w:rPr>
              <w:t>上游来水水质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04" w:hRule="atLeast"/>
        </w:trPr>
        <w:tc>
          <w:tcPr>
            <w:tcW w:w="759" w:type="dxa"/>
            <w:vAlign w:val="center"/>
          </w:tcPr>
          <w:p>
            <w:pPr>
              <w:jc w:val="center"/>
              <w:rPr>
                <w:szCs w:val="21"/>
              </w:rPr>
            </w:pPr>
            <w:r>
              <w:rPr>
                <w:szCs w:val="21"/>
              </w:rPr>
              <w:t>4</w:t>
            </w:r>
            <w:r>
              <w:rPr>
                <w:szCs w:val="21"/>
                <w:vertAlign w:val="superscript"/>
              </w:rPr>
              <w:t>＃</w:t>
            </w:r>
          </w:p>
        </w:tc>
        <w:tc>
          <w:tcPr>
            <w:tcW w:w="3937" w:type="dxa"/>
            <w:vAlign w:val="center"/>
          </w:tcPr>
          <w:p>
            <w:pPr>
              <w:adjustRightInd w:val="0"/>
              <w:snapToGrid w:val="0"/>
              <w:rPr>
                <w:spacing w:val="2"/>
                <w:szCs w:val="21"/>
              </w:rPr>
            </w:pPr>
            <w:r>
              <w:rPr>
                <w:sz w:val="20"/>
                <w:szCs w:val="20"/>
              </w:rPr>
              <w:t>清水河：清水河入麻家河上游100m；</w:t>
            </w:r>
          </w:p>
        </w:tc>
        <w:tc>
          <w:tcPr>
            <w:tcW w:w="1181" w:type="dxa"/>
            <w:vAlign w:val="center"/>
          </w:tcPr>
          <w:p>
            <w:pPr>
              <w:jc w:val="center"/>
              <w:rPr>
                <w:spacing w:val="2"/>
                <w:szCs w:val="21"/>
              </w:rPr>
            </w:pPr>
            <w:r>
              <w:rPr>
                <w:spacing w:val="2"/>
                <w:szCs w:val="21"/>
              </w:rPr>
              <w:t>背景断面</w:t>
            </w:r>
          </w:p>
        </w:tc>
        <w:tc>
          <w:tcPr>
            <w:tcW w:w="2223" w:type="dxa"/>
            <w:vAlign w:val="center"/>
          </w:tcPr>
          <w:p>
            <w:pPr>
              <w:jc w:val="center"/>
              <w:rPr>
                <w:spacing w:val="2"/>
                <w:szCs w:val="21"/>
              </w:rPr>
            </w:pPr>
            <w:r>
              <w:rPr>
                <w:spacing w:val="2"/>
                <w:szCs w:val="21"/>
              </w:rPr>
              <w:t>上游来水水质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04" w:hRule="atLeast"/>
        </w:trPr>
        <w:tc>
          <w:tcPr>
            <w:tcW w:w="759" w:type="dxa"/>
            <w:vAlign w:val="center"/>
          </w:tcPr>
          <w:p>
            <w:pPr>
              <w:jc w:val="center"/>
              <w:rPr>
                <w:szCs w:val="21"/>
              </w:rPr>
            </w:pPr>
            <w:r>
              <w:rPr>
                <w:szCs w:val="21"/>
              </w:rPr>
              <w:t>5</w:t>
            </w:r>
            <w:r>
              <w:rPr>
                <w:szCs w:val="21"/>
                <w:vertAlign w:val="superscript"/>
              </w:rPr>
              <w:t>#</w:t>
            </w:r>
          </w:p>
        </w:tc>
        <w:tc>
          <w:tcPr>
            <w:tcW w:w="3937" w:type="dxa"/>
            <w:vAlign w:val="center"/>
          </w:tcPr>
          <w:p>
            <w:pPr>
              <w:adjustRightInd w:val="0"/>
              <w:snapToGrid w:val="0"/>
              <w:jc w:val="left"/>
              <w:rPr>
                <w:sz w:val="20"/>
                <w:szCs w:val="20"/>
              </w:rPr>
            </w:pPr>
            <w:r>
              <w:rPr>
                <w:sz w:val="20"/>
                <w:szCs w:val="20"/>
              </w:rPr>
              <w:t>干沟河：干沟入麻家河上游100m；</w:t>
            </w:r>
          </w:p>
        </w:tc>
        <w:tc>
          <w:tcPr>
            <w:tcW w:w="1181" w:type="dxa"/>
            <w:vAlign w:val="center"/>
          </w:tcPr>
          <w:p>
            <w:pPr>
              <w:jc w:val="center"/>
              <w:rPr>
                <w:spacing w:val="2"/>
                <w:szCs w:val="21"/>
              </w:rPr>
            </w:pPr>
            <w:r>
              <w:rPr>
                <w:spacing w:val="2"/>
                <w:szCs w:val="21"/>
              </w:rPr>
              <w:t>背景断面</w:t>
            </w:r>
          </w:p>
        </w:tc>
        <w:tc>
          <w:tcPr>
            <w:tcW w:w="2223" w:type="dxa"/>
            <w:vAlign w:val="center"/>
          </w:tcPr>
          <w:p>
            <w:pPr>
              <w:jc w:val="center"/>
              <w:rPr>
                <w:spacing w:val="2"/>
                <w:szCs w:val="21"/>
              </w:rPr>
            </w:pPr>
            <w:r>
              <w:rPr>
                <w:spacing w:val="2"/>
                <w:szCs w:val="21"/>
              </w:rPr>
              <w:t>上游来水水质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04" w:hRule="atLeast"/>
        </w:trPr>
        <w:tc>
          <w:tcPr>
            <w:tcW w:w="759" w:type="dxa"/>
            <w:vAlign w:val="center"/>
          </w:tcPr>
          <w:p>
            <w:pPr>
              <w:jc w:val="center"/>
              <w:rPr>
                <w:szCs w:val="21"/>
              </w:rPr>
            </w:pPr>
            <w:r>
              <w:rPr>
                <w:szCs w:val="21"/>
              </w:rPr>
              <w:t>6</w:t>
            </w:r>
            <w:r>
              <w:rPr>
                <w:szCs w:val="21"/>
                <w:vertAlign w:val="superscript"/>
              </w:rPr>
              <w:t>#</w:t>
            </w:r>
          </w:p>
        </w:tc>
        <w:tc>
          <w:tcPr>
            <w:tcW w:w="3937" w:type="dxa"/>
            <w:vAlign w:val="center"/>
          </w:tcPr>
          <w:p>
            <w:pPr>
              <w:adjustRightInd w:val="0"/>
              <w:snapToGrid w:val="0"/>
              <w:jc w:val="left"/>
              <w:rPr>
                <w:sz w:val="20"/>
                <w:szCs w:val="20"/>
              </w:rPr>
            </w:pPr>
            <w:r>
              <w:rPr>
                <w:sz w:val="20"/>
                <w:szCs w:val="20"/>
              </w:rPr>
              <w:t>麻家河：干沟入麻家河下游200m；</w:t>
            </w:r>
          </w:p>
        </w:tc>
        <w:tc>
          <w:tcPr>
            <w:tcW w:w="1181" w:type="dxa"/>
            <w:vAlign w:val="center"/>
          </w:tcPr>
          <w:p>
            <w:pPr>
              <w:jc w:val="center"/>
              <w:rPr>
                <w:spacing w:val="2"/>
                <w:szCs w:val="21"/>
              </w:rPr>
            </w:pPr>
            <w:r>
              <w:rPr>
                <w:spacing w:val="2"/>
                <w:szCs w:val="21"/>
              </w:rPr>
              <w:t>控制断面</w:t>
            </w:r>
          </w:p>
        </w:tc>
        <w:tc>
          <w:tcPr>
            <w:tcW w:w="2223" w:type="dxa"/>
            <w:vAlign w:val="center"/>
          </w:tcPr>
          <w:p>
            <w:pPr>
              <w:jc w:val="center"/>
              <w:rPr>
                <w:spacing w:val="2"/>
                <w:szCs w:val="21"/>
              </w:rPr>
            </w:pPr>
            <w:r>
              <w:rPr>
                <w:spacing w:val="2"/>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04" w:hRule="atLeast"/>
        </w:trPr>
        <w:tc>
          <w:tcPr>
            <w:tcW w:w="759" w:type="dxa"/>
            <w:vAlign w:val="center"/>
          </w:tcPr>
          <w:p>
            <w:pPr>
              <w:jc w:val="center"/>
              <w:rPr>
                <w:szCs w:val="21"/>
              </w:rPr>
            </w:pPr>
            <w:r>
              <w:rPr>
                <w:szCs w:val="21"/>
              </w:rPr>
              <w:t>7</w:t>
            </w:r>
            <w:r>
              <w:rPr>
                <w:szCs w:val="21"/>
                <w:vertAlign w:val="superscript"/>
              </w:rPr>
              <w:t>#</w:t>
            </w:r>
          </w:p>
        </w:tc>
        <w:tc>
          <w:tcPr>
            <w:tcW w:w="3937" w:type="dxa"/>
            <w:vAlign w:val="center"/>
          </w:tcPr>
          <w:p>
            <w:pPr>
              <w:adjustRightInd w:val="0"/>
              <w:snapToGrid w:val="0"/>
              <w:rPr>
                <w:sz w:val="20"/>
                <w:szCs w:val="20"/>
              </w:rPr>
            </w:pPr>
            <w:r>
              <w:rPr>
                <w:sz w:val="20"/>
                <w:szCs w:val="20"/>
              </w:rPr>
              <w:t>麻家河：麻家河入窄口水库上游100m；</w:t>
            </w:r>
          </w:p>
        </w:tc>
        <w:tc>
          <w:tcPr>
            <w:tcW w:w="1181" w:type="dxa"/>
            <w:vAlign w:val="center"/>
          </w:tcPr>
          <w:p>
            <w:pPr>
              <w:jc w:val="center"/>
              <w:rPr>
                <w:spacing w:val="2"/>
                <w:szCs w:val="21"/>
              </w:rPr>
            </w:pPr>
            <w:r>
              <w:rPr>
                <w:spacing w:val="2"/>
                <w:szCs w:val="21"/>
              </w:rPr>
              <w:t>控制断面</w:t>
            </w:r>
          </w:p>
        </w:tc>
        <w:tc>
          <w:tcPr>
            <w:tcW w:w="2223" w:type="dxa"/>
            <w:vAlign w:val="center"/>
          </w:tcPr>
          <w:p>
            <w:pPr>
              <w:jc w:val="center"/>
              <w:rPr>
                <w:spacing w:val="2"/>
                <w:szCs w:val="21"/>
              </w:rPr>
            </w:pPr>
            <w:r>
              <w:rPr>
                <w:spacing w:val="2"/>
                <w:szCs w:val="21"/>
              </w:rPr>
              <w:t>/</w:t>
            </w:r>
          </w:p>
        </w:tc>
      </w:tr>
    </w:tbl>
    <w:p>
      <w:pPr>
        <w:spacing w:line="520" w:lineRule="exact"/>
        <w:jc w:val="left"/>
        <w:rPr>
          <w:rFonts w:eastAsia="黑体"/>
          <w:sz w:val="24"/>
        </w:rPr>
      </w:pPr>
    </w:p>
    <w:p>
      <w:pPr>
        <w:spacing w:line="520" w:lineRule="exact"/>
        <w:jc w:val="left"/>
        <w:rPr>
          <w:rFonts w:eastAsia="黑体"/>
          <w:sz w:val="24"/>
        </w:rPr>
      </w:pPr>
    </w:p>
    <w:p>
      <w:pPr>
        <w:spacing w:line="520" w:lineRule="exact"/>
        <w:jc w:val="left"/>
        <w:rPr>
          <w:b/>
          <w:spacing w:val="2"/>
          <w:sz w:val="24"/>
        </w:rPr>
      </w:pPr>
      <w:r>
        <w:rPr>
          <w:rFonts w:eastAsia="黑体"/>
          <w:sz w:val="24"/>
        </w:rPr>
        <w:t xml:space="preserve">     表5.3-2              水污染物分析方法一览表</w:t>
      </w:r>
    </w:p>
    <w:tbl>
      <w:tblPr>
        <w:tblStyle w:val="54"/>
        <w:tblW w:w="8229" w:type="dxa"/>
        <w:tblInd w:w="17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060"/>
        <w:gridCol w:w="3055"/>
        <w:gridCol w:w="1509"/>
        <w:gridCol w:w="19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635" w:type="dxa"/>
            <w:vAlign w:val="center"/>
          </w:tcPr>
          <w:p>
            <w:pPr>
              <w:jc w:val="center"/>
              <w:rPr>
                <w:spacing w:val="2"/>
                <w:szCs w:val="21"/>
              </w:rPr>
            </w:pPr>
            <w:r>
              <w:rPr>
                <w:spacing w:val="2"/>
                <w:szCs w:val="21"/>
              </w:rPr>
              <w:t>序号</w:t>
            </w:r>
          </w:p>
        </w:tc>
        <w:tc>
          <w:tcPr>
            <w:tcW w:w="1060" w:type="dxa"/>
            <w:vAlign w:val="center"/>
          </w:tcPr>
          <w:p>
            <w:pPr>
              <w:jc w:val="center"/>
              <w:rPr>
                <w:spacing w:val="2"/>
                <w:szCs w:val="21"/>
              </w:rPr>
            </w:pPr>
            <w:r>
              <w:rPr>
                <w:spacing w:val="2"/>
                <w:szCs w:val="21"/>
              </w:rPr>
              <w:t>监测</w:t>
            </w:r>
          </w:p>
          <w:p>
            <w:pPr>
              <w:jc w:val="center"/>
              <w:rPr>
                <w:spacing w:val="2"/>
                <w:szCs w:val="21"/>
              </w:rPr>
            </w:pPr>
            <w:r>
              <w:rPr>
                <w:spacing w:val="2"/>
                <w:szCs w:val="21"/>
              </w:rPr>
              <w:t>项目</w:t>
            </w:r>
          </w:p>
        </w:tc>
        <w:tc>
          <w:tcPr>
            <w:tcW w:w="3055" w:type="dxa"/>
            <w:vAlign w:val="center"/>
          </w:tcPr>
          <w:p>
            <w:pPr>
              <w:jc w:val="center"/>
              <w:rPr>
                <w:spacing w:val="2"/>
                <w:szCs w:val="21"/>
              </w:rPr>
            </w:pPr>
            <w:r>
              <w:rPr>
                <w:spacing w:val="2"/>
                <w:szCs w:val="21"/>
              </w:rPr>
              <w:t>监测分析方法</w:t>
            </w:r>
          </w:p>
        </w:tc>
        <w:tc>
          <w:tcPr>
            <w:tcW w:w="1509" w:type="dxa"/>
            <w:vAlign w:val="center"/>
          </w:tcPr>
          <w:p>
            <w:pPr>
              <w:jc w:val="center"/>
              <w:rPr>
                <w:spacing w:val="2"/>
                <w:szCs w:val="21"/>
              </w:rPr>
            </w:pPr>
            <w:r>
              <w:rPr>
                <w:spacing w:val="2"/>
                <w:szCs w:val="21"/>
              </w:rPr>
              <w:t>测定下限（mg/L）</w:t>
            </w:r>
          </w:p>
        </w:tc>
        <w:tc>
          <w:tcPr>
            <w:tcW w:w="1970" w:type="dxa"/>
            <w:vAlign w:val="center"/>
          </w:tcPr>
          <w:p>
            <w:pPr>
              <w:jc w:val="center"/>
              <w:rPr>
                <w:spacing w:val="2"/>
                <w:szCs w:val="21"/>
              </w:rPr>
            </w:pPr>
            <w:r>
              <w:rPr>
                <w:spacing w:val="2"/>
                <w:szCs w:val="21"/>
              </w:rPr>
              <w:t>方法依据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35" w:type="dxa"/>
            <w:vAlign w:val="center"/>
          </w:tcPr>
          <w:p>
            <w:pPr>
              <w:jc w:val="center"/>
              <w:rPr>
                <w:spacing w:val="2"/>
                <w:szCs w:val="21"/>
              </w:rPr>
            </w:pPr>
            <w:r>
              <w:rPr>
                <w:spacing w:val="2"/>
                <w:szCs w:val="21"/>
              </w:rPr>
              <w:t>1</w:t>
            </w:r>
          </w:p>
        </w:tc>
        <w:tc>
          <w:tcPr>
            <w:tcW w:w="1060" w:type="dxa"/>
            <w:vAlign w:val="center"/>
          </w:tcPr>
          <w:p>
            <w:pPr>
              <w:jc w:val="center"/>
              <w:rPr>
                <w:spacing w:val="2"/>
                <w:szCs w:val="21"/>
              </w:rPr>
            </w:pPr>
            <w:r>
              <w:rPr>
                <w:spacing w:val="2"/>
                <w:szCs w:val="21"/>
              </w:rPr>
              <w:t>pH</w:t>
            </w:r>
          </w:p>
        </w:tc>
        <w:tc>
          <w:tcPr>
            <w:tcW w:w="3055" w:type="dxa"/>
            <w:vAlign w:val="center"/>
          </w:tcPr>
          <w:p>
            <w:pPr>
              <w:jc w:val="center"/>
              <w:rPr>
                <w:spacing w:val="2"/>
                <w:szCs w:val="21"/>
              </w:rPr>
            </w:pPr>
            <w:r>
              <w:rPr>
                <w:spacing w:val="2"/>
                <w:szCs w:val="21"/>
              </w:rPr>
              <w:t>玻璃电极法</w:t>
            </w:r>
          </w:p>
        </w:tc>
        <w:tc>
          <w:tcPr>
            <w:tcW w:w="1509" w:type="dxa"/>
            <w:vAlign w:val="center"/>
          </w:tcPr>
          <w:p>
            <w:pPr>
              <w:jc w:val="center"/>
              <w:rPr>
                <w:spacing w:val="2"/>
                <w:szCs w:val="21"/>
              </w:rPr>
            </w:pPr>
            <w:r>
              <w:rPr>
                <w:spacing w:val="2"/>
                <w:szCs w:val="21"/>
              </w:rPr>
              <w:t>/</w:t>
            </w:r>
          </w:p>
        </w:tc>
        <w:tc>
          <w:tcPr>
            <w:tcW w:w="1970" w:type="dxa"/>
            <w:vAlign w:val="center"/>
          </w:tcPr>
          <w:p>
            <w:pPr>
              <w:jc w:val="center"/>
              <w:rPr>
                <w:spacing w:val="2"/>
                <w:szCs w:val="21"/>
              </w:rPr>
            </w:pPr>
            <w:r>
              <w:rPr>
                <w:spacing w:val="2"/>
                <w:szCs w:val="21"/>
              </w:rPr>
              <w:t>GB6920-86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35" w:type="dxa"/>
            <w:vAlign w:val="center"/>
          </w:tcPr>
          <w:p>
            <w:pPr>
              <w:jc w:val="center"/>
              <w:rPr>
                <w:spacing w:val="2"/>
                <w:szCs w:val="21"/>
              </w:rPr>
            </w:pPr>
            <w:r>
              <w:rPr>
                <w:spacing w:val="2"/>
                <w:szCs w:val="21"/>
              </w:rPr>
              <w:t>2</w:t>
            </w:r>
          </w:p>
        </w:tc>
        <w:tc>
          <w:tcPr>
            <w:tcW w:w="1060" w:type="dxa"/>
            <w:vAlign w:val="center"/>
          </w:tcPr>
          <w:p>
            <w:pPr>
              <w:jc w:val="center"/>
              <w:rPr>
                <w:spacing w:val="2"/>
                <w:szCs w:val="21"/>
              </w:rPr>
            </w:pPr>
            <w:r>
              <w:rPr>
                <w:spacing w:val="2"/>
                <w:szCs w:val="21"/>
              </w:rPr>
              <w:t>COD</w:t>
            </w:r>
          </w:p>
        </w:tc>
        <w:tc>
          <w:tcPr>
            <w:tcW w:w="3055" w:type="dxa"/>
            <w:vAlign w:val="center"/>
          </w:tcPr>
          <w:p>
            <w:pPr>
              <w:jc w:val="center"/>
              <w:rPr>
                <w:spacing w:val="2"/>
                <w:szCs w:val="21"/>
              </w:rPr>
            </w:pPr>
            <w:r>
              <w:rPr>
                <w:spacing w:val="2"/>
                <w:szCs w:val="21"/>
              </w:rPr>
              <w:t>重铬酸盐法</w:t>
            </w:r>
          </w:p>
        </w:tc>
        <w:tc>
          <w:tcPr>
            <w:tcW w:w="1509" w:type="dxa"/>
            <w:vAlign w:val="center"/>
          </w:tcPr>
          <w:p>
            <w:pPr>
              <w:jc w:val="center"/>
              <w:rPr>
                <w:spacing w:val="2"/>
                <w:szCs w:val="21"/>
              </w:rPr>
            </w:pPr>
            <w:r>
              <w:rPr>
                <w:spacing w:val="2"/>
                <w:szCs w:val="21"/>
              </w:rPr>
              <w:t>10</w:t>
            </w:r>
          </w:p>
        </w:tc>
        <w:tc>
          <w:tcPr>
            <w:tcW w:w="1970" w:type="dxa"/>
            <w:vAlign w:val="center"/>
          </w:tcPr>
          <w:p>
            <w:pPr>
              <w:jc w:val="center"/>
              <w:rPr>
                <w:spacing w:val="2"/>
                <w:szCs w:val="21"/>
              </w:rPr>
            </w:pPr>
            <w:r>
              <w:rPr>
                <w:spacing w:val="2"/>
                <w:szCs w:val="21"/>
              </w:rPr>
              <w:t>GB11914-89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35" w:type="dxa"/>
            <w:vAlign w:val="center"/>
          </w:tcPr>
          <w:p>
            <w:pPr>
              <w:jc w:val="center"/>
              <w:rPr>
                <w:spacing w:val="2"/>
                <w:szCs w:val="21"/>
              </w:rPr>
            </w:pPr>
            <w:r>
              <w:rPr>
                <w:spacing w:val="2"/>
                <w:szCs w:val="21"/>
              </w:rPr>
              <w:t>3</w:t>
            </w:r>
          </w:p>
        </w:tc>
        <w:tc>
          <w:tcPr>
            <w:tcW w:w="1060" w:type="dxa"/>
            <w:vAlign w:val="center"/>
          </w:tcPr>
          <w:p>
            <w:pPr>
              <w:jc w:val="center"/>
              <w:rPr>
                <w:spacing w:val="2"/>
                <w:szCs w:val="21"/>
                <w:vertAlign w:val="subscript"/>
              </w:rPr>
            </w:pPr>
            <w:r>
              <w:rPr>
                <w:spacing w:val="2"/>
                <w:szCs w:val="21"/>
              </w:rPr>
              <w:t>BOD</w:t>
            </w:r>
            <w:r>
              <w:rPr>
                <w:spacing w:val="2"/>
                <w:szCs w:val="21"/>
                <w:vertAlign w:val="subscript"/>
              </w:rPr>
              <w:t>5</w:t>
            </w:r>
          </w:p>
        </w:tc>
        <w:tc>
          <w:tcPr>
            <w:tcW w:w="3055" w:type="dxa"/>
            <w:vAlign w:val="center"/>
          </w:tcPr>
          <w:p>
            <w:pPr>
              <w:jc w:val="center"/>
              <w:rPr>
                <w:spacing w:val="2"/>
                <w:szCs w:val="21"/>
              </w:rPr>
            </w:pPr>
            <w:r>
              <w:rPr>
                <w:spacing w:val="2"/>
                <w:szCs w:val="21"/>
              </w:rPr>
              <w:t>稀释与接种法</w:t>
            </w:r>
          </w:p>
        </w:tc>
        <w:tc>
          <w:tcPr>
            <w:tcW w:w="1509" w:type="dxa"/>
            <w:vAlign w:val="center"/>
          </w:tcPr>
          <w:p>
            <w:pPr>
              <w:jc w:val="center"/>
              <w:rPr>
                <w:spacing w:val="2"/>
                <w:szCs w:val="21"/>
              </w:rPr>
            </w:pPr>
            <w:r>
              <w:rPr>
                <w:spacing w:val="2"/>
                <w:szCs w:val="21"/>
              </w:rPr>
              <w:t>2</w:t>
            </w:r>
          </w:p>
        </w:tc>
        <w:tc>
          <w:tcPr>
            <w:tcW w:w="1970" w:type="dxa"/>
            <w:vAlign w:val="center"/>
          </w:tcPr>
          <w:p>
            <w:pPr>
              <w:jc w:val="center"/>
              <w:rPr>
                <w:spacing w:val="2"/>
                <w:szCs w:val="21"/>
              </w:rPr>
            </w:pPr>
            <w:r>
              <w:rPr>
                <w:spacing w:val="2"/>
                <w:szCs w:val="21"/>
              </w:rPr>
              <w:t>GB505-2009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35" w:type="dxa"/>
            <w:vAlign w:val="center"/>
          </w:tcPr>
          <w:p>
            <w:pPr>
              <w:jc w:val="center"/>
              <w:rPr>
                <w:spacing w:val="2"/>
                <w:szCs w:val="21"/>
              </w:rPr>
            </w:pPr>
            <w:r>
              <w:rPr>
                <w:spacing w:val="2"/>
                <w:szCs w:val="21"/>
              </w:rPr>
              <w:t>4</w:t>
            </w:r>
          </w:p>
        </w:tc>
        <w:tc>
          <w:tcPr>
            <w:tcW w:w="1060" w:type="dxa"/>
            <w:vAlign w:val="center"/>
          </w:tcPr>
          <w:p>
            <w:pPr>
              <w:jc w:val="center"/>
              <w:rPr>
                <w:spacing w:val="2"/>
                <w:szCs w:val="21"/>
              </w:rPr>
            </w:pPr>
            <w:r>
              <w:rPr>
                <w:spacing w:val="2"/>
                <w:szCs w:val="21"/>
              </w:rPr>
              <w:t>氨氮</w:t>
            </w:r>
          </w:p>
        </w:tc>
        <w:tc>
          <w:tcPr>
            <w:tcW w:w="3055" w:type="dxa"/>
            <w:vAlign w:val="center"/>
          </w:tcPr>
          <w:p>
            <w:pPr>
              <w:jc w:val="center"/>
              <w:rPr>
                <w:spacing w:val="2"/>
                <w:szCs w:val="21"/>
              </w:rPr>
            </w:pPr>
            <w:r>
              <w:rPr>
                <w:spacing w:val="2"/>
                <w:szCs w:val="21"/>
              </w:rPr>
              <w:t>蒸馏—中和滴定法</w:t>
            </w:r>
          </w:p>
        </w:tc>
        <w:tc>
          <w:tcPr>
            <w:tcW w:w="1509" w:type="dxa"/>
            <w:vAlign w:val="center"/>
          </w:tcPr>
          <w:p>
            <w:pPr>
              <w:jc w:val="center"/>
              <w:rPr>
                <w:spacing w:val="2"/>
                <w:szCs w:val="21"/>
              </w:rPr>
            </w:pPr>
            <w:r>
              <w:rPr>
                <w:spacing w:val="2"/>
                <w:szCs w:val="21"/>
              </w:rPr>
              <w:t>0.05</w:t>
            </w:r>
          </w:p>
        </w:tc>
        <w:tc>
          <w:tcPr>
            <w:tcW w:w="1970" w:type="dxa"/>
            <w:vAlign w:val="center"/>
          </w:tcPr>
          <w:p>
            <w:pPr>
              <w:jc w:val="center"/>
              <w:rPr>
                <w:spacing w:val="2"/>
                <w:szCs w:val="21"/>
              </w:rPr>
            </w:pPr>
            <w:r>
              <w:rPr>
                <w:spacing w:val="2"/>
                <w:szCs w:val="21"/>
              </w:rPr>
              <w:t>HJ537-2009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35" w:type="dxa"/>
            <w:vAlign w:val="center"/>
          </w:tcPr>
          <w:p>
            <w:pPr>
              <w:jc w:val="center"/>
              <w:rPr>
                <w:spacing w:val="2"/>
                <w:szCs w:val="21"/>
              </w:rPr>
            </w:pPr>
            <w:r>
              <w:rPr>
                <w:spacing w:val="2"/>
                <w:szCs w:val="21"/>
              </w:rPr>
              <w:t>5</w:t>
            </w:r>
          </w:p>
        </w:tc>
        <w:tc>
          <w:tcPr>
            <w:tcW w:w="1060" w:type="dxa"/>
            <w:vAlign w:val="center"/>
          </w:tcPr>
          <w:p>
            <w:pPr>
              <w:jc w:val="center"/>
              <w:rPr>
                <w:spacing w:val="2"/>
                <w:szCs w:val="21"/>
              </w:rPr>
            </w:pPr>
            <w:r>
              <w:rPr>
                <w:spacing w:val="2"/>
                <w:szCs w:val="21"/>
              </w:rPr>
              <w:t>硫化物</w:t>
            </w:r>
          </w:p>
        </w:tc>
        <w:tc>
          <w:tcPr>
            <w:tcW w:w="3055" w:type="dxa"/>
            <w:vAlign w:val="center"/>
          </w:tcPr>
          <w:p>
            <w:pPr>
              <w:jc w:val="center"/>
              <w:rPr>
                <w:spacing w:val="2"/>
                <w:szCs w:val="21"/>
              </w:rPr>
            </w:pPr>
            <w:r>
              <w:rPr>
                <w:spacing w:val="2"/>
                <w:szCs w:val="21"/>
              </w:rPr>
              <w:t>亚甲基蓝分光光度法</w:t>
            </w:r>
          </w:p>
        </w:tc>
        <w:tc>
          <w:tcPr>
            <w:tcW w:w="1509" w:type="dxa"/>
            <w:vAlign w:val="center"/>
          </w:tcPr>
          <w:p>
            <w:pPr>
              <w:jc w:val="center"/>
              <w:rPr>
                <w:spacing w:val="2"/>
                <w:szCs w:val="21"/>
              </w:rPr>
            </w:pPr>
            <w:r>
              <w:rPr>
                <w:spacing w:val="2"/>
                <w:szCs w:val="21"/>
              </w:rPr>
              <w:t>0.005</w:t>
            </w:r>
          </w:p>
        </w:tc>
        <w:tc>
          <w:tcPr>
            <w:tcW w:w="1970" w:type="dxa"/>
            <w:vAlign w:val="center"/>
          </w:tcPr>
          <w:p>
            <w:pPr>
              <w:jc w:val="center"/>
              <w:rPr>
                <w:spacing w:val="2"/>
                <w:szCs w:val="21"/>
              </w:rPr>
            </w:pPr>
            <w:r>
              <w:rPr>
                <w:spacing w:val="2"/>
                <w:szCs w:val="21"/>
              </w:rPr>
              <w:t>GB/T16489-1996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35" w:type="dxa"/>
            <w:vAlign w:val="center"/>
          </w:tcPr>
          <w:p>
            <w:pPr>
              <w:jc w:val="center"/>
              <w:rPr>
                <w:spacing w:val="2"/>
                <w:szCs w:val="21"/>
              </w:rPr>
            </w:pPr>
            <w:r>
              <w:rPr>
                <w:spacing w:val="2"/>
                <w:szCs w:val="21"/>
              </w:rPr>
              <w:t>6</w:t>
            </w:r>
          </w:p>
        </w:tc>
        <w:tc>
          <w:tcPr>
            <w:tcW w:w="1060" w:type="dxa"/>
            <w:vAlign w:val="center"/>
          </w:tcPr>
          <w:p>
            <w:pPr>
              <w:jc w:val="center"/>
              <w:rPr>
                <w:spacing w:val="2"/>
                <w:szCs w:val="21"/>
              </w:rPr>
            </w:pPr>
            <w:r>
              <w:rPr>
                <w:spacing w:val="2"/>
                <w:szCs w:val="21"/>
              </w:rPr>
              <w:t>Cr</w:t>
            </w:r>
            <w:r>
              <w:rPr>
                <w:spacing w:val="2"/>
                <w:szCs w:val="21"/>
                <w:vertAlign w:val="superscript"/>
              </w:rPr>
              <w:t>6+</w:t>
            </w:r>
          </w:p>
        </w:tc>
        <w:tc>
          <w:tcPr>
            <w:tcW w:w="3055" w:type="dxa"/>
            <w:vAlign w:val="center"/>
          </w:tcPr>
          <w:p>
            <w:pPr>
              <w:jc w:val="center"/>
              <w:rPr>
                <w:spacing w:val="2"/>
                <w:szCs w:val="21"/>
              </w:rPr>
            </w:pPr>
            <w:r>
              <w:rPr>
                <w:spacing w:val="2"/>
                <w:szCs w:val="21"/>
              </w:rPr>
              <w:t>二苯碳酰二肼分光光度法</w:t>
            </w:r>
          </w:p>
        </w:tc>
        <w:tc>
          <w:tcPr>
            <w:tcW w:w="1509" w:type="dxa"/>
            <w:vAlign w:val="center"/>
          </w:tcPr>
          <w:p>
            <w:pPr>
              <w:jc w:val="center"/>
              <w:rPr>
                <w:spacing w:val="2"/>
                <w:szCs w:val="21"/>
              </w:rPr>
            </w:pPr>
            <w:r>
              <w:rPr>
                <w:spacing w:val="2"/>
                <w:szCs w:val="21"/>
              </w:rPr>
              <w:t>0.004</w:t>
            </w:r>
          </w:p>
        </w:tc>
        <w:tc>
          <w:tcPr>
            <w:tcW w:w="1970" w:type="dxa"/>
            <w:vAlign w:val="center"/>
          </w:tcPr>
          <w:p>
            <w:pPr>
              <w:jc w:val="center"/>
              <w:rPr>
                <w:spacing w:val="2"/>
                <w:szCs w:val="21"/>
              </w:rPr>
            </w:pPr>
            <w:r>
              <w:rPr>
                <w:spacing w:val="2"/>
                <w:szCs w:val="21"/>
              </w:rPr>
              <w:t>GB7467-87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35" w:type="dxa"/>
            <w:vAlign w:val="center"/>
          </w:tcPr>
          <w:p>
            <w:pPr>
              <w:jc w:val="center"/>
              <w:rPr>
                <w:spacing w:val="2"/>
                <w:szCs w:val="21"/>
              </w:rPr>
            </w:pPr>
            <w:r>
              <w:rPr>
                <w:spacing w:val="2"/>
                <w:szCs w:val="21"/>
              </w:rPr>
              <w:t>7</w:t>
            </w:r>
          </w:p>
        </w:tc>
        <w:tc>
          <w:tcPr>
            <w:tcW w:w="1060" w:type="dxa"/>
            <w:vAlign w:val="center"/>
          </w:tcPr>
          <w:p>
            <w:pPr>
              <w:jc w:val="center"/>
              <w:rPr>
                <w:spacing w:val="2"/>
                <w:szCs w:val="21"/>
              </w:rPr>
            </w:pPr>
            <w:r>
              <w:rPr>
                <w:spacing w:val="2"/>
                <w:szCs w:val="21"/>
              </w:rPr>
              <w:t>Cd</w:t>
            </w:r>
          </w:p>
        </w:tc>
        <w:tc>
          <w:tcPr>
            <w:tcW w:w="3055" w:type="dxa"/>
            <w:vAlign w:val="center"/>
          </w:tcPr>
          <w:p>
            <w:pPr>
              <w:jc w:val="center"/>
              <w:rPr>
                <w:spacing w:val="2"/>
                <w:szCs w:val="21"/>
              </w:rPr>
            </w:pPr>
            <w:r>
              <w:rPr>
                <w:spacing w:val="2"/>
                <w:szCs w:val="21"/>
              </w:rPr>
              <w:t>原子吸收分光光度法</w:t>
            </w:r>
          </w:p>
        </w:tc>
        <w:tc>
          <w:tcPr>
            <w:tcW w:w="1509" w:type="dxa"/>
            <w:vAlign w:val="center"/>
          </w:tcPr>
          <w:p>
            <w:pPr>
              <w:jc w:val="center"/>
              <w:rPr>
                <w:spacing w:val="2"/>
                <w:szCs w:val="21"/>
              </w:rPr>
            </w:pPr>
            <w:r>
              <w:rPr>
                <w:spacing w:val="2"/>
                <w:szCs w:val="21"/>
              </w:rPr>
              <w:t>0.001</w:t>
            </w:r>
          </w:p>
        </w:tc>
        <w:tc>
          <w:tcPr>
            <w:tcW w:w="1970" w:type="dxa"/>
            <w:vAlign w:val="center"/>
          </w:tcPr>
          <w:p>
            <w:pPr>
              <w:jc w:val="center"/>
              <w:rPr>
                <w:spacing w:val="2"/>
                <w:szCs w:val="21"/>
              </w:rPr>
            </w:pPr>
            <w:r>
              <w:rPr>
                <w:spacing w:val="2"/>
                <w:szCs w:val="21"/>
              </w:rPr>
              <w:t>GB7475-87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635" w:type="dxa"/>
            <w:vAlign w:val="center"/>
          </w:tcPr>
          <w:p>
            <w:pPr>
              <w:jc w:val="center"/>
              <w:rPr>
                <w:spacing w:val="2"/>
                <w:szCs w:val="21"/>
              </w:rPr>
            </w:pPr>
            <w:r>
              <w:rPr>
                <w:spacing w:val="2"/>
                <w:szCs w:val="21"/>
              </w:rPr>
              <w:t>8</w:t>
            </w:r>
          </w:p>
        </w:tc>
        <w:tc>
          <w:tcPr>
            <w:tcW w:w="1060" w:type="dxa"/>
            <w:vAlign w:val="center"/>
          </w:tcPr>
          <w:p>
            <w:pPr>
              <w:jc w:val="center"/>
              <w:rPr>
                <w:spacing w:val="2"/>
                <w:szCs w:val="21"/>
              </w:rPr>
            </w:pPr>
            <w:r>
              <w:rPr>
                <w:spacing w:val="2"/>
                <w:szCs w:val="21"/>
              </w:rPr>
              <w:t>石油类</w:t>
            </w:r>
          </w:p>
        </w:tc>
        <w:tc>
          <w:tcPr>
            <w:tcW w:w="3055" w:type="dxa"/>
            <w:vAlign w:val="center"/>
          </w:tcPr>
          <w:p>
            <w:pPr>
              <w:jc w:val="center"/>
              <w:rPr>
                <w:spacing w:val="2"/>
                <w:szCs w:val="21"/>
              </w:rPr>
            </w:pPr>
            <w:r>
              <w:rPr>
                <w:spacing w:val="2"/>
                <w:szCs w:val="21"/>
              </w:rPr>
              <w:t>红外分光光度法</w:t>
            </w:r>
          </w:p>
        </w:tc>
        <w:tc>
          <w:tcPr>
            <w:tcW w:w="1509" w:type="dxa"/>
            <w:vAlign w:val="center"/>
          </w:tcPr>
          <w:p>
            <w:pPr>
              <w:jc w:val="center"/>
              <w:rPr>
                <w:spacing w:val="2"/>
                <w:szCs w:val="21"/>
              </w:rPr>
            </w:pPr>
            <w:r>
              <w:rPr>
                <w:spacing w:val="2"/>
                <w:szCs w:val="21"/>
              </w:rPr>
              <w:t>0.01</w:t>
            </w:r>
          </w:p>
        </w:tc>
        <w:tc>
          <w:tcPr>
            <w:tcW w:w="1970" w:type="dxa"/>
            <w:vAlign w:val="center"/>
          </w:tcPr>
          <w:p>
            <w:pPr>
              <w:jc w:val="center"/>
              <w:rPr>
                <w:spacing w:val="2"/>
                <w:szCs w:val="21"/>
              </w:rPr>
            </w:pPr>
            <w:r>
              <w:rPr>
                <w:spacing w:val="2"/>
                <w:szCs w:val="21"/>
              </w:rPr>
              <w:t>GB/T16488-1996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635" w:type="dxa"/>
            <w:vAlign w:val="center"/>
          </w:tcPr>
          <w:p>
            <w:pPr>
              <w:jc w:val="center"/>
              <w:rPr>
                <w:spacing w:val="2"/>
                <w:szCs w:val="21"/>
              </w:rPr>
            </w:pPr>
            <w:r>
              <w:rPr>
                <w:spacing w:val="2"/>
                <w:szCs w:val="21"/>
              </w:rPr>
              <w:t>9</w:t>
            </w:r>
          </w:p>
        </w:tc>
        <w:tc>
          <w:tcPr>
            <w:tcW w:w="1060" w:type="dxa"/>
            <w:vAlign w:val="center"/>
          </w:tcPr>
          <w:p>
            <w:pPr>
              <w:jc w:val="center"/>
              <w:rPr>
                <w:spacing w:val="2"/>
                <w:szCs w:val="21"/>
              </w:rPr>
            </w:pPr>
            <w:r>
              <w:rPr>
                <w:spacing w:val="2"/>
                <w:szCs w:val="21"/>
              </w:rPr>
              <w:t>As</w:t>
            </w:r>
          </w:p>
        </w:tc>
        <w:tc>
          <w:tcPr>
            <w:tcW w:w="3055" w:type="dxa"/>
            <w:vAlign w:val="center"/>
          </w:tcPr>
          <w:p>
            <w:pPr>
              <w:jc w:val="center"/>
              <w:rPr>
                <w:spacing w:val="2"/>
                <w:szCs w:val="21"/>
              </w:rPr>
            </w:pPr>
            <w:r>
              <w:rPr>
                <w:spacing w:val="2"/>
                <w:szCs w:val="21"/>
              </w:rPr>
              <w:t>原子荧光法</w:t>
            </w:r>
          </w:p>
        </w:tc>
        <w:tc>
          <w:tcPr>
            <w:tcW w:w="1509" w:type="dxa"/>
            <w:vAlign w:val="center"/>
          </w:tcPr>
          <w:p>
            <w:pPr>
              <w:jc w:val="center"/>
              <w:rPr>
                <w:spacing w:val="2"/>
                <w:szCs w:val="21"/>
              </w:rPr>
            </w:pPr>
            <w:r>
              <w:rPr>
                <w:spacing w:val="2"/>
                <w:szCs w:val="21"/>
              </w:rPr>
              <w:t>0.0005</w:t>
            </w:r>
          </w:p>
        </w:tc>
        <w:tc>
          <w:tcPr>
            <w:tcW w:w="1970" w:type="dxa"/>
            <w:vAlign w:val="center"/>
          </w:tcPr>
          <w:p>
            <w:pPr>
              <w:jc w:val="center"/>
              <w:rPr>
                <w:spacing w:val="2"/>
                <w:szCs w:val="21"/>
              </w:rPr>
            </w:pPr>
            <w:r>
              <w:rPr>
                <w:spacing w:val="2"/>
                <w:szCs w:val="21"/>
              </w:rPr>
              <w:t>GB7485-87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635" w:type="dxa"/>
            <w:vAlign w:val="center"/>
          </w:tcPr>
          <w:p>
            <w:pPr>
              <w:jc w:val="center"/>
              <w:rPr>
                <w:spacing w:val="2"/>
                <w:szCs w:val="21"/>
              </w:rPr>
            </w:pPr>
            <w:r>
              <w:rPr>
                <w:spacing w:val="2"/>
                <w:szCs w:val="21"/>
              </w:rPr>
              <w:t>10</w:t>
            </w:r>
          </w:p>
        </w:tc>
        <w:tc>
          <w:tcPr>
            <w:tcW w:w="1060" w:type="dxa"/>
            <w:vAlign w:val="center"/>
          </w:tcPr>
          <w:p>
            <w:pPr>
              <w:jc w:val="center"/>
              <w:rPr>
                <w:spacing w:val="2"/>
                <w:szCs w:val="21"/>
              </w:rPr>
            </w:pPr>
            <w:r>
              <w:rPr>
                <w:spacing w:val="2"/>
                <w:szCs w:val="21"/>
              </w:rPr>
              <w:t>Hg</w:t>
            </w:r>
          </w:p>
        </w:tc>
        <w:tc>
          <w:tcPr>
            <w:tcW w:w="3055" w:type="dxa"/>
            <w:vAlign w:val="center"/>
          </w:tcPr>
          <w:p>
            <w:pPr>
              <w:jc w:val="center"/>
              <w:rPr>
                <w:spacing w:val="2"/>
                <w:szCs w:val="21"/>
              </w:rPr>
            </w:pPr>
            <w:r>
              <w:rPr>
                <w:spacing w:val="2"/>
                <w:szCs w:val="21"/>
              </w:rPr>
              <w:t>原子荧光法</w:t>
            </w:r>
          </w:p>
        </w:tc>
        <w:tc>
          <w:tcPr>
            <w:tcW w:w="1509" w:type="dxa"/>
            <w:vAlign w:val="center"/>
          </w:tcPr>
          <w:p>
            <w:pPr>
              <w:jc w:val="center"/>
              <w:rPr>
                <w:spacing w:val="2"/>
                <w:szCs w:val="21"/>
              </w:rPr>
            </w:pPr>
            <w:r>
              <w:rPr>
                <w:spacing w:val="2"/>
                <w:szCs w:val="21"/>
              </w:rPr>
              <w:t>0.00005</w:t>
            </w:r>
          </w:p>
        </w:tc>
        <w:tc>
          <w:tcPr>
            <w:tcW w:w="1970" w:type="dxa"/>
            <w:vAlign w:val="center"/>
          </w:tcPr>
          <w:p>
            <w:pPr>
              <w:jc w:val="center"/>
              <w:rPr>
                <w:spacing w:val="2"/>
                <w:szCs w:val="21"/>
              </w:rPr>
            </w:pPr>
            <w:r>
              <w:rPr>
                <w:spacing w:val="2"/>
                <w:szCs w:val="21"/>
              </w:rPr>
              <w:t>GB7485-87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635" w:type="dxa"/>
            <w:vAlign w:val="center"/>
          </w:tcPr>
          <w:p>
            <w:pPr>
              <w:jc w:val="center"/>
              <w:rPr>
                <w:spacing w:val="2"/>
                <w:szCs w:val="21"/>
              </w:rPr>
            </w:pPr>
            <w:r>
              <w:rPr>
                <w:spacing w:val="2"/>
                <w:szCs w:val="21"/>
              </w:rPr>
              <w:t>11</w:t>
            </w:r>
          </w:p>
        </w:tc>
        <w:tc>
          <w:tcPr>
            <w:tcW w:w="1060" w:type="dxa"/>
            <w:vAlign w:val="center"/>
          </w:tcPr>
          <w:p>
            <w:pPr>
              <w:jc w:val="center"/>
              <w:rPr>
                <w:spacing w:val="2"/>
                <w:szCs w:val="21"/>
              </w:rPr>
            </w:pPr>
            <w:r>
              <w:rPr>
                <w:spacing w:val="2"/>
                <w:szCs w:val="21"/>
              </w:rPr>
              <w:t>氟化物</w:t>
            </w:r>
          </w:p>
        </w:tc>
        <w:tc>
          <w:tcPr>
            <w:tcW w:w="3055" w:type="dxa"/>
            <w:vAlign w:val="center"/>
          </w:tcPr>
          <w:p>
            <w:pPr>
              <w:jc w:val="center"/>
              <w:rPr>
                <w:spacing w:val="2"/>
                <w:szCs w:val="21"/>
              </w:rPr>
            </w:pPr>
            <w:r>
              <w:rPr>
                <w:spacing w:val="2"/>
                <w:szCs w:val="21"/>
              </w:rPr>
              <w:t>离子选择电极法</w:t>
            </w:r>
          </w:p>
        </w:tc>
        <w:tc>
          <w:tcPr>
            <w:tcW w:w="1509" w:type="dxa"/>
            <w:vAlign w:val="center"/>
          </w:tcPr>
          <w:p>
            <w:pPr>
              <w:jc w:val="center"/>
              <w:rPr>
                <w:spacing w:val="2"/>
                <w:szCs w:val="21"/>
              </w:rPr>
            </w:pPr>
            <w:r>
              <w:rPr>
                <w:spacing w:val="2"/>
                <w:szCs w:val="21"/>
              </w:rPr>
              <w:t>0.05</w:t>
            </w:r>
          </w:p>
        </w:tc>
        <w:tc>
          <w:tcPr>
            <w:tcW w:w="1970" w:type="dxa"/>
            <w:vAlign w:val="center"/>
          </w:tcPr>
          <w:p>
            <w:pPr>
              <w:jc w:val="center"/>
              <w:rPr>
                <w:spacing w:val="2"/>
                <w:szCs w:val="21"/>
              </w:rPr>
            </w:pPr>
            <w:r>
              <w:rPr>
                <w:spacing w:val="2"/>
                <w:szCs w:val="21"/>
              </w:rPr>
              <w:t>GB7484-87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635" w:type="dxa"/>
            <w:vAlign w:val="center"/>
          </w:tcPr>
          <w:p>
            <w:pPr>
              <w:jc w:val="center"/>
              <w:rPr>
                <w:spacing w:val="2"/>
                <w:szCs w:val="21"/>
              </w:rPr>
            </w:pPr>
            <w:r>
              <w:rPr>
                <w:spacing w:val="2"/>
                <w:szCs w:val="21"/>
              </w:rPr>
              <w:t>12</w:t>
            </w:r>
          </w:p>
        </w:tc>
        <w:tc>
          <w:tcPr>
            <w:tcW w:w="1060" w:type="dxa"/>
            <w:vAlign w:val="center"/>
          </w:tcPr>
          <w:p>
            <w:pPr>
              <w:jc w:val="center"/>
              <w:rPr>
                <w:spacing w:val="2"/>
                <w:szCs w:val="21"/>
              </w:rPr>
            </w:pPr>
            <w:r>
              <w:rPr>
                <w:snapToGrid w:val="0"/>
                <w:kern w:val="0"/>
                <w:sz w:val="20"/>
                <w:szCs w:val="20"/>
              </w:rPr>
              <w:t>Cu</w:t>
            </w:r>
          </w:p>
        </w:tc>
        <w:tc>
          <w:tcPr>
            <w:tcW w:w="3055" w:type="dxa"/>
            <w:vAlign w:val="center"/>
          </w:tcPr>
          <w:p>
            <w:pPr>
              <w:jc w:val="center"/>
              <w:rPr>
                <w:spacing w:val="2"/>
                <w:szCs w:val="21"/>
              </w:rPr>
            </w:pPr>
            <w:r>
              <w:rPr>
                <w:spacing w:val="2"/>
                <w:szCs w:val="21"/>
              </w:rPr>
              <w:t>原子吸收分光光度法</w:t>
            </w:r>
          </w:p>
        </w:tc>
        <w:tc>
          <w:tcPr>
            <w:tcW w:w="1509" w:type="dxa"/>
            <w:vAlign w:val="center"/>
          </w:tcPr>
          <w:p>
            <w:pPr>
              <w:jc w:val="center"/>
              <w:rPr>
                <w:spacing w:val="2"/>
                <w:szCs w:val="21"/>
              </w:rPr>
            </w:pPr>
            <w:r>
              <w:rPr>
                <w:spacing w:val="2"/>
                <w:szCs w:val="21"/>
              </w:rPr>
              <w:t>0.001</w:t>
            </w:r>
          </w:p>
        </w:tc>
        <w:tc>
          <w:tcPr>
            <w:tcW w:w="1970" w:type="dxa"/>
            <w:vAlign w:val="center"/>
          </w:tcPr>
          <w:p>
            <w:pPr>
              <w:jc w:val="center"/>
              <w:rPr>
                <w:spacing w:val="2"/>
                <w:szCs w:val="21"/>
              </w:rPr>
            </w:pPr>
            <w:r>
              <w:rPr>
                <w:spacing w:val="2"/>
                <w:szCs w:val="21"/>
              </w:rPr>
              <w:t>GB7475-87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635" w:type="dxa"/>
            <w:vAlign w:val="center"/>
          </w:tcPr>
          <w:p>
            <w:pPr>
              <w:jc w:val="center"/>
              <w:rPr>
                <w:spacing w:val="2"/>
                <w:szCs w:val="21"/>
              </w:rPr>
            </w:pPr>
            <w:r>
              <w:rPr>
                <w:spacing w:val="2"/>
                <w:szCs w:val="21"/>
              </w:rPr>
              <w:t>13</w:t>
            </w:r>
          </w:p>
        </w:tc>
        <w:tc>
          <w:tcPr>
            <w:tcW w:w="1060" w:type="dxa"/>
            <w:vAlign w:val="center"/>
          </w:tcPr>
          <w:p>
            <w:pPr>
              <w:jc w:val="center"/>
              <w:rPr>
                <w:spacing w:val="2"/>
                <w:szCs w:val="21"/>
              </w:rPr>
            </w:pPr>
            <w:r>
              <w:rPr>
                <w:snapToGrid w:val="0"/>
                <w:kern w:val="0"/>
                <w:sz w:val="20"/>
                <w:szCs w:val="20"/>
              </w:rPr>
              <w:t>Pb</w:t>
            </w:r>
          </w:p>
        </w:tc>
        <w:tc>
          <w:tcPr>
            <w:tcW w:w="3055" w:type="dxa"/>
            <w:vAlign w:val="center"/>
          </w:tcPr>
          <w:p>
            <w:pPr>
              <w:jc w:val="center"/>
              <w:rPr>
                <w:spacing w:val="2"/>
                <w:szCs w:val="21"/>
              </w:rPr>
            </w:pPr>
            <w:r>
              <w:rPr>
                <w:spacing w:val="2"/>
                <w:szCs w:val="21"/>
              </w:rPr>
              <w:t>原子吸收分光光度法</w:t>
            </w:r>
          </w:p>
        </w:tc>
        <w:tc>
          <w:tcPr>
            <w:tcW w:w="1509" w:type="dxa"/>
            <w:vAlign w:val="center"/>
          </w:tcPr>
          <w:p>
            <w:pPr>
              <w:jc w:val="center"/>
              <w:rPr>
                <w:spacing w:val="2"/>
                <w:szCs w:val="21"/>
              </w:rPr>
            </w:pPr>
            <w:r>
              <w:rPr>
                <w:spacing w:val="2"/>
                <w:szCs w:val="21"/>
              </w:rPr>
              <w:t>0.01</w:t>
            </w:r>
          </w:p>
        </w:tc>
        <w:tc>
          <w:tcPr>
            <w:tcW w:w="1970" w:type="dxa"/>
            <w:vAlign w:val="center"/>
          </w:tcPr>
          <w:p>
            <w:pPr>
              <w:jc w:val="center"/>
              <w:rPr>
                <w:spacing w:val="2"/>
                <w:szCs w:val="21"/>
              </w:rPr>
            </w:pPr>
            <w:r>
              <w:rPr>
                <w:spacing w:val="2"/>
                <w:szCs w:val="21"/>
              </w:rPr>
              <w:t>GB7475-87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635" w:type="dxa"/>
            <w:vAlign w:val="center"/>
          </w:tcPr>
          <w:p>
            <w:pPr>
              <w:jc w:val="center"/>
              <w:rPr>
                <w:spacing w:val="2"/>
                <w:szCs w:val="21"/>
              </w:rPr>
            </w:pPr>
            <w:r>
              <w:rPr>
                <w:spacing w:val="2"/>
                <w:szCs w:val="21"/>
              </w:rPr>
              <w:t>14</w:t>
            </w:r>
          </w:p>
        </w:tc>
        <w:tc>
          <w:tcPr>
            <w:tcW w:w="1060" w:type="dxa"/>
            <w:vAlign w:val="center"/>
          </w:tcPr>
          <w:p>
            <w:pPr>
              <w:jc w:val="center"/>
              <w:rPr>
                <w:spacing w:val="2"/>
                <w:szCs w:val="21"/>
              </w:rPr>
            </w:pPr>
            <w:r>
              <w:rPr>
                <w:snapToGrid w:val="0"/>
                <w:kern w:val="0"/>
                <w:sz w:val="20"/>
                <w:szCs w:val="20"/>
              </w:rPr>
              <w:t>Zn</w:t>
            </w:r>
          </w:p>
        </w:tc>
        <w:tc>
          <w:tcPr>
            <w:tcW w:w="3055" w:type="dxa"/>
            <w:vAlign w:val="center"/>
          </w:tcPr>
          <w:p>
            <w:pPr>
              <w:jc w:val="center"/>
              <w:rPr>
                <w:spacing w:val="2"/>
                <w:szCs w:val="21"/>
              </w:rPr>
            </w:pPr>
            <w:r>
              <w:rPr>
                <w:spacing w:val="2"/>
                <w:szCs w:val="21"/>
              </w:rPr>
              <w:t>原子吸收分光光度法</w:t>
            </w:r>
          </w:p>
        </w:tc>
        <w:tc>
          <w:tcPr>
            <w:tcW w:w="1509" w:type="dxa"/>
            <w:vAlign w:val="center"/>
          </w:tcPr>
          <w:p>
            <w:pPr>
              <w:jc w:val="center"/>
              <w:rPr>
                <w:spacing w:val="2"/>
                <w:szCs w:val="21"/>
              </w:rPr>
            </w:pPr>
            <w:r>
              <w:rPr>
                <w:spacing w:val="2"/>
                <w:szCs w:val="21"/>
              </w:rPr>
              <w:t>0.05</w:t>
            </w:r>
          </w:p>
        </w:tc>
        <w:tc>
          <w:tcPr>
            <w:tcW w:w="1970" w:type="dxa"/>
            <w:vAlign w:val="center"/>
          </w:tcPr>
          <w:p>
            <w:pPr>
              <w:jc w:val="center"/>
              <w:rPr>
                <w:spacing w:val="2"/>
                <w:szCs w:val="21"/>
              </w:rPr>
            </w:pPr>
            <w:r>
              <w:rPr>
                <w:spacing w:val="2"/>
                <w:szCs w:val="21"/>
              </w:rPr>
              <w:t>GB7475-87</w:t>
            </w:r>
          </w:p>
        </w:tc>
      </w:tr>
    </w:tbl>
    <w:p>
      <w:pPr>
        <w:pStyle w:val="5"/>
        <w:rPr>
          <w:rFonts w:ascii="Times New Roman" w:hAnsi="Times New Roman"/>
        </w:rPr>
      </w:pPr>
      <w:r>
        <w:rPr>
          <w:rFonts w:ascii="Times New Roman" w:hAnsi="Times New Roman"/>
        </w:rPr>
        <w:t>5.3.2.2 监测时间、频率及分析方法</w:t>
      </w:r>
    </w:p>
    <w:p>
      <w:pPr>
        <w:spacing w:line="360" w:lineRule="auto"/>
        <w:ind w:firstLine="480" w:firstLineChars="200"/>
        <w:rPr>
          <w:sz w:val="24"/>
        </w:rPr>
      </w:pPr>
      <w:r>
        <w:rPr>
          <w:sz w:val="24"/>
        </w:rPr>
        <w:t>地表水监测于2016年8月25日～8月27日由灵宝市环境监测站进行，一次性连续监测3天，每天各断面采集一次混合样。</w:t>
      </w:r>
    </w:p>
    <w:p>
      <w:pPr>
        <w:pStyle w:val="5"/>
      </w:pPr>
      <w:r>
        <w:t>5.3.2.3 监测结果分析</w:t>
      </w:r>
    </w:p>
    <w:p>
      <w:pPr>
        <w:spacing w:line="360" w:lineRule="auto"/>
        <w:rPr>
          <w:sz w:val="24"/>
        </w:rPr>
      </w:pPr>
      <w:r>
        <w:rPr>
          <w:sz w:val="24"/>
        </w:rPr>
        <w:t xml:space="preserve">    （1）地表水监测结果见表5.3-3。</w:t>
      </w:r>
    </w:p>
    <w:p>
      <w:pPr>
        <w:jc w:val="center"/>
        <w:rPr>
          <w:rFonts w:eastAsia="黑体"/>
          <w:sz w:val="22"/>
          <w:szCs w:val="22"/>
        </w:rPr>
      </w:pPr>
      <w:r>
        <w:rPr>
          <w:rFonts w:eastAsia="黑体"/>
          <w:sz w:val="22"/>
          <w:szCs w:val="22"/>
        </w:rPr>
        <w:t>表5.3-3          验收阶段地表水监测结果一览表     单位(pH除外)：mg/L</w:t>
      </w:r>
    </w:p>
    <w:tbl>
      <w:tblPr>
        <w:tblStyle w:val="54"/>
        <w:tblW w:w="83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
        <w:gridCol w:w="1315"/>
        <w:gridCol w:w="928"/>
        <w:gridCol w:w="1109"/>
        <w:gridCol w:w="1328"/>
        <w:gridCol w:w="1086"/>
        <w:gridCol w:w="1381"/>
        <w:gridCol w:w="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49" w:hRule="atLeast"/>
          <w:tblHeader/>
          <w:jc w:val="center"/>
        </w:trPr>
        <w:tc>
          <w:tcPr>
            <w:tcW w:w="1601" w:type="dxa"/>
            <w:gridSpan w:val="2"/>
            <w:vAlign w:val="center"/>
          </w:tcPr>
          <w:p>
            <w:pPr>
              <w:adjustRightInd w:val="0"/>
              <w:snapToGrid w:val="0"/>
              <w:jc w:val="center"/>
              <w:rPr>
                <w:sz w:val="20"/>
                <w:szCs w:val="20"/>
              </w:rPr>
            </w:pPr>
            <w:r>
              <w:rPr>
                <w:sz w:val="20"/>
                <w:szCs w:val="20"/>
              </w:rPr>
              <w:t>监测因子</w:t>
            </w:r>
          </w:p>
          <w:p>
            <w:pPr>
              <w:adjustRightInd w:val="0"/>
              <w:snapToGrid w:val="0"/>
              <w:jc w:val="center"/>
              <w:rPr>
                <w:sz w:val="20"/>
                <w:szCs w:val="20"/>
              </w:rPr>
            </w:pPr>
            <w:r>
              <w:rPr>
                <w:sz w:val="20"/>
                <w:szCs w:val="20"/>
              </w:rPr>
              <w:t>监测点</w:t>
            </w:r>
          </w:p>
        </w:tc>
        <w:tc>
          <w:tcPr>
            <w:tcW w:w="928" w:type="dxa"/>
            <w:vAlign w:val="center"/>
          </w:tcPr>
          <w:p>
            <w:pPr>
              <w:adjustRightInd w:val="0"/>
              <w:snapToGrid w:val="0"/>
              <w:jc w:val="center"/>
              <w:rPr>
                <w:sz w:val="20"/>
                <w:szCs w:val="20"/>
              </w:rPr>
            </w:pPr>
            <w:r>
              <w:rPr>
                <w:sz w:val="20"/>
                <w:szCs w:val="20"/>
              </w:rPr>
              <w:t>pH</w:t>
            </w:r>
          </w:p>
        </w:tc>
        <w:tc>
          <w:tcPr>
            <w:tcW w:w="1109" w:type="dxa"/>
            <w:vAlign w:val="center"/>
          </w:tcPr>
          <w:p>
            <w:pPr>
              <w:adjustRightInd w:val="0"/>
              <w:snapToGrid w:val="0"/>
              <w:jc w:val="center"/>
              <w:rPr>
                <w:sz w:val="20"/>
                <w:szCs w:val="20"/>
              </w:rPr>
            </w:pPr>
            <w:r>
              <w:rPr>
                <w:sz w:val="20"/>
                <w:szCs w:val="20"/>
              </w:rPr>
              <w:t>氨氮</w:t>
            </w:r>
          </w:p>
        </w:tc>
        <w:tc>
          <w:tcPr>
            <w:tcW w:w="1328" w:type="dxa"/>
            <w:vAlign w:val="center"/>
          </w:tcPr>
          <w:p>
            <w:pPr>
              <w:adjustRightInd w:val="0"/>
              <w:snapToGrid w:val="0"/>
              <w:jc w:val="center"/>
              <w:rPr>
                <w:sz w:val="20"/>
                <w:szCs w:val="20"/>
              </w:rPr>
            </w:pPr>
            <w:r>
              <w:rPr>
                <w:sz w:val="20"/>
                <w:szCs w:val="20"/>
              </w:rPr>
              <w:t>COD（mg/l）</w:t>
            </w:r>
          </w:p>
        </w:tc>
        <w:tc>
          <w:tcPr>
            <w:tcW w:w="1086" w:type="dxa"/>
            <w:vAlign w:val="center"/>
          </w:tcPr>
          <w:p>
            <w:pPr>
              <w:adjustRightInd w:val="0"/>
              <w:snapToGrid w:val="0"/>
              <w:jc w:val="center"/>
              <w:rPr>
                <w:spacing w:val="-10"/>
                <w:sz w:val="20"/>
                <w:szCs w:val="20"/>
              </w:rPr>
            </w:pPr>
            <w:r>
              <w:rPr>
                <w:spacing w:val="-10"/>
                <w:sz w:val="20"/>
                <w:szCs w:val="20"/>
              </w:rPr>
              <w:t>BOD</w:t>
            </w:r>
            <w:r>
              <w:rPr>
                <w:spacing w:val="-10"/>
                <w:sz w:val="20"/>
                <w:szCs w:val="20"/>
                <w:vertAlign w:val="subscript"/>
              </w:rPr>
              <w:t>5</w:t>
            </w:r>
            <w:r>
              <w:rPr>
                <w:sz w:val="20"/>
                <w:szCs w:val="20"/>
              </w:rPr>
              <w:t>（mg/l）</w:t>
            </w:r>
          </w:p>
        </w:tc>
        <w:tc>
          <w:tcPr>
            <w:tcW w:w="1381" w:type="dxa"/>
            <w:shd w:val="clear" w:color="auto" w:fill="auto"/>
            <w:vAlign w:val="center"/>
          </w:tcPr>
          <w:p>
            <w:pPr>
              <w:adjustRightInd w:val="0"/>
              <w:snapToGrid w:val="0"/>
              <w:jc w:val="center"/>
              <w:rPr>
                <w:spacing w:val="-10"/>
                <w:sz w:val="20"/>
                <w:szCs w:val="20"/>
              </w:rPr>
            </w:pPr>
            <w:r>
              <w:rPr>
                <w:sz w:val="20"/>
                <w:szCs w:val="20"/>
              </w:rPr>
              <w:t>六价铬（mg/l）</w:t>
            </w:r>
          </w:p>
        </w:tc>
        <w:tc>
          <w:tcPr>
            <w:tcW w:w="909" w:type="dxa"/>
            <w:vAlign w:val="center"/>
          </w:tcPr>
          <w:p>
            <w:pPr>
              <w:adjustRightInd w:val="0"/>
              <w:snapToGrid w:val="0"/>
              <w:jc w:val="center"/>
              <w:rPr>
                <w:sz w:val="20"/>
                <w:szCs w:val="20"/>
              </w:rPr>
            </w:pPr>
            <w:r>
              <w:rPr>
                <w:sz w:val="20"/>
                <w:szCs w:val="20"/>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11" w:hRule="atLeast"/>
          <w:jc w:val="center"/>
        </w:trPr>
        <w:tc>
          <w:tcPr>
            <w:tcW w:w="1601" w:type="dxa"/>
            <w:gridSpan w:val="2"/>
            <w:shd w:val="clear" w:color="auto" w:fill="auto"/>
            <w:vAlign w:val="center"/>
          </w:tcPr>
          <w:p>
            <w:pPr>
              <w:adjustRightInd w:val="0"/>
              <w:snapToGrid w:val="0"/>
              <w:jc w:val="center"/>
              <w:rPr>
                <w:sz w:val="20"/>
                <w:szCs w:val="20"/>
              </w:rPr>
            </w:pPr>
            <w:r>
              <w:rPr>
                <w:sz w:val="20"/>
                <w:szCs w:val="20"/>
              </w:rPr>
              <w:t>标准</w:t>
            </w:r>
          </w:p>
        </w:tc>
        <w:tc>
          <w:tcPr>
            <w:tcW w:w="928" w:type="dxa"/>
            <w:vAlign w:val="center"/>
          </w:tcPr>
          <w:p>
            <w:pPr>
              <w:adjustRightInd w:val="0"/>
              <w:snapToGrid w:val="0"/>
              <w:jc w:val="center"/>
              <w:rPr>
                <w:spacing w:val="-10"/>
                <w:sz w:val="20"/>
                <w:szCs w:val="20"/>
              </w:rPr>
            </w:pPr>
            <w:r>
              <w:rPr>
                <w:spacing w:val="-10"/>
                <w:sz w:val="20"/>
                <w:szCs w:val="20"/>
              </w:rPr>
              <w:t>6～9</w:t>
            </w:r>
          </w:p>
        </w:tc>
        <w:tc>
          <w:tcPr>
            <w:tcW w:w="1109" w:type="dxa"/>
            <w:vAlign w:val="center"/>
          </w:tcPr>
          <w:p>
            <w:pPr>
              <w:adjustRightInd w:val="0"/>
              <w:snapToGrid w:val="0"/>
              <w:jc w:val="center"/>
              <w:rPr>
                <w:sz w:val="20"/>
                <w:szCs w:val="20"/>
              </w:rPr>
            </w:pPr>
            <w:r>
              <w:rPr>
                <w:sz w:val="20"/>
                <w:szCs w:val="20"/>
              </w:rPr>
              <w:t>1.0</w:t>
            </w:r>
          </w:p>
        </w:tc>
        <w:tc>
          <w:tcPr>
            <w:tcW w:w="1328" w:type="dxa"/>
            <w:vAlign w:val="center"/>
          </w:tcPr>
          <w:p>
            <w:pPr>
              <w:adjustRightInd w:val="0"/>
              <w:snapToGrid w:val="0"/>
              <w:jc w:val="center"/>
              <w:rPr>
                <w:sz w:val="20"/>
                <w:szCs w:val="20"/>
              </w:rPr>
            </w:pPr>
            <w:r>
              <w:rPr>
                <w:sz w:val="20"/>
                <w:szCs w:val="20"/>
              </w:rPr>
              <w:t>20</w:t>
            </w:r>
          </w:p>
        </w:tc>
        <w:tc>
          <w:tcPr>
            <w:tcW w:w="1086" w:type="dxa"/>
            <w:vAlign w:val="center"/>
          </w:tcPr>
          <w:p>
            <w:pPr>
              <w:adjustRightInd w:val="0"/>
              <w:snapToGrid w:val="0"/>
              <w:ind w:firstLine="105"/>
              <w:jc w:val="center"/>
              <w:rPr>
                <w:sz w:val="20"/>
                <w:szCs w:val="20"/>
              </w:rPr>
            </w:pPr>
            <w:r>
              <w:rPr>
                <w:sz w:val="20"/>
                <w:szCs w:val="20"/>
              </w:rPr>
              <w:t>4</w:t>
            </w:r>
          </w:p>
        </w:tc>
        <w:tc>
          <w:tcPr>
            <w:tcW w:w="1381" w:type="dxa"/>
            <w:shd w:val="clear" w:color="auto" w:fill="auto"/>
            <w:vAlign w:val="center"/>
          </w:tcPr>
          <w:p>
            <w:pPr>
              <w:adjustRightInd w:val="0"/>
              <w:snapToGrid w:val="0"/>
              <w:jc w:val="center"/>
              <w:rPr>
                <w:spacing w:val="-10"/>
                <w:sz w:val="20"/>
                <w:szCs w:val="20"/>
              </w:rPr>
            </w:pPr>
            <w:r>
              <w:rPr>
                <w:spacing w:val="-10"/>
                <w:sz w:val="20"/>
                <w:szCs w:val="20"/>
              </w:rPr>
              <w:t>0.05</w:t>
            </w:r>
          </w:p>
        </w:tc>
        <w:tc>
          <w:tcPr>
            <w:tcW w:w="909" w:type="dxa"/>
            <w:vAlign w:val="center"/>
          </w:tcPr>
          <w:p>
            <w:pPr>
              <w:adjustRightInd w:val="0"/>
              <w:snapToGrid w:val="0"/>
              <w:jc w:val="center"/>
              <w:rPr>
                <w:spacing w:val="-10"/>
                <w:sz w:val="20"/>
                <w:szCs w:val="20"/>
              </w:rPr>
            </w:pPr>
            <w:r>
              <w:rPr>
                <w:spacing w:val="-10"/>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11" w:hRule="atLeast"/>
          <w:jc w:val="center"/>
        </w:trPr>
        <w:tc>
          <w:tcPr>
            <w:tcW w:w="286" w:type="dxa"/>
            <w:vMerge w:val="restart"/>
            <w:vAlign w:val="center"/>
          </w:tcPr>
          <w:p>
            <w:pPr>
              <w:adjustRightInd w:val="0"/>
              <w:snapToGrid w:val="0"/>
              <w:jc w:val="center"/>
              <w:rPr>
                <w:sz w:val="20"/>
                <w:szCs w:val="20"/>
              </w:rPr>
            </w:pPr>
            <w:r>
              <w:rPr>
                <w:sz w:val="20"/>
                <w:szCs w:val="20"/>
              </w:rPr>
              <w:t>1</w:t>
            </w:r>
            <w:r>
              <w:rPr>
                <w:sz w:val="20"/>
                <w:szCs w:val="20"/>
                <w:vertAlign w:val="superscript"/>
              </w:rPr>
              <w:t>＃</w:t>
            </w:r>
          </w:p>
        </w:tc>
        <w:tc>
          <w:tcPr>
            <w:tcW w:w="1315" w:type="dxa"/>
            <w:vAlign w:val="center"/>
          </w:tcPr>
          <w:p>
            <w:pPr>
              <w:adjustRightInd w:val="0"/>
              <w:snapToGrid w:val="0"/>
              <w:jc w:val="center"/>
              <w:rPr>
                <w:sz w:val="20"/>
                <w:szCs w:val="20"/>
              </w:rPr>
            </w:pPr>
            <w:r>
              <w:rPr>
                <w:sz w:val="20"/>
                <w:szCs w:val="20"/>
              </w:rPr>
              <w:t>范围</w:t>
            </w:r>
          </w:p>
        </w:tc>
        <w:tc>
          <w:tcPr>
            <w:tcW w:w="928" w:type="dxa"/>
            <w:vAlign w:val="center"/>
          </w:tcPr>
          <w:p>
            <w:pPr>
              <w:adjustRightInd w:val="0"/>
              <w:snapToGrid w:val="0"/>
              <w:jc w:val="center"/>
              <w:rPr>
                <w:spacing w:val="-10"/>
                <w:sz w:val="20"/>
                <w:szCs w:val="20"/>
              </w:rPr>
            </w:pPr>
            <w:r>
              <w:rPr>
                <w:spacing w:val="-10"/>
                <w:sz w:val="20"/>
                <w:szCs w:val="20"/>
              </w:rPr>
              <w:t>6.39-6.42</w:t>
            </w:r>
          </w:p>
        </w:tc>
        <w:tc>
          <w:tcPr>
            <w:tcW w:w="1109" w:type="dxa"/>
            <w:vAlign w:val="center"/>
          </w:tcPr>
          <w:p>
            <w:pPr>
              <w:adjustRightInd w:val="0"/>
              <w:snapToGrid w:val="0"/>
              <w:jc w:val="center"/>
              <w:rPr>
                <w:sz w:val="20"/>
                <w:szCs w:val="20"/>
              </w:rPr>
            </w:pPr>
            <w:r>
              <w:rPr>
                <w:sz w:val="20"/>
                <w:szCs w:val="20"/>
              </w:rPr>
              <w:t>1.40-1.44</w:t>
            </w:r>
          </w:p>
        </w:tc>
        <w:tc>
          <w:tcPr>
            <w:tcW w:w="1328" w:type="dxa"/>
            <w:vAlign w:val="center"/>
          </w:tcPr>
          <w:p>
            <w:pPr>
              <w:adjustRightInd w:val="0"/>
              <w:snapToGrid w:val="0"/>
              <w:jc w:val="center"/>
              <w:rPr>
                <w:spacing w:val="-10"/>
                <w:sz w:val="20"/>
                <w:szCs w:val="20"/>
              </w:rPr>
            </w:pPr>
            <w:r>
              <w:rPr>
                <w:sz w:val="20"/>
                <w:szCs w:val="20"/>
              </w:rPr>
              <w:t>11.3-12.5</w:t>
            </w:r>
          </w:p>
        </w:tc>
        <w:tc>
          <w:tcPr>
            <w:tcW w:w="1086" w:type="dxa"/>
            <w:vAlign w:val="center"/>
          </w:tcPr>
          <w:p>
            <w:pPr>
              <w:adjustRightInd w:val="0"/>
              <w:snapToGrid w:val="0"/>
              <w:jc w:val="center"/>
              <w:rPr>
                <w:spacing w:val="-10"/>
                <w:sz w:val="20"/>
                <w:szCs w:val="20"/>
              </w:rPr>
            </w:pPr>
            <w:r>
              <w:rPr>
                <w:spacing w:val="-10"/>
                <w:sz w:val="20"/>
                <w:szCs w:val="20"/>
              </w:rPr>
              <w:t>2.9-3.1</w:t>
            </w:r>
          </w:p>
        </w:tc>
        <w:tc>
          <w:tcPr>
            <w:tcW w:w="1381" w:type="dxa"/>
            <w:shd w:val="clear" w:color="auto" w:fill="auto"/>
            <w:vAlign w:val="center"/>
          </w:tcPr>
          <w:p>
            <w:pPr>
              <w:adjustRightInd w:val="0"/>
              <w:snapToGrid w:val="0"/>
              <w:jc w:val="center"/>
              <w:rPr>
                <w:spacing w:val="-10"/>
                <w:sz w:val="20"/>
                <w:szCs w:val="20"/>
              </w:rPr>
            </w:pPr>
            <w:r>
              <w:rPr>
                <w:spacing w:val="-10"/>
                <w:sz w:val="20"/>
                <w:szCs w:val="20"/>
              </w:rPr>
              <w:t>0.012-0.014</w:t>
            </w:r>
          </w:p>
        </w:tc>
        <w:tc>
          <w:tcPr>
            <w:tcW w:w="909" w:type="dxa"/>
            <w:vAlign w:val="center"/>
          </w:tcPr>
          <w:p>
            <w:pPr>
              <w:adjustRightInd w:val="0"/>
              <w:snapToGrid w:val="0"/>
              <w:jc w:val="center"/>
              <w:rPr>
                <w:spacing w:val="-10"/>
                <w:sz w:val="20"/>
                <w:szCs w:val="20"/>
              </w:rPr>
            </w:pPr>
            <w:r>
              <w:rPr>
                <w:sz w:val="20"/>
                <w:szCs w:val="20"/>
              </w:rPr>
              <w:t>11-15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均值</w:t>
            </w:r>
          </w:p>
        </w:tc>
        <w:tc>
          <w:tcPr>
            <w:tcW w:w="928" w:type="dxa"/>
            <w:vAlign w:val="center"/>
          </w:tcPr>
          <w:p>
            <w:pPr>
              <w:adjustRightInd w:val="0"/>
              <w:snapToGrid w:val="0"/>
              <w:jc w:val="center"/>
              <w:rPr>
                <w:spacing w:val="-10"/>
                <w:sz w:val="20"/>
                <w:szCs w:val="20"/>
              </w:rPr>
            </w:pPr>
            <w:r>
              <w:rPr>
                <w:spacing w:val="-10"/>
                <w:sz w:val="20"/>
                <w:szCs w:val="20"/>
              </w:rPr>
              <w:t>/</w:t>
            </w:r>
          </w:p>
        </w:tc>
        <w:tc>
          <w:tcPr>
            <w:tcW w:w="1109" w:type="dxa"/>
            <w:vAlign w:val="center"/>
          </w:tcPr>
          <w:p>
            <w:pPr>
              <w:adjustRightInd w:val="0"/>
              <w:snapToGrid w:val="0"/>
              <w:jc w:val="center"/>
              <w:rPr>
                <w:sz w:val="20"/>
                <w:szCs w:val="20"/>
              </w:rPr>
            </w:pPr>
            <w:r>
              <w:rPr>
                <w:sz w:val="20"/>
                <w:szCs w:val="20"/>
              </w:rPr>
              <w:t>1.42</w:t>
            </w:r>
          </w:p>
        </w:tc>
        <w:tc>
          <w:tcPr>
            <w:tcW w:w="1328" w:type="dxa"/>
            <w:vAlign w:val="center"/>
          </w:tcPr>
          <w:p>
            <w:pPr>
              <w:adjustRightInd w:val="0"/>
              <w:snapToGrid w:val="0"/>
              <w:jc w:val="center"/>
              <w:rPr>
                <w:spacing w:val="-10"/>
                <w:sz w:val="20"/>
                <w:szCs w:val="20"/>
              </w:rPr>
            </w:pPr>
            <w:r>
              <w:rPr>
                <w:sz w:val="20"/>
                <w:szCs w:val="20"/>
              </w:rPr>
              <w:t>11.8</w:t>
            </w:r>
          </w:p>
        </w:tc>
        <w:tc>
          <w:tcPr>
            <w:tcW w:w="1086" w:type="dxa"/>
            <w:vAlign w:val="center"/>
          </w:tcPr>
          <w:p>
            <w:pPr>
              <w:adjustRightInd w:val="0"/>
              <w:snapToGrid w:val="0"/>
              <w:jc w:val="center"/>
              <w:rPr>
                <w:spacing w:val="-10"/>
                <w:sz w:val="20"/>
                <w:szCs w:val="20"/>
              </w:rPr>
            </w:pPr>
            <w:r>
              <w:rPr>
                <w:spacing w:val="-10"/>
                <w:sz w:val="20"/>
                <w:szCs w:val="20"/>
              </w:rPr>
              <w:t>2.97</w:t>
            </w:r>
          </w:p>
        </w:tc>
        <w:tc>
          <w:tcPr>
            <w:tcW w:w="1381" w:type="dxa"/>
            <w:shd w:val="clear" w:color="auto" w:fill="auto"/>
            <w:vAlign w:val="center"/>
          </w:tcPr>
          <w:p>
            <w:pPr>
              <w:adjustRightInd w:val="0"/>
              <w:snapToGrid w:val="0"/>
              <w:jc w:val="center"/>
              <w:rPr>
                <w:spacing w:val="-10"/>
                <w:sz w:val="20"/>
                <w:szCs w:val="20"/>
              </w:rPr>
            </w:pPr>
            <w:r>
              <w:rPr>
                <w:spacing w:val="-10"/>
                <w:sz w:val="20"/>
                <w:szCs w:val="20"/>
              </w:rPr>
              <w:t>0.013</w:t>
            </w:r>
          </w:p>
        </w:tc>
        <w:tc>
          <w:tcPr>
            <w:tcW w:w="909" w:type="dxa"/>
            <w:vAlign w:val="center"/>
          </w:tcPr>
          <w:p>
            <w:pPr>
              <w:adjustRightInd w:val="0"/>
              <w:snapToGrid w:val="0"/>
              <w:jc w:val="center"/>
              <w:rPr>
                <w:spacing w:val="-10"/>
                <w:sz w:val="20"/>
                <w:szCs w:val="20"/>
              </w:rPr>
            </w:pPr>
            <w:r>
              <w:rPr>
                <w:spacing w:val="-10"/>
                <w:sz w:val="20"/>
                <w:szCs w:val="20"/>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超标率%</w:t>
            </w:r>
          </w:p>
        </w:tc>
        <w:tc>
          <w:tcPr>
            <w:tcW w:w="928" w:type="dxa"/>
            <w:vAlign w:val="center"/>
          </w:tcPr>
          <w:p>
            <w:pPr>
              <w:adjustRightInd w:val="0"/>
              <w:snapToGrid w:val="0"/>
              <w:jc w:val="center"/>
              <w:rPr>
                <w:spacing w:val="2"/>
                <w:sz w:val="20"/>
                <w:szCs w:val="20"/>
              </w:rPr>
            </w:pPr>
            <w:r>
              <w:rPr>
                <w:spacing w:val="2"/>
                <w:sz w:val="20"/>
                <w:szCs w:val="20"/>
              </w:rPr>
              <w:t>0</w:t>
            </w:r>
          </w:p>
        </w:tc>
        <w:tc>
          <w:tcPr>
            <w:tcW w:w="1109" w:type="dxa"/>
            <w:vAlign w:val="center"/>
          </w:tcPr>
          <w:p>
            <w:pPr>
              <w:adjustRightInd w:val="0"/>
              <w:snapToGrid w:val="0"/>
              <w:jc w:val="center"/>
              <w:rPr>
                <w:sz w:val="20"/>
                <w:szCs w:val="20"/>
              </w:rPr>
            </w:pPr>
            <w:r>
              <w:rPr>
                <w:sz w:val="20"/>
                <w:szCs w:val="20"/>
              </w:rPr>
              <w:t>100%</w:t>
            </w:r>
          </w:p>
        </w:tc>
        <w:tc>
          <w:tcPr>
            <w:tcW w:w="1328" w:type="dxa"/>
            <w:vAlign w:val="center"/>
          </w:tcPr>
          <w:p>
            <w:pPr>
              <w:adjustRightInd w:val="0"/>
              <w:snapToGrid w:val="0"/>
              <w:jc w:val="center"/>
              <w:rPr>
                <w:sz w:val="20"/>
                <w:szCs w:val="20"/>
              </w:rPr>
            </w:pPr>
            <w:r>
              <w:rPr>
                <w:sz w:val="20"/>
                <w:szCs w:val="20"/>
              </w:rPr>
              <w:t>0</w:t>
            </w:r>
          </w:p>
        </w:tc>
        <w:tc>
          <w:tcPr>
            <w:tcW w:w="1086" w:type="dxa"/>
            <w:vAlign w:val="center"/>
          </w:tcPr>
          <w:p>
            <w:pPr>
              <w:adjustRightInd w:val="0"/>
              <w:snapToGrid w:val="0"/>
              <w:jc w:val="center"/>
              <w:rPr>
                <w:sz w:val="20"/>
                <w:szCs w:val="20"/>
              </w:rPr>
            </w:pPr>
            <w:r>
              <w:rPr>
                <w:sz w:val="20"/>
                <w:szCs w:val="20"/>
              </w:rPr>
              <w:t>0</w:t>
            </w:r>
          </w:p>
        </w:tc>
        <w:tc>
          <w:tcPr>
            <w:tcW w:w="1381" w:type="dxa"/>
            <w:shd w:val="clear" w:color="auto" w:fill="auto"/>
            <w:vAlign w:val="center"/>
          </w:tcPr>
          <w:p>
            <w:pPr>
              <w:adjustRightInd w:val="0"/>
              <w:snapToGrid w:val="0"/>
              <w:jc w:val="center"/>
              <w:rPr>
                <w:sz w:val="20"/>
                <w:szCs w:val="20"/>
              </w:rPr>
            </w:pPr>
            <w:r>
              <w:rPr>
                <w:sz w:val="20"/>
                <w:szCs w:val="20"/>
              </w:rPr>
              <w:t>0</w:t>
            </w:r>
          </w:p>
        </w:tc>
        <w:tc>
          <w:tcPr>
            <w:tcW w:w="909" w:type="dxa"/>
            <w:vAlign w:val="center"/>
          </w:tcPr>
          <w:p>
            <w:pPr>
              <w:adjustRightInd w:val="0"/>
              <w:snapToGrid w:val="0"/>
              <w:jc w:val="center"/>
              <w:rPr>
                <w:sz w:val="20"/>
                <w:szCs w:val="20"/>
              </w:rPr>
            </w:pPr>
            <w:r>
              <w:rPr>
                <w:sz w:val="20"/>
                <w:szCs w:val="2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最大超标倍数</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z w:val="20"/>
                <w:szCs w:val="20"/>
              </w:rPr>
            </w:pPr>
            <w:r>
              <w:rPr>
                <w:spacing w:val="2"/>
                <w:sz w:val="20"/>
                <w:szCs w:val="20"/>
              </w:rPr>
              <w:t>0.42</w:t>
            </w:r>
          </w:p>
        </w:tc>
        <w:tc>
          <w:tcPr>
            <w:tcW w:w="1328" w:type="dxa"/>
            <w:vAlign w:val="center"/>
          </w:tcPr>
          <w:p>
            <w:pPr>
              <w:adjustRightInd w:val="0"/>
              <w:snapToGrid w:val="0"/>
              <w:jc w:val="center"/>
              <w:rPr>
                <w:sz w:val="20"/>
                <w:szCs w:val="20"/>
              </w:rPr>
            </w:pPr>
            <w:r>
              <w:rPr>
                <w:sz w:val="20"/>
                <w:szCs w:val="20"/>
              </w:rPr>
              <w:t>/</w:t>
            </w:r>
          </w:p>
        </w:tc>
        <w:tc>
          <w:tcPr>
            <w:tcW w:w="1086" w:type="dxa"/>
            <w:vAlign w:val="center"/>
          </w:tcPr>
          <w:p>
            <w:pPr>
              <w:adjustRightInd w:val="0"/>
              <w:snapToGrid w:val="0"/>
              <w:jc w:val="center"/>
              <w:rPr>
                <w:sz w:val="20"/>
                <w:szCs w:val="20"/>
              </w:rPr>
            </w:pPr>
            <w:r>
              <w:rPr>
                <w:spacing w:val="2"/>
                <w:sz w:val="20"/>
                <w:szCs w:val="20"/>
              </w:rPr>
              <w:t>/</w:t>
            </w:r>
          </w:p>
        </w:tc>
        <w:tc>
          <w:tcPr>
            <w:tcW w:w="1381" w:type="dxa"/>
            <w:shd w:val="clear" w:color="auto" w:fill="auto"/>
            <w:vAlign w:val="center"/>
          </w:tcPr>
          <w:p>
            <w:pPr>
              <w:adjustRightInd w:val="0"/>
              <w:snapToGrid w:val="0"/>
              <w:jc w:val="center"/>
              <w:rPr>
                <w:sz w:val="20"/>
                <w:szCs w:val="20"/>
              </w:rPr>
            </w:pPr>
            <w:r>
              <w:rPr>
                <w:sz w:val="20"/>
                <w:szCs w:val="20"/>
              </w:rPr>
              <w:t>/</w:t>
            </w:r>
          </w:p>
        </w:tc>
        <w:tc>
          <w:tcPr>
            <w:tcW w:w="909" w:type="dxa"/>
            <w:vAlign w:val="center"/>
          </w:tcPr>
          <w:p>
            <w:pPr>
              <w:adjustRightInd w:val="0"/>
              <w:snapToGrid w:val="0"/>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311" w:hRule="atLeast"/>
          <w:jc w:val="center"/>
        </w:trPr>
        <w:tc>
          <w:tcPr>
            <w:tcW w:w="286" w:type="dxa"/>
            <w:vMerge w:val="restart"/>
            <w:vAlign w:val="center"/>
          </w:tcPr>
          <w:p>
            <w:pPr>
              <w:adjustRightInd w:val="0"/>
              <w:snapToGrid w:val="0"/>
              <w:jc w:val="center"/>
              <w:rPr>
                <w:sz w:val="20"/>
                <w:szCs w:val="20"/>
              </w:rPr>
            </w:pPr>
            <w:r>
              <w:rPr>
                <w:sz w:val="20"/>
                <w:szCs w:val="20"/>
              </w:rPr>
              <w:t>2</w:t>
            </w:r>
            <w:r>
              <w:rPr>
                <w:sz w:val="20"/>
                <w:szCs w:val="20"/>
                <w:vertAlign w:val="superscript"/>
              </w:rPr>
              <w:t>＃</w:t>
            </w:r>
          </w:p>
        </w:tc>
        <w:tc>
          <w:tcPr>
            <w:tcW w:w="1315" w:type="dxa"/>
            <w:vAlign w:val="center"/>
          </w:tcPr>
          <w:p>
            <w:pPr>
              <w:adjustRightInd w:val="0"/>
              <w:snapToGrid w:val="0"/>
              <w:jc w:val="center"/>
              <w:rPr>
                <w:spacing w:val="2"/>
                <w:sz w:val="20"/>
                <w:szCs w:val="20"/>
              </w:rPr>
            </w:pPr>
            <w:r>
              <w:rPr>
                <w:spacing w:val="2"/>
                <w:sz w:val="20"/>
                <w:szCs w:val="20"/>
              </w:rPr>
              <w:t>范围</w:t>
            </w:r>
          </w:p>
        </w:tc>
        <w:tc>
          <w:tcPr>
            <w:tcW w:w="928" w:type="dxa"/>
            <w:vAlign w:val="center"/>
          </w:tcPr>
          <w:p>
            <w:pPr>
              <w:adjustRightInd w:val="0"/>
              <w:snapToGrid w:val="0"/>
              <w:jc w:val="center"/>
              <w:rPr>
                <w:spacing w:val="-10"/>
                <w:sz w:val="20"/>
                <w:szCs w:val="20"/>
              </w:rPr>
            </w:pPr>
            <w:r>
              <w:rPr>
                <w:spacing w:val="-10"/>
                <w:sz w:val="20"/>
                <w:szCs w:val="20"/>
              </w:rPr>
              <w:t>6.39-6.43</w:t>
            </w:r>
          </w:p>
        </w:tc>
        <w:tc>
          <w:tcPr>
            <w:tcW w:w="1109" w:type="dxa"/>
            <w:vAlign w:val="center"/>
          </w:tcPr>
          <w:p>
            <w:pPr>
              <w:adjustRightInd w:val="0"/>
              <w:snapToGrid w:val="0"/>
              <w:jc w:val="center"/>
              <w:rPr>
                <w:sz w:val="20"/>
                <w:szCs w:val="20"/>
              </w:rPr>
            </w:pPr>
            <w:r>
              <w:rPr>
                <w:sz w:val="20"/>
                <w:szCs w:val="20"/>
              </w:rPr>
              <w:t>1.30-1.36</w:t>
            </w:r>
          </w:p>
        </w:tc>
        <w:tc>
          <w:tcPr>
            <w:tcW w:w="1328" w:type="dxa"/>
            <w:vAlign w:val="center"/>
          </w:tcPr>
          <w:p>
            <w:pPr>
              <w:adjustRightInd w:val="0"/>
              <w:snapToGrid w:val="0"/>
              <w:jc w:val="center"/>
              <w:rPr>
                <w:spacing w:val="-10"/>
                <w:sz w:val="20"/>
                <w:szCs w:val="20"/>
              </w:rPr>
            </w:pPr>
            <w:r>
              <w:rPr>
                <w:spacing w:val="-10"/>
                <w:sz w:val="20"/>
                <w:szCs w:val="20"/>
              </w:rPr>
              <w:t>13.7-14.4</w:t>
            </w:r>
          </w:p>
        </w:tc>
        <w:tc>
          <w:tcPr>
            <w:tcW w:w="1086" w:type="dxa"/>
            <w:vAlign w:val="center"/>
          </w:tcPr>
          <w:p>
            <w:pPr>
              <w:adjustRightInd w:val="0"/>
              <w:snapToGrid w:val="0"/>
              <w:jc w:val="center"/>
              <w:rPr>
                <w:spacing w:val="-10"/>
                <w:sz w:val="20"/>
                <w:szCs w:val="20"/>
              </w:rPr>
            </w:pPr>
            <w:r>
              <w:rPr>
                <w:spacing w:val="-10"/>
                <w:sz w:val="20"/>
                <w:szCs w:val="20"/>
              </w:rPr>
              <w:t>3.0-3.4</w:t>
            </w:r>
          </w:p>
        </w:tc>
        <w:tc>
          <w:tcPr>
            <w:tcW w:w="1381" w:type="dxa"/>
            <w:shd w:val="clear" w:color="auto" w:fill="auto"/>
            <w:vAlign w:val="center"/>
          </w:tcPr>
          <w:p>
            <w:pPr>
              <w:adjustRightInd w:val="0"/>
              <w:snapToGrid w:val="0"/>
              <w:jc w:val="center"/>
              <w:rPr>
                <w:spacing w:val="-10"/>
                <w:sz w:val="20"/>
                <w:szCs w:val="20"/>
              </w:rPr>
            </w:pPr>
            <w:r>
              <w:rPr>
                <w:spacing w:val="-10"/>
                <w:sz w:val="20"/>
                <w:szCs w:val="20"/>
              </w:rPr>
              <w:t>0.008-0.010</w:t>
            </w:r>
          </w:p>
        </w:tc>
        <w:tc>
          <w:tcPr>
            <w:tcW w:w="909" w:type="dxa"/>
            <w:vAlign w:val="center"/>
          </w:tcPr>
          <w:p>
            <w:pPr>
              <w:adjustRightInd w:val="0"/>
              <w:snapToGrid w:val="0"/>
              <w:jc w:val="center"/>
              <w:rPr>
                <w:spacing w:val="-10"/>
                <w:sz w:val="20"/>
                <w:szCs w:val="20"/>
              </w:rPr>
            </w:pPr>
            <w:r>
              <w:rPr>
                <w:spacing w:val="-10"/>
                <w:sz w:val="20"/>
                <w:szCs w:val="20"/>
              </w:rPr>
              <w:t>10-14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pacing w:val="2"/>
                <w:sz w:val="20"/>
                <w:szCs w:val="20"/>
              </w:rPr>
            </w:pPr>
            <w:r>
              <w:rPr>
                <w:spacing w:val="2"/>
                <w:sz w:val="20"/>
                <w:szCs w:val="20"/>
              </w:rPr>
              <w:t>均值</w:t>
            </w:r>
          </w:p>
        </w:tc>
        <w:tc>
          <w:tcPr>
            <w:tcW w:w="928" w:type="dxa"/>
            <w:vAlign w:val="center"/>
          </w:tcPr>
          <w:p>
            <w:pPr>
              <w:adjustRightInd w:val="0"/>
              <w:snapToGrid w:val="0"/>
              <w:jc w:val="center"/>
              <w:rPr>
                <w:spacing w:val="-10"/>
                <w:sz w:val="20"/>
                <w:szCs w:val="20"/>
              </w:rPr>
            </w:pPr>
            <w:r>
              <w:rPr>
                <w:spacing w:val="-10"/>
                <w:sz w:val="20"/>
                <w:szCs w:val="20"/>
              </w:rPr>
              <w:t>/</w:t>
            </w:r>
          </w:p>
        </w:tc>
        <w:tc>
          <w:tcPr>
            <w:tcW w:w="1109" w:type="dxa"/>
            <w:vAlign w:val="center"/>
          </w:tcPr>
          <w:p>
            <w:pPr>
              <w:adjustRightInd w:val="0"/>
              <w:snapToGrid w:val="0"/>
              <w:jc w:val="center"/>
              <w:rPr>
                <w:sz w:val="20"/>
                <w:szCs w:val="20"/>
              </w:rPr>
            </w:pPr>
            <w:r>
              <w:rPr>
                <w:sz w:val="20"/>
                <w:szCs w:val="20"/>
              </w:rPr>
              <w:t>1.33</w:t>
            </w:r>
          </w:p>
        </w:tc>
        <w:tc>
          <w:tcPr>
            <w:tcW w:w="1328" w:type="dxa"/>
            <w:vAlign w:val="center"/>
          </w:tcPr>
          <w:p>
            <w:pPr>
              <w:adjustRightInd w:val="0"/>
              <w:snapToGrid w:val="0"/>
              <w:jc w:val="center"/>
              <w:rPr>
                <w:spacing w:val="-10"/>
                <w:sz w:val="20"/>
                <w:szCs w:val="20"/>
              </w:rPr>
            </w:pPr>
            <w:r>
              <w:rPr>
                <w:spacing w:val="-10"/>
                <w:sz w:val="20"/>
                <w:szCs w:val="20"/>
              </w:rPr>
              <w:t>14.1</w:t>
            </w:r>
          </w:p>
        </w:tc>
        <w:tc>
          <w:tcPr>
            <w:tcW w:w="1086" w:type="dxa"/>
            <w:vAlign w:val="center"/>
          </w:tcPr>
          <w:p>
            <w:pPr>
              <w:adjustRightInd w:val="0"/>
              <w:snapToGrid w:val="0"/>
              <w:jc w:val="center"/>
              <w:rPr>
                <w:spacing w:val="-10"/>
                <w:sz w:val="20"/>
                <w:szCs w:val="20"/>
              </w:rPr>
            </w:pPr>
            <w:r>
              <w:rPr>
                <w:spacing w:val="-10"/>
                <w:sz w:val="20"/>
                <w:szCs w:val="20"/>
              </w:rPr>
              <w:t>3.2</w:t>
            </w:r>
          </w:p>
        </w:tc>
        <w:tc>
          <w:tcPr>
            <w:tcW w:w="1381" w:type="dxa"/>
            <w:shd w:val="clear" w:color="auto" w:fill="auto"/>
            <w:vAlign w:val="center"/>
          </w:tcPr>
          <w:p>
            <w:pPr>
              <w:adjustRightInd w:val="0"/>
              <w:snapToGrid w:val="0"/>
              <w:jc w:val="center"/>
              <w:rPr>
                <w:spacing w:val="-10"/>
                <w:sz w:val="20"/>
                <w:szCs w:val="20"/>
              </w:rPr>
            </w:pPr>
            <w:r>
              <w:rPr>
                <w:spacing w:val="-10"/>
                <w:sz w:val="20"/>
                <w:szCs w:val="20"/>
              </w:rPr>
              <w:t>0.009</w:t>
            </w:r>
          </w:p>
        </w:tc>
        <w:tc>
          <w:tcPr>
            <w:tcW w:w="909" w:type="dxa"/>
            <w:vAlign w:val="center"/>
          </w:tcPr>
          <w:p>
            <w:pPr>
              <w:adjustRightInd w:val="0"/>
              <w:snapToGrid w:val="0"/>
              <w:jc w:val="center"/>
              <w:rPr>
                <w:spacing w:val="-10"/>
                <w:sz w:val="20"/>
                <w:szCs w:val="20"/>
              </w:rPr>
            </w:pPr>
            <w:r>
              <w:rPr>
                <w:spacing w:val="-10"/>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pacing w:val="2"/>
                <w:sz w:val="20"/>
                <w:szCs w:val="20"/>
              </w:rPr>
            </w:pPr>
            <w:r>
              <w:rPr>
                <w:spacing w:val="2"/>
                <w:sz w:val="20"/>
                <w:szCs w:val="20"/>
              </w:rPr>
              <w:t>超标率%</w:t>
            </w:r>
          </w:p>
        </w:tc>
        <w:tc>
          <w:tcPr>
            <w:tcW w:w="928" w:type="dxa"/>
            <w:vAlign w:val="center"/>
          </w:tcPr>
          <w:p>
            <w:pPr>
              <w:adjustRightInd w:val="0"/>
              <w:snapToGrid w:val="0"/>
              <w:jc w:val="center"/>
              <w:rPr>
                <w:spacing w:val="2"/>
                <w:sz w:val="20"/>
                <w:szCs w:val="20"/>
              </w:rPr>
            </w:pPr>
            <w:r>
              <w:rPr>
                <w:spacing w:val="2"/>
                <w:sz w:val="20"/>
                <w:szCs w:val="20"/>
              </w:rPr>
              <w:t>0</w:t>
            </w:r>
          </w:p>
        </w:tc>
        <w:tc>
          <w:tcPr>
            <w:tcW w:w="1109" w:type="dxa"/>
            <w:vAlign w:val="center"/>
          </w:tcPr>
          <w:p>
            <w:pPr>
              <w:adjustRightInd w:val="0"/>
              <w:snapToGrid w:val="0"/>
              <w:jc w:val="center"/>
              <w:rPr>
                <w:sz w:val="20"/>
                <w:szCs w:val="20"/>
              </w:rPr>
            </w:pPr>
            <w:r>
              <w:rPr>
                <w:sz w:val="20"/>
                <w:szCs w:val="20"/>
              </w:rPr>
              <w:t>100%</w:t>
            </w:r>
          </w:p>
        </w:tc>
        <w:tc>
          <w:tcPr>
            <w:tcW w:w="1328" w:type="dxa"/>
            <w:vAlign w:val="center"/>
          </w:tcPr>
          <w:p>
            <w:pPr>
              <w:adjustRightInd w:val="0"/>
              <w:snapToGrid w:val="0"/>
              <w:jc w:val="center"/>
              <w:rPr>
                <w:sz w:val="20"/>
                <w:szCs w:val="20"/>
              </w:rPr>
            </w:pPr>
            <w:r>
              <w:rPr>
                <w:sz w:val="20"/>
                <w:szCs w:val="20"/>
              </w:rPr>
              <w:t>0</w:t>
            </w:r>
          </w:p>
        </w:tc>
        <w:tc>
          <w:tcPr>
            <w:tcW w:w="1086" w:type="dxa"/>
            <w:vAlign w:val="center"/>
          </w:tcPr>
          <w:p>
            <w:pPr>
              <w:adjustRightInd w:val="0"/>
              <w:snapToGrid w:val="0"/>
              <w:jc w:val="center"/>
              <w:rPr>
                <w:sz w:val="20"/>
                <w:szCs w:val="20"/>
              </w:rPr>
            </w:pPr>
            <w:r>
              <w:rPr>
                <w:sz w:val="20"/>
                <w:szCs w:val="20"/>
              </w:rPr>
              <w:t>0</w:t>
            </w:r>
          </w:p>
        </w:tc>
        <w:tc>
          <w:tcPr>
            <w:tcW w:w="1381" w:type="dxa"/>
            <w:shd w:val="clear" w:color="auto" w:fill="auto"/>
            <w:vAlign w:val="center"/>
          </w:tcPr>
          <w:p>
            <w:pPr>
              <w:adjustRightInd w:val="0"/>
              <w:snapToGrid w:val="0"/>
              <w:jc w:val="center"/>
              <w:rPr>
                <w:sz w:val="20"/>
                <w:szCs w:val="20"/>
              </w:rPr>
            </w:pPr>
            <w:r>
              <w:rPr>
                <w:sz w:val="20"/>
                <w:szCs w:val="20"/>
              </w:rPr>
              <w:t>0</w:t>
            </w:r>
          </w:p>
        </w:tc>
        <w:tc>
          <w:tcPr>
            <w:tcW w:w="909" w:type="dxa"/>
            <w:vAlign w:val="center"/>
          </w:tcPr>
          <w:p>
            <w:pPr>
              <w:adjustRightInd w:val="0"/>
              <w:snapToGrid w:val="0"/>
              <w:jc w:val="center"/>
              <w:rPr>
                <w:sz w:val="20"/>
                <w:szCs w:val="20"/>
              </w:rPr>
            </w:pPr>
            <w:r>
              <w:rPr>
                <w:sz w:val="20"/>
                <w:szCs w:val="2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pacing w:val="2"/>
                <w:sz w:val="20"/>
                <w:szCs w:val="20"/>
              </w:rPr>
            </w:pPr>
            <w:r>
              <w:rPr>
                <w:spacing w:val="2"/>
                <w:sz w:val="20"/>
                <w:szCs w:val="20"/>
              </w:rPr>
              <w:t>最大超标倍数</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z w:val="20"/>
                <w:szCs w:val="20"/>
              </w:rPr>
            </w:pPr>
            <w:r>
              <w:rPr>
                <w:spacing w:val="2"/>
                <w:sz w:val="20"/>
                <w:szCs w:val="20"/>
              </w:rPr>
              <w:t>0.36</w:t>
            </w:r>
          </w:p>
        </w:tc>
        <w:tc>
          <w:tcPr>
            <w:tcW w:w="1328" w:type="dxa"/>
            <w:vAlign w:val="center"/>
          </w:tcPr>
          <w:p>
            <w:pPr>
              <w:adjustRightInd w:val="0"/>
              <w:snapToGrid w:val="0"/>
              <w:jc w:val="center"/>
              <w:rPr>
                <w:sz w:val="20"/>
                <w:szCs w:val="20"/>
              </w:rPr>
            </w:pPr>
            <w:r>
              <w:rPr>
                <w:sz w:val="20"/>
                <w:szCs w:val="20"/>
              </w:rPr>
              <w:t>/</w:t>
            </w:r>
          </w:p>
        </w:tc>
        <w:tc>
          <w:tcPr>
            <w:tcW w:w="1086" w:type="dxa"/>
            <w:vAlign w:val="center"/>
          </w:tcPr>
          <w:p>
            <w:pPr>
              <w:adjustRightInd w:val="0"/>
              <w:snapToGrid w:val="0"/>
              <w:jc w:val="center"/>
              <w:rPr>
                <w:sz w:val="20"/>
                <w:szCs w:val="20"/>
              </w:rPr>
            </w:pPr>
            <w:r>
              <w:rPr>
                <w:sz w:val="20"/>
                <w:szCs w:val="20"/>
              </w:rPr>
              <w:t>/</w:t>
            </w:r>
          </w:p>
        </w:tc>
        <w:tc>
          <w:tcPr>
            <w:tcW w:w="1381" w:type="dxa"/>
            <w:shd w:val="clear" w:color="auto" w:fill="auto"/>
            <w:vAlign w:val="center"/>
          </w:tcPr>
          <w:p>
            <w:pPr>
              <w:adjustRightInd w:val="0"/>
              <w:snapToGrid w:val="0"/>
              <w:jc w:val="center"/>
              <w:rPr>
                <w:sz w:val="20"/>
                <w:szCs w:val="20"/>
              </w:rPr>
            </w:pPr>
            <w:r>
              <w:rPr>
                <w:sz w:val="20"/>
                <w:szCs w:val="20"/>
              </w:rPr>
              <w:t>/</w:t>
            </w:r>
          </w:p>
        </w:tc>
        <w:tc>
          <w:tcPr>
            <w:tcW w:w="909" w:type="dxa"/>
            <w:vAlign w:val="center"/>
          </w:tcPr>
          <w:p>
            <w:pPr>
              <w:adjustRightInd w:val="0"/>
              <w:snapToGrid w:val="0"/>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restart"/>
            <w:vAlign w:val="center"/>
          </w:tcPr>
          <w:p>
            <w:pPr>
              <w:adjustRightInd w:val="0"/>
              <w:snapToGrid w:val="0"/>
              <w:jc w:val="center"/>
              <w:rPr>
                <w:sz w:val="20"/>
                <w:szCs w:val="20"/>
              </w:rPr>
            </w:pPr>
            <w:r>
              <w:rPr>
                <w:sz w:val="20"/>
                <w:szCs w:val="20"/>
              </w:rPr>
              <w:t>3</w:t>
            </w:r>
            <w:r>
              <w:rPr>
                <w:sz w:val="20"/>
                <w:szCs w:val="20"/>
                <w:vertAlign w:val="superscript"/>
              </w:rPr>
              <w:t>＃</w:t>
            </w:r>
          </w:p>
        </w:tc>
        <w:tc>
          <w:tcPr>
            <w:tcW w:w="1315" w:type="dxa"/>
            <w:vAlign w:val="center"/>
          </w:tcPr>
          <w:p>
            <w:pPr>
              <w:adjustRightInd w:val="0"/>
              <w:snapToGrid w:val="0"/>
              <w:jc w:val="center"/>
              <w:rPr>
                <w:sz w:val="20"/>
                <w:szCs w:val="20"/>
              </w:rPr>
            </w:pPr>
            <w:r>
              <w:rPr>
                <w:sz w:val="20"/>
                <w:szCs w:val="20"/>
              </w:rPr>
              <w:t>范围</w:t>
            </w:r>
          </w:p>
        </w:tc>
        <w:tc>
          <w:tcPr>
            <w:tcW w:w="928" w:type="dxa"/>
            <w:vAlign w:val="center"/>
          </w:tcPr>
          <w:p>
            <w:pPr>
              <w:adjustRightInd w:val="0"/>
              <w:snapToGrid w:val="0"/>
              <w:jc w:val="center"/>
              <w:rPr>
                <w:spacing w:val="2"/>
                <w:sz w:val="20"/>
                <w:szCs w:val="20"/>
              </w:rPr>
            </w:pPr>
            <w:r>
              <w:rPr>
                <w:spacing w:val="2"/>
                <w:sz w:val="20"/>
                <w:szCs w:val="20"/>
              </w:rPr>
              <w:t>6.37-6.74</w:t>
            </w:r>
          </w:p>
        </w:tc>
        <w:tc>
          <w:tcPr>
            <w:tcW w:w="1109" w:type="dxa"/>
            <w:vAlign w:val="center"/>
          </w:tcPr>
          <w:p>
            <w:pPr>
              <w:adjustRightInd w:val="0"/>
              <w:snapToGrid w:val="0"/>
              <w:jc w:val="center"/>
              <w:rPr>
                <w:sz w:val="20"/>
                <w:szCs w:val="20"/>
              </w:rPr>
            </w:pPr>
            <w:r>
              <w:rPr>
                <w:sz w:val="20"/>
                <w:szCs w:val="20"/>
              </w:rPr>
              <w:t>1.69-1.74</w:t>
            </w:r>
          </w:p>
        </w:tc>
        <w:tc>
          <w:tcPr>
            <w:tcW w:w="1328" w:type="dxa"/>
            <w:vAlign w:val="center"/>
          </w:tcPr>
          <w:p>
            <w:pPr>
              <w:adjustRightInd w:val="0"/>
              <w:snapToGrid w:val="0"/>
              <w:jc w:val="center"/>
              <w:rPr>
                <w:sz w:val="20"/>
                <w:szCs w:val="20"/>
              </w:rPr>
            </w:pPr>
            <w:r>
              <w:rPr>
                <w:sz w:val="20"/>
                <w:szCs w:val="20"/>
              </w:rPr>
              <w:t>14.4-15.4</w:t>
            </w:r>
          </w:p>
        </w:tc>
        <w:tc>
          <w:tcPr>
            <w:tcW w:w="1086" w:type="dxa"/>
            <w:vAlign w:val="center"/>
          </w:tcPr>
          <w:p>
            <w:pPr>
              <w:adjustRightInd w:val="0"/>
              <w:snapToGrid w:val="0"/>
              <w:jc w:val="center"/>
              <w:rPr>
                <w:spacing w:val="-10"/>
                <w:sz w:val="20"/>
                <w:szCs w:val="20"/>
              </w:rPr>
            </w:pPr>
            <w:r>
              <w:rPr>
                <w:spacing w:val="-10"/>
                <w:sz w:val="20"/>
                <w:szCs w:val="20"/>
              </w:rPr>
              <w:t>3.4-3.6</w:t>
            </w:r>
          </w:p>
        </w:tc>
        <w:tc>
          <w:tcPr>
            <w:tcW w:w="1381" w:type="dxa"/>
            <w:shd w:val="clear" w:color="auto" w:fill="auto"/>
            <w:vAlign w:val="center"/>
          </w:tcPr>
          <w:p>
            <w:pPr>
              <w:adjustRightInd w:val="0"/>
              <w:snapToGrid w:val="0"/>
              <w:jc w:val="center"/>
              <w:rPr>
                <w:spacing w:val="-10"/>
                <w:sz w:val="20"/>
                <w:szCs w:val="20"/>
              </w:rPr>
            </w:pPr>
            <w:r>
              <w:rPr>
                <w:spacing w:val="-10"/>
                <w:sz w:val="20"/>
                <w:szCs w:val="20"/>
              </w:rPr>
              <w:t>0.010-0.012</w:t>
            </w:r>
          </w:p>
        </w:tc>
        <w:tc>
          <w:tcPr>
            <w:tcW w:w="909" w:type="dxa"/>
            <w:vAlign w:val="center"/>
          </w:tcPr>
          <w:p>
            <w:pPr>
              <w:adjustRightInd w:val="0"/>
              <w:snapToGrid w:val="0"/>
              <w:jc w:val="center"/>
              <w:rPr>
                <w:spacing w:val="-10"/>
                <w:sz w:val="20"/>
                <w:szCs w:val="20"/>
              </w:rPr>
            </w:pPr>
            <w:r>
              <w:rPr>
                <w:spacing w:val="-10"/>
                <w:sz w:val="20"/>
                <w:szCs w:val="20"/>
              </w:rPr>
              <w:t>7-12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均值</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z w:val="20"/>
                <w:szCs w:val="20"/>
              </w:rPr>
            </w:pPr>
            <w:r>
              <w:rPr>
                <w:sz w:val="20"/>
                <w:szCs w:val="20"/>
              </w:rPr>
              <w:t>1.72</w:t>
            </w:r>
          </w:p>
        </w:tc>
        <w:tc>
          <w:tcPr>
            <w:tcW w:w="1328" w:type="dxa"/>
            <w:vAlign w:val="center"/>
          </w:tcPr>
          <w:p>
            <w:pPr>
              <w:adjustRightInd w:val="0"/>
              <w:snapToGrid w:val="0"/>
              <w:jc w:val="center"/>
              <w:rPr>
                <w:sz w:val="20"/>
                <w:szCs w:val="20"/>
              </w:rPr>
            </w:pPr>
            <w:r>
              <w:rPr>
                <w:sz w:val="20"/>
                <w:szCs w:val="20"/>
              </w:rPr>
              <w:t>14.8</w:t>
            </w:r>
          </w:p>
        </w:tc>
        <w:tc>
          <w:tcPr>
            <w:tcW w:w="1086" w:type="dxa"/>
            <w:vAlign w:val="center"/>
          </w:tcPr>
          <w:p>
            <w:pPr>
              <w:adjustRightInd w:val="0"/>
              <w:snapToGrid w:val="0"/>
              <w:jc w:val="center"/>
              <w:rPr>
                <w:spacing w:val="-10"/>
                <w:sz w:val="20"/>
                <w:szCs w:val="20"/>
              </w:rPr>
            </w:pPr>
            <w:r>
              <w:rPr>
                <w:spacing w:val="-10"/>
                <w:sz w:val="20"/>
                <w:szCs w:val="20"/>
              </w:rPr>
              <w:t>3.5</w:t>
            </w:r>
          </w:p>
        </w:tc>
        <w:tc>
          <w:tcPr>
            <w:tcW w:w="1381" w:type="dxa"/>
            <w:shd w:val="clear" w:color="auto" w:fill="auto"/>
            <w:vAlign w:val="center"/>
          </w:tcPr>
          <w:p>
            <w:pPr>
              <w:adjustRightInd w:val="0"/>
              <w:snapToGrid w:val="0"/>
              <w:jc w:val="center"/>
              <w:rPr>
                <w:spacing w:val="-10"/>
                <w:sz w:val="20"/>
                <w:szCs w:val="20"/>
              </w:rPr>
            </w:pPr>
            <w:r>
              <w:rPr>
                <w:spacing w:val="-10"/>
                <w:sz w:val="20"/>
                <w:szCs w:val="20"/>
              </w:rPr>
              <w:t>0.11</w:t>
            </w:r>
          </w:p>
        </w:tc>
        <w:tc>
          <w:tcPr>
            <w:tcW w:w="909" w:type="dxa"/>
            <w:vAlign w:val="center"/>
          </w:tcPr>
          <w:p>
            <w:pPr>
              <w:adjustRightInd w:val="0"/>
              <w:snapToGrid w:val="0"/>
              <w:jc w:val="center"/>
              <w:rPr>
                <w:spacing w:val="-10"/>
                <w:sz w:val="20"/>
                <w:szCs w:val="20"/>
              </w:rPr>
            </w:pPr>
            <w:r>
              <w:rPr>
                <w:spacing w:val="-1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超标率%</w:t>
            </w:r>
          </w:p>
        </w:tc>
        <w:tc>
          <w:tcPr>
            <w:tcW w:w="928" w:type="dxa"/>
            <w:vAlign w:val="center"/>
          </w:tcPr>
          <w:p>
            <w:pPr>
              <w:adjustRightInd w:val="0"/>
              <w:snapToGrid w:val="0"/>
              <w:jc w:val="center"/>
              <w:rPr>
                <w:spacing w:val="2"/>
                <w:sz w:val="20"/>
                <w:szCs w:val="20"/>
              </w:rPr>
            </w:pPr>
            <w:r>
              <w:rPr>
                <w:spacing w:val="2"/>
                <w:sz w:val="20"/>
                <w:szCs w:val="20"/>
              </w:rPr>
              <w:t>0</w:t>
            </w:r>
          </w:p>
        </w:tc>
        <w:tc>
          <w:tcPr>
            <w:tcW w:w="1109" w:type="dxa"/>
            <w:vAlign w:val="center"/>
          </w:tcPr>
          <w:p>
            <w:pPr>
              <w:adjustRightInd w:val="0"/>
              <w:snapToGrid w:val="0"/>
              <w:jc w:val="center"/>
              <w:rPr>
                <w:sz w:val="20"/>
                <w:szCs w:val="20"/>
              </w:rPr>
            </w:pPr>
            <w:r>
              <w:rPr>
                <w:sz w:val="20"/>
                <w:szCs w:val="20"/>
              </w:rPr>
              <w:t>100%</w:t>
            </w:r>
          </w:p>
        </w:tc>
        <w:tc>
          <w:tcPr>
            <w:tcW w:w="1328" w:type="dxa"/>
            <w:vAlign w:val="center"/>
          </w:tcPr>
          <w:p>
            <w:pPr>
              <w:adjustRightInd w:val="0"/>
              <w:snapToGrid w:val="0"/>
              <w:jc w:val="center"/>
              <w:rPr>
                <w:sz w:val="20"/>
                <w:szCs w:val="20"/>
              </w:rPr>
            </w:pPr>
            <w:r>
              <w:rPr>
                <w:sz w:val="20"/>
                <w:szCs w:val="20"/>
              </w:rPr>
              <w:t>0</w:t>
            </w:r>
          </w:p>
        </w:tc>
        <w:tc>
          <w:tcPr>
            <w:tcW w:w="1086" w:type="dxa"/>
            <w:vAlign w:val="center"/>
          </w:tcPr>
          <w:p>
            <w:pPr>
              <w:adjustRightInd w:val="0"/>
              <w:snapToGrid w:val="0"/>
              <w:jc w:val="center"/>
              <w:rPr>
                <w:sz w:val="20"/>
                <w:szCs w:val="20"/>
              </w:rPr>
            </w:pPr>
            <w:r>
              <w:rPr>
                <w:sz w:val="20"/>
                <w:szCs w:val="20"/>
              </w:rPr>
              <w:t>0</w:t>
            </w:r>
          </w:p>
        </w:tc>
        <w:tc>
          <w:tcPr>
            <w:tcW w:w="1381" w:type="dxa"/>
            <w:shd w:val="clear" w:color="auto" w:fill="auto"/>
            <w:vAlign w:val="center"/>
          </w:tcPr>
          <w:p>
            <w:pPr>
              <w:adjustRightInd w:val="0"/>
              <w:snapToGrid w:val="0"/>
              <w:jc w:val="center"/>
              <w:rPr>
                <w:sz w:val="20"/>
                <w:szCs w:val="20"/>
              </w:rPr>
            </w:pPr>
            <w:r>
              <w:rPr>
                <w:sz w:val="20"/>
                <w:szCs w:val="20"/>
              </w:rPr>
              <w:t>0</w:t>
            </w:r>
          </w:p>
        </w:tc>
        <w:tc>
          <w:tcPr>
            <w:tcW w:w="909" w:type="dxa"/>
            <w:vAlign w:val="center"/>
          </w:tcPr>
          <w:p>
            <w:pPr>
              <w:adjustRightInd w:val="0"/>
              <w:snapToGrid w:val="0"/>
              <w:jc w:val="center"/>
              <w:rPr>
                <w:sz w:val="20"/>
                <w:szCs w:val="20"/>
              </w:rPr>
            </w:pPr>
            <w:r>
              <w:rPr>
                <w:sz w:val="20"/>
                <w:szCs w:val="2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最大超标倍数</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z w:val="20"/>
                <w:szCs w:val="20"/>
              </w:rPr>
            </w:pPr>
            <w:r>
              <w:rPr>
                <w:spacing w:val="2"/>
                <w:sz w:val="20"/>
                <w:szCs w:val="20"/>
              </w:rPr>
              <w:t>0.74</w:t>
            </w:r>
          </w:p>
        </w:tc>
        <w:tc>
          <w:tcPr>
            <w:tcW w:w="1328" w:type="dxa"/>
            <w:vAlign w:val="center"/>
          </w:tcPr>
          <w:p>
            <w:pPr>
              <w:adjustRightInd w:val="0"/>
              <w:snapToGrid w:val="0"/>
              <w:jc w:val="center"/>
              <w:rPr>
                <w:sz w:val="20"/>
                <w:szCs w:val="20"/>
              </w:rPr>
            </w:pPr>
            <w:r>
              <w:rPr>
                <w:sz w:val="20"/>
                <w:szCs w:val="20"/>
              </w:rPr>
              <w:t>/</w:t>
            </w:r>
          </w:p>
        </w:tc>
        <w:tc>
          <w:tcPr>
            <w:tcW w:w="1086" w:type="dxa"/>
            <w:vAlign w:val="center"/>
          </w:tcPr>
          <w:p>
            <w:pPr>
              <w:adjustRightInd w:val="0"/>
              <w:snapToGrid w:val="0"/>
              <w:jc w:val="center"/>
              <w:rPr>
                <w:sz w:val="20"/>
                <w:szCs w:val="20"/>
              </w:rPr>
            </w:pPr>
            <w:r>
              <w:rPr>
                <w:sz w:val="20"/>
                <w:szCs w:val="20"/>
              </w:rPr>
              <w:t>/</w:t>
            </w:r>
          </w:p>
        </w:tc>
        <w:tc>
          <w:tcPr>
            <w:tcW w:w="1381" w:type="dxa"/>
            <w:shd w:val="clear" w:color="auto" w:fill="auto"/>
            <w:vAlign w:val="center"/>
          </w:tcPr>
          <w:p>
            <w:pPr>
              <w:adjustRightInd w:val="0"/>
              <w:snapToGrid w:val="0"/>
              <w:jc w:val="center"/>
              <w:rPr>
                <w:sz w:val="20"/>
                <w:szCs w:val="20"/>
              </w:rPr>
            </w:pPr>
            <w:r>
              <w:rPr>
                <w:sz w:val="20"/>
                <w:szCs w:val="20"/>
              </w:rPr>
              <w:t>/</w:t>
            </w:r>
          </w:p>
        </w:tc>
        <w:tc>
          <w:tcPr>
            <w:tcW w:w="909" w:type="dxa"/>
            <w:vAlign w:val="center"/>
          </w:tcPr>
          <w:p>
            <w:pPr>
              <w:adjustRightInd w:val="0"/>
              <w:snapToGrid w:val="0"/>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restart"/>
            <w:vAlign w:val="center"/>
          </w:tcPr>
          <w:p>
            <w:pPr>
              <w:adjustRightInd w:val="0"/>
              <w:snapToGrid w:val="0"/>
              <w:jc w:val="center"/>
              <w:rPr>
                <w:sz w:val="20"/>
                <w:szCs w:val="20"/>
              </w:rPr>
            </w:pPr>
            <w:r>
              <w:rPr>
                <w:sz w:val="20"/>
                <w:szCs w:val="20"/>
              </w:rPr>
              <w:t>4</w:t>
            </w:r>
            <w:r>
              <w:rPr>
                <w:sz w:val="20"/>
                <w:szCs w:val="20"/>
                <w:vertAlign w:val="superscript"/>
              </w:rPr>
              <w:t>＃</w:t>
            </w:r>
          </w:p>
        </w:tc>
        <w:tc>
          <w:tcPr>
            <w:tcW w:w="1315" w:type="dxa"/>
            <w:vAlign w:val="center"/>
          </w:tcPr>
          <w:p>
            <w:pPr>
              <w:adjustRightInd w:val="0"/>
              <w:snapToGrid w:val="0"/>
              <w:jc w:val="center"/>
              <w:rPr>
                <w:sz w:val="20"/>
                <w:szCs w:val="20"/>
              </w:rPr>
            </w:pPr>
            <w:r>
              <w:rPr>
                <w:sz w:val="20"/>
                <w:szCs w:val="20"/>
              </w:rPr>
              <w:t>范围</w:t>
            </w:r>
          </w:p>
        </w:tc>
        <w:tc>
          <w:tcPr>
            <w:tcW w:w="928" w:type="dxa"/>
            <w:vAlign w:val="center"/>
          </w:tcPr>
          <w:p>
            <w:pPr>
              <w:adjustRightInd w:val="0"/>
              <w:snapToGrid w:val="0"/>
              <w:jc w:val="center"/>
              <w:rPr>
                <w:spacing w:val="2"/>
                <w:sz w:val="20"/>
                <w:szCs w:val="20"/>
              </w:rPr>
            </w:pPr>
            <w:r>
              <w:rPr>
                <w:spacing w:val="2"/>
                <w:sz w:val="20"/>
                <w:szCs w:val="20"/>
              </w:rPr>
              <w:t>6.52-6.82</w:t>
            </w:r>
          </w:p>
        </w:tc>
        <w:tc>
          <w:tcPr>
            <w:tcW w:w="1109" w:type="dxa"/>
            <w:vAlign w:val="center"/>
          </w:tcPr>
          <w:p>
            <w:pPr>
              <w:adjustRightInd w:val="0"/>
              <w:snapToGrid w:val="0"/>
              <w:jc w:val="center"/>
              <w:rPr>
                <w:sz w:val="20"/>
                <w:szCs w:val="20"/>
              </w:rPr>
            </w:pPr>
            <w:r>
              <w:rPr>
                <w:sz w:val="20"/>
                <w:szCs w:val="20"/>
              </w:rPr>
              <w:t>1.64-1.68</w:t>
            </w:r>
          </w:p>
        </w:tc>
        <w:tc>
          <w:tcPr>
            <w:tcW w:w="1328" w:type="dxa"/>
            <w:vAlign w:val="center"/>
          </w:tcPr>
          <w:p>
            <w:pPr>
              <w:adjustRightInd w:val="0"/>
              <w:snapToGrid w:val="0"/>
              <w:jc w:val="center"/>
              <w:rPr>
                <w:sz w:val="20"/>
                <w:szCs w:val="20"/>
              </w:rPr>
            </w:pPr>
            <w:r>
              <w:rPr>
                <w:sz w:val="20"/>
                <w:szCs w:val="20"/>
              </w:rPr>
              <w:t>17.4-17.8</w:t>
            </w:r>
          </w:p>
        </w:tc>
        <w:tc>
          <w:tcPr>
            <w:tcW w:w="1086" w:type="dxa"/>
            <w:vAlign w:val="center"/>
          </w:tcPr>
          <w:p>
            <w:pPr>
              <w:adjustRightInd w:val="0"/>
              <w:snapToGrid w:val="0"/>
              <w:jc w:val="center"/>
              <w:rPr>
                <w:spacing w:val="-10"/>
                <w:sz w:val="20"/>
                <w:szCs w:val="20"/>
              </w:rPr>
            </w:pPr>
            <w:r>
              <w:rPr>
                <w:spacing w:val="-10"/>
                <w:sz w:val="20"/>
                <w:szCs w:val="20"/>
              </w:rPr>
              <w:t>2.7-3.0</w:t>
            </w:r>
          </w:p>
        </w:tc>
        <w:tc>
          <w:tcPr>
            <w:tcW w:w="1381" w:type="dxa"/>
            <w:shd w:val="clear" w:color="auto" w:fill="auto"/>
            <w:vAlign w:val="center"/>
          </w:tcPr>
          <w:p>
            <w:pPr>
              <w:adjustRightInd w:val="0"/>
              <w:snapToGrid w:val="0"/>
              <w:jc w:val="center"/>
              <w:rPr>
                <w:spacing w:val="-10"/>
                <w:sz w:val="20"/>
                <w:szCs w:val="20"/>
              </w:rPr>
            </w:pPr>
            <w:r>
              <w:rPr>
                <w:spacing w:val="-10"/>
                <w:sz w:val="20"/>
                <w:szCs w:val="20"/>
              </w:rPr>
              <w:t>0.013-0.014</w:t>
            </w:r>
          </w:p>
        </w:tc>
        <w:tc>
          <w:tcPr>
            <w:tcW w:w="909" w:type="dxa"/>
            <w:vAlign w:val="center"/>
          </w:tcPr>
          <w:p>
            <w:pPr>
              <w:adjustRightInd w:val="0"/>
              <w:snapToGrid w:val="0"/>
              <w:jc w:val="center"/>
              <w:rPr>
                <w:spacing w:val="-10"/>
                <w:sz w:val="20"/>
                <w:szCs w:val="20"/>
              </w:rPr>
            </w:pPr>
            <w:r>
              <w:rPr>
                <w:spacing w:val="-10"/>
                <w:sz w:val="20"/>
                <w:szCs w:val="20"/>
              </w:rPr>
              <w:t>13-17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均值</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z w:val="20"/>
                <w:szCs w:val="20"/>
              </w:rPr>
            </w:pPr>
            <w:r>
              <w:rPr>
                <w:sz w:val="20"/>
                <w:szCs w:val="20"/>
              </w:rPr>
              <w:t>1.66</w:t>
            </w:r>
          </w:p>
        </w:tc>
        <w:tc>
          <w:tcPr>
            <w:tcW w:w="1328" w:type="dxa"/>
            <w:vAlign w:val="center"/>
          </w:tcPr>
          <w:p>
            <w:pPr>
              <w:adjustRightInd w:val="0"/>
              <w:snapToGrid w:val="0"/>
              <w:jc w:val="center"/>
              <w:rPr>
                <w:sz w:val="20"/>
                <w:szCs w:val="20"/>
              </w:rPr>
            </w:pPr>
            <w:r>
              <w:rPr>
                <w:sz w:val="20"/>
                <w:szCs w:val="20"/>
              </w:rPr>
              <w:t>17.6</w:t>
            </w:r>
          </w:p>
        </w:tc>
        <w:tc>
          <w:tcPr>
            <w:tcW w:w="1086" w:type="dxa"/>
            <w:vAlign w:val="center"/>
          </w:tcPr>
          <w:p>
            <w:pPr>
              <w:adjustRightInd w:val="0"/>
              <w:snapToGrid w:val="0"/>
              <w:jc w:val="center"/>
              <w:rPr>
                <w:spacing w:val="-10"/>
                <w:sz w:val="20"/>
                <w:szCs w:val="20"/>
              </w:rPr>
            </w:pPr>
            <w:r>
              <w:rPr>
                <w:spacing w:val="-10"/>
                <w:sz w:val="20"/>
                <w:szCs w:val="20"/>
              </w:rPr>
              <w:t>2.8</w:t>
            </w:r>
          </w:p>
        </w:tc>
        <w:tc>
          <w:tcPr>
            <w:tcW w:w="1381" w:type="dxa"/>
            <w:shd w:val="clear" w:color="auto" w:fill="auto"/>
            <w:vAlign w:val="center"/>
          </w:tcPr>
          <w:p>
            <w:pPr>
              <w:adjustRightInd w:val="0"/>
              <w:snapToGrid w:val="0"/>
              <w:jc w:val="center"/>
              <w:rPr>
                <w:spacing w:val="-10"/>
                <w:sz w:val="20"/>
                <w:szCs w:val="20"/>
              </w:rPr>
            </w:pPr>
            <w:r>
              <w:rPr>
                <w:spacing w:val="-10"/>
                <w:sz w:val="20"/>
                <w:szCs w:val="20"/>
              </w:rPr>
              <w:t>0.014</w:t>
            </w:r>
          </w:p>
        </w:tc>
        <w:tc>
          <w:tcPr>
            <w:tcW w:w="909" w:type="dxa"/>
            <w:vAlign w:val="center"/>
          </w:tcPr>
          <w:p>
            <w:pPr>
              <w:adjustRightInd w:val="0"/>
              <w:snapToGrid w:val="0"/>
              <w:jc w:val="center"/>
              <w:rPr>
                <w:spacing w:val="-10"/>
                <w:sz w:val="20"/>
                <w:szCs w:val="20"/>
              </w:rPr>
            </w:pPr>
            <w:r>
              <w:rPr>
                <w:spacing w:val="-10"/>
                <w:sz w:val="20"/>
                <w:szCs w:val="20"/>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超标率%</w:t>
            </w:r>
          </w:p>
        </w:tc>
        <w:tc>
          <w:tcPr>
            <w:tcW w:w="928" w:type="dxa"/>
            <w:vAlign w:val="center"/>
          </w:tcPr>
          <w:p>
            <w:pPr>
              <w:adjustRightInd w:val="0"/>
              <w:snapToGrid w:val="0"/>
              <w:jc w:val="center"/>
              <w:rPr>
                <w:spacing w:val="2"/>
                <w:sz w:val="20"/>
                <w:szCs w:val="20"/>
              </w:rPr>
            </w:pPr>
            <w:r>
              <w:rPr>
                <w:spacing w:val="2"/>
                <w:sz w:val="20"/>
                <w:szCs w:val="20"/>
              </w:rPr>
              <w:t>0</w:t>
            </w:r>
          </w:p>
        </w:tc>
        <w:tc>
          <w:tcPr>
            <w:tcW w:w="1109" w:type="dxa"/>
            <w:vAlign w:val="center"/>
          </w:tcPr>
          <w:p>
            <w:pPr>
              <w:adjustRightInd w:val="0"/>
              <w:snapToGrid w:val="0"/>
              <w:jc w:val="center"/>
              <w:rPr>
                <w:sz w:val="20"/>
                <w:szCs w:val="20"/>
              </w:rPr>
            </w:pPr>
            <w:r>
              <w:rPr>
                <w:sz w:val="20"/>
                <w:szCs w:val="20"/>
              </w:rPr>
              <w:t>100%</w:t>
            </w:r>
          </w:p>
        </w:tc>
        <w:tc>
          <w:tcPr>
            <w:tcW w:w="1328" w:type="dxa"/>
            <w:vAlign w:val="center"/>
          </w:tcPr>
          <w:p>
            <w:pPr>
              <w:adjustRightInd w:val="0"/>
              <w:snapToGrid w:val="0"/>
              <w:jc w:val="center"/>
              <w:rPr>
                <w:sz w:val="20"/>
                <w:szCs w:val="20"/>
              </w:rPr>
            </w:pPr>
            <w:r>
              <w:rPr>
                <w:sz w:val="20"/>
                <w:szCs w:val="20"/>
              </w:rPr>
              <w:t>0</w:t>
            </w:r>
          </w:p>
        </w:tc>
        <w:tc>
          <w:tcPr>
            <w:tcW w:w="1086" w:type="dxa"/>
            <w:vAlign w:val="center"/>
          </w:tcPr>
          <w:p>
            <w:pPr>
              <w:adjustRightInd w:val="0"/>
              <w:snapToGrid w:val="0"/>
              <w:jc w:val="center"/>
              <w:rPr>
                <w:sz w:val="20"/>
                <w:szCs w:val="20"/>
              </w:rPr>
            </w:pPr>
            <w:r>
              <w:rPr>
                <w:sz w:val="20"/>
                <w:szCs w:val="20"/>
              </w:rPr>
              <w:t>0</w:t>
            </w:r>
          </w:p>
        </w:tc>
        <w:tc>
          <w:tcPr>
            <w:tcW w:w="1381" w:type="dxa"/>
            <w:shd w:val="clear" w:color="auto" w:fill="auto"/>
            <w:vAlign w:val="center"/>
          </w:tcPr>
          <w:p>
            <w:pPr>
              <w:adjustRightInd w:val="0"/>
              <w:snapToGrid w:val="0"/>
              <w:jc w:val="center"/>
              <w:rPr>
                <w:sz w:val="20"/>
                <w:szCs w:val="20"/>
              </w:rPr>
            </w:pPr>
            <w:r>
              <w:rPr>
                <w:sz w:val="20"/>
                <w:szCs w:val="20"/>
              </w:rPr>
              <w:t>0</w:t>
            </w:r>
          </w:p>
        </w:tc>
        <w:tc>
          <w:tcPr>
            <w:tcW w:w="909" w:type="dxa"/>
            <w:vAlign w:val="center"/>
          </w:tcPr>
          <w:p>
            <w:pPr>
              <w:adjustRightInd w:val="0"/>
              <w:snapToGrid w:val="0"/>
              <w:jc w:val="center"/>
              <w:rPr>
                <w:sz w:val="20"/>
                <w:szCs w:val="20"/>
              </w:rPr>
            </w:pPr>
            <w:r>
              <w:rPr>
                <w:sz w:val="20"/>
                <w:szCs w:val="2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最大超标倍数</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z w:val="20"/>
                <w:szCs w:val="20"/>
              </w:rPr>
            </w:pPr>
            <w:r>
              <w:rPr>
                <w:spacing w:val="2"/>
                <w:sz w:val="20"/>
                <w:szCs w:val="20"/>
              </w:rPr>
              <w:t>0.68</w:t>
            </w:r>
          </w:p>
        </w:tc>
        <w:tc>
          <w:tcPr>
            <w:tcW w:w="1328" w:type="dxa"/>
            <w:vAlign w:val="center"/>
          </w:tcPr>
          <w:p>
            <w:pPr>
              <w:adjustRightInd w:val="0"/>
              <w:snapToGrid w:val="0"/>
              <w:jc w:val="center"/>
              <w:rPr>
                <w:sz w:val="20"/>
                <w:szCs w:val="20"/>
              </w:rPr>
            </w:pPr>
            <w:r>
              <w:rPr>
                <w:sz w:val="20"/>
                <w:szCs w:val="20"/>
              </w:rPr>
              <w:t>/</w:t>
            </w:r>
          </w:p>
        </w:tc>
        <w:tc>
          <w:tcPr>
            <w:tcW w:w="1086" w:type="dxa"/>
            <w:vAlign w:val="center"/>
          </w:tcPr>
          <w:p>
            <w:pPr>
              <w:adjustRightInd w:val="0"/>
              <w:snapToGrid w:val="0"/>
              <w:jc w:val="center"/>
              <w:rPr>
                <w:sz w:val="20"/>
                <w:szCs w:val="20"/>
              </w:rPr>
            </w:pPr>
            <w:r>
              <w:rPr>
                <w:spacing w:val="2"/>
                <w:sz w:val="20"/>
                <w:szCs w:val="20"/>
              </w:rPr>
              <w:t>/</w:t>
            </w:r>
          </w:p>
        </w:tc>
        <w:tc>
          <w:tcPr>
            <w:tcW w:w="1381" w:type="dxa"/>
            <w:shd w:val="clear" w:color="auto" w:fill="auto"/>
            <w:vAlign w:val="center"/>
          </w:tcPr>
          <w:p>
            <w:pPr>
              <w:adjustRightInd w:val="0"/>
              <w:snapToGrid w:val="0"/>
              <w:jc w:val="center"/>
              <w:rPr>
                <w:sz w:val="20"/>
                <w:szCs w:val="20"/>
              </w:rPr>
            </w:pPr>
            <w:r>
              <w:rPr>
                <w:sz w:val="20"/>
                <w:szCs w:val="20"/>
              </w:rPr>
              <w:t>/</w:t>
            </w:r>
          </w:p>
        </w:tc>
        <w:tc>
          <w:tcPr>
            <w:tcW w:w="909" w:type="dxa"/>
            <w:vAlign w:val="center"/>
          </w:tcPr>
          <w:p>
            <w:pPr>
              <w:adjustRightInd w:val="0"/>
              <w:snapToGrid w:val="0"/>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restart"/>
            <w:vAlign w:val="center"/>
          </w:tcPr>
          <w:p>
            <w:pPr>
              <w:adjustRightInd w:val="0"/>
              <w:snapToGrid w:val="0"/>
              <w:jc w:val="center"/>
              <w:rPr>
                <w:sz w:val="20"/>
                <w:szCs w:val="20"/>
              </w:rPr>
            </w:pPr>
            <w:r>
              <w:rPr>
                <w:sz w:val="20"/>
                <w:szCs w:val="20"/>
              </w:rPr>
              <w:t>5</w:t>
            </w:r>
            <w:r>
              <w:rPr>
                <w:sz w:val="20"/>
                <w:szCs w:val="20"/>
                <w:vertAlign w:val="superscript"/>
              </w:rPr>
              <w:t>＃</w:t>
            </w:r>
          </w:p>
        </w:tc>
        <w:tc>
          <w:tcPr>
            <w:tcW w:w="1315" w:type="dxa"/>
            <w:vAlign w:val="center"/>
          </w:tcPr>
          <w:p>
            <w:pPr>
              <w:adjustRightInd w:val="0"/>
              <w:snapToGrid w:val="0"/>
              <w:jc w:val="center"/>
              <w:rPr>
                <w:sz w:val="20"/>
                <w:szCs w:val="20"/>
              </w:rPr>
            </w:pPr>
            <w:r>
              <w:rPr>
                <w:sz w:val="20"/>
                <w:szCs w:val="20"/>
              </w:rPr>
              <w:t>范围</w:t>
            </w:r>
          </w:p>
        </w:tc>
        <w:tc>
          <w:tcPr>
            <w:tcW w:w="928" w:type="dxa"/>
            <w:vAlign w:val="center"/>
          </w:tcPr>
          <w:p>
            <w:pPr>
              <w:adjustRightInd w:val="0"/>
              <w:snapToGrid w:val="0"/>
              <w:jc w:val="center"/>
              <w:rPr>
                <w:spacing w:val="2"/>
                <w:sz w:val="20"/>
                <w:szCs w:val="20"/>
              </w:rPr>
            </w:pPr>
            <w:r>
              <w:rPr>
                <w:spacing w:val="2"/>
                <w:sz w:val="20"/>
                <w:szCs w:val="20"/>
              </w:rPr>
              <w:t>6.54-6.88</w:t>
            </w:r>
          </w:p>
        </w:tc>
        <w:tc>
          <w:tcPr>
            <w:tcW w:w="1109" w:type="dxa"/>
            <w:vAlign w:val="center"/>
          </w:tcPr>
          <w:p>
            <w:pPr>
              <w:adjustRightInd w:val="0"/>
              <w:snapToGrid w:val="0"/>
              <w:jc w:val="center"/>
              <w:rPr>
                <w:spacing w:val="2"/>
                <w:sz w:val="20"/>
                <w:szCs w:val="20"/>
              </w:rPr>
            </w:pPr>
            <w:r>
              <w:rPr>
                <w:spacing w:val="2"/>
                <w:sz w:val="20"/>
                <w:szCs w:val="20"/>
              </w:rPr>
              <w:t>1.24-1.28</w:t>
            </w:r>
          </w:p>
        </w:tc>
        <w:tc>
          <w:tcPr>
            <w:tcW w:w="1328" w:type="dxa"/>
            <w:vAlign w:val="center"/>
          </w:tcPr>
          <w:p>
            <w:pPr>
              <w:adjustRightInd w:val="0"/>
              <w:snapToGrid w:val="0"/>
              <w:jc w:val="center"/>
              <w:rPr>
                <w:sz w:val="20"/>
                <w:szCs w:val="20"/>
              </w:rPr>
            </w:pPr>
            <w:r>
              <w:rPr>
                <w:sz w:val="20"/>
                <w:szCs w:val="20"/>
              </w:rPr>
              <w:t>11.3-12.1</w:t>
            </w:r>
          </w:p>
        </w:tc>
        <w:tc>
          <w:tcPr>
            <w:tcW w:w="1086" w:type="dxa"/>
            <w:vAlign w:val="center"/>
          </w:tcPr>
          <w:p>
            <w:pPr>
              <w:adjustRightInd w:val="0"/>
              <w:snapToGrid w:val="0"/>
              <w:jc w:val="center"/>
              <w:rPr>
                <w:spacing w:val="2"/>
                <w:sz w:val="20"/>
                <w:szCs w:val="20"/>
              </w:rPr>
            </w:pPr>
            <w:r>
              <w:rPr>
                <w:spacing w:val="2"/>
                <w:sz w:val="20"/>
                <w:szCs w:val="20"/>
              </w:rPr>
              <w:t>2.9-3.3</w:t>
            </w:r>
          </w:p>
        </w:tc>
        <w:tc>
          <w:tcPr>
            <w:tcW w:w="1381" w:type="dxa"/>
            <w:shd w:val="clear" w:color="auto" w:fill="auto"/>
            <w:vAlign w:val="center"/>
          </w:tcPr>
          <w:p>
            <w:pPr>
              <w:adjustRightInd w:val="0"/>
              <w:snapToGrid w:val="0"/>
              <w:jc w:val="center"/>
              <w:rPr>
                <w:sz w:val="20"/>
                <w:szCs w:val="20"/>
              </w:rPr>
            </w:pPr>
            <w:r>
              <w:rPr>
                <w:sz w:val="20"/>
                <w:szCs w:val="20"/>
              </w:rPr>
              <w:t>0.008-0.009</w:t>
            </w:r>
          </w:p>
        </w:tc>
        <w:tc>
          <w:tcPr>
            <w:tcW w:w="909" w:type="dxa"/>
            <w:vAlign w:val="center"/>
          </w:tcPr>
          <w:p>
            <w:pPr>
              <w:adjustRightInd w:val="0"/>
              <w:snapToGrid w:val="0"/>
              <w:jc w:val="center"/>
              <w:rPr>
                <w:sz w:val="20"/>
                <w:szCs w:val="20"/>
              </w:rPr>
            </w:pPr>
            <w:r>
              <w:rPr>
                <w:sz w:val="20"/>
                <w:szCs w:val="20"/>
              </w:rPr>
              <w:t>9-15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均值</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pacing w:val="2"/>
                <w:sz w:val="20"/>
                <w:szCs w:val="20"/>
              </w:rPr>
            </w:pPr>
            <w:r>
              <w:rPr>
                <w:spacing w:val="2"/>
                <w:sz w:val="20"/>
                <w:szCs w:val="20"/>
              </w:rPr>
              <w:t>1.26</w:t>
            </w:r>
          </w:p>
        </w:tc>
        <w:tc>
          <w:tcPr>
            <w:tcW w:w="1328" w:type="dxa"/>
            <w:vAlign w:val="center"/>
          </w:tcPr>
          <w:p>
            <w:pPr>
              <w:adjustRightInd w:val="0"/>
              <w:snapToGrid w:val="0"/>
              <w:jc w:val="center"/>
              <w:rPr>
                <w:sz w:val="20"/>
                <w:szCs w:val="20"/>
              </w:rPr>
            </w:pPr>
            <w:r>
              <w:rPr>
                <w:sz w:val="20"/>
                <w:szCs w:val="20"/>
              </w:rPr>
              <w:t>11.7</w:t>
            </w:r>
          </w:p>
        </w:tc>
        <w:tc>
          <w:tcPr>
            <w:tcW w:w="1086" w:type="dxa"/>
            <w:vAlign w:val="center"/>
          </w:tcPr>
          <w:p>
            <w:pPr>
              <w:adjustRightInd w:val="0"/>
              <w:snapToGrid w:val="0"/>
              <w:jc w:val="center"/>
              <w:rPr>
                <w:spacing w:val="2"/>
                <w:sz w:val="20"/>
                <w:szCs w:val="20"/>
              </w:rPr>
            </w:pPr>
            <w:r>
              <w:rPr>
                <w:spacing w:val="2"/>
                <w:sz w:val="20"/>
                <w:szCs w:val="20"/>
              </w:rPr>
              <w:t>3.1</w:t>
            </w:r>
          </w:p>
        </w:tc>
        <w:tc>
          <w:tcPr>
            <w:tcW w:w="1381" w:type="dxa"/>
            <w:shd w:val="clear" w:color="auto" w:fill="auto"/>
            <w:vAlign w:val="center"/>
          </w:tcPr>
          <w:p>
            <w:pPr>
              <w:adjustRightInd w:val="0"/>
              <w:snapToGrid w:val="0"/>
              <w:jc w:val="center"/>
              <w:rPr>
                <w:sz w:val="20"/>
                <w:szCs w:val="20"/>
              </w:rPr>
            </w:pPr>
            <w:r>
              <w:rPr>
                <w:sz w:val="20"/>
                <w:szCs w:val="20"/>
              </w:rPr>
              <w:t>0.008</w:t>
            </w:r>
          </w:p>
        </w:tc>
        <w:tc>
          <w:tcPr>
            <w:tcW w:w="909" w:type="dxa"/>
            <w:vAlign w:val="center"/>
          </w:tcPr>
          <w:p>
            <w:pPr>
              <w:adjustRightInd w:val="0"/>
              <w:snapToGrid w:val="0"/>
              <w:jc w:val="center"/>
              <w:rPr>
                <w:sz w:val="20"/>
                <w:szCs w:val="20"/>
              </w:rPr>
            </w:pPr>
            <w:r>
              <w:rPr>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超标率%</w:t>
            </w:r>
          </w:p>
        </w:tc>
        <w:tc>
          <w:tcPr>
            <w:tcW w:w="928" w:type="dxa"/>
            <w:vAlign w:val="center"/>
          </w:tcPr>
          <w:p>
            <w:pPr>
              <w:adjustRightInd w:val="0"/>
              <w:snapToGrid w:val="0"/>
              <w:jc w:val="center"/>
              <w:rPr>
                <w:spacing w:val="2"/>
                <w:sz w:val="20"/>
                <w:szCs w:val="20"/>
              </w:rPr>
            </w:pPr>
            <w:r>
              <w:rPr>
                <w:spacing w:val="2"/>
                <w:sz w:val="20"/>
                <w:szCs w:val="20"/>
              </w:rPr>
              <w:t>0</w:t>
            </w:r>
          </w:p>
        </w:tc>
        <w:tc>
          <w:tcPr>
            <w:tcW w:w="1109" w:type="dxa"/>
            <w:vAlign w:val="center"/>
          </w:tcPr>
          <w:p>
            <w:pPr>
              <w:adjustRightInd w:val="0"/>
              <w:snapToGrid w:val="0"/>
              <w:jc w:val="center"/>
              <w:rPr>
                <w:sz w:val="20"/>
                <w:szCs w:val="20"/>
              </w:rPr>
            </w:pPr>
            <w:r>
              <w:rPr>
                <w:sz w:val="20"/>
                <w:szCs w:val="20"/>
              </w:rPr>
              <w:t>0</w:t>
            </w:r>
          </w:p>
        </w:tc>
        <w:tc>
          <w:tcPr>
            <w:tcW w:w="1328" w:type="dxa"/>
            <w:vAlign w:val="center"/>
          </w:tcPr>
          <w:p>
            <w:pPr>
              <w:adjustRightInd w:val="0"/>
              <w:snapToGrid w:val="0"/>
              <w:jc w:val="center"/>
              <w:rPr>
                <w:sz w:val="20"/>
                <w:szCs w:val="20"/>
              </w:rPr>
            </w:pPr>
            <w:r>
              <w:rPr>
                <w:sz w:val="20"/>
                <w:szCs w:val="20"/>
              </w:rPr>
              <w:t>0</w:t>
            </w:r>
          </w:p>
        </w:tc>
        <w:tc>
          <w:tcPr>
            <w:tcW w:w="1086" w:type="dxa"/>
            <w:vAlign w:val="center"/>
          </w:tcPr>
          <w:p>
            <w:pPr>
              <w:adjustRightInd w:val="0"/>
              <w:snapToGrid w:val="0"/>
              <w:jc w:val="center"/>
              <w:rPr>
                <w:sz w:val="20"/>
                <w:szCs w:val="20"/>
              </w:rPr>
            </w:pPr>
            <w:r>
              <w:rPr>
                <w:sz w:val="20"/>
                <w:szCs w:val="20"/>
              </w:rPr>
              <w:t>0</w:t>
            </w:r>
          </w:p>
        </w:tc>
        <w:tc>
          <w:tcPr>
            <w:tcW w:w="1381" w:type="dxa"/>
            <w:shd w:val="clear" w:color="auto" w:fill="auto"/>
            <w:vAlign w:val="center"/>
          </w:tcPr>
          <w:p>
            <w:pPr>
              <w:adjustRightInd w:val="0"/>
              <w:snapToGrid w:val="0"/>
              <w:jc w:val="center"/>
              <w:rPr>
                <w:sz w:val="20"/>
                <w:szCs w:val="20"/>
              </w:rPr>
            </w:pPr>
            <w:r>
              <w:rPr>
                <w:sz w:val="20"/>
                <w:szCs w:val="20"/>
              </w:rPr>
              <w:t>0</w:t>
            </w:r>
          </w:p>
        </w:tc>
        <w:tc>
          <w:tcPr>
            <w:tcW w:w="909" w:type="dxa"/>
            <w:vAlign w:val="center"/>
          </w:tcPr>
          <w:p>
            <w:pPr>
              <w:adjustRightInd w:val="0"/>
              <w:snapToGrid w:val="0"/>
              <w:jc w:val="center"/>
              <w:rPr>
                <w:sz w:val="20"/>
                <w:szCs w:val="20"/>
              </w:rPr>
            </w:pPr>
            <w:r>
              <w:rPr>
                <w:sz w:val="20"/>
                <w:szCs w:val="2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最大超标倍数</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z w:val="20"/>
                <w:szCs w:val="20"/>
              </w:rPr>
            </w:pPr>
            <w:r>
              <w:rPr>
                <w:spacing w:val="2"/>
                <w:sz w:val="20"/>
                <w:szCs w:val="20"/>
              </w:rPr>
              <w:t>0.28</w:t>
            </w:r>
          </w:p>
        </w:tc>
        <w:tc>
          <w:tcPr>
            <w:tcW w:w="1328" w:type="dxa"/>
            <w:vAlign w:val="center"/>
          </w:tcPr>
          <w:p>
            <w:pPr>
              <w:adjustRightInd w:val="0"/>
              <w:snapToGrid w:val="0"/>
              <w:jc w:val="center"/>
              <w:rPr>
                <w:sz w:val="20"/>
                <w:szCs w:val="20"/>
              </w:rPr>
            </w:pPr>
            <w:r>
              <w:rPr>
                <w:sz w:val="20"/>
                <w:szCs w:val="20"/>
              </w:rPr>
              <w:t>/</w:t>
            </w:r>
          </w:p>
        </w:tc>
        <w:tc>
          <w:tcPr>
            <w:tcW w:w="1086" w:type="dxa"/>
            <w:vAlign w:val="center"/>
          </w:tcPr>
          <w:p>
            <w:pPr>
              <w:adjustRightInd w:val="0"/>
              <w:snapToGrid w:val="0"/>
              <w:jc w:val="center"/>
              <w:rPr>
                <w:sz w:val="20"/>
                <w:szCs w:val="20"/>
              </w:rPr>
            </w:pPr>
            <w:r>
              <w:rPr>
                <w:spacing w:val="2"/>
                <w:sz w:val="20"/>
                <w:szCs w:val="20"/>
              </w:rPr>
              <w:t>/</w:t>
            </w:r>
          </w:p>
        </w:tc>
        <w:tc>
          <w:tcPr>
            <w:tcW w:w="1381" w:type="dxa"/>
            <w:shd w:val="clear" w:color="auto" w:fill="auto"/>
            <w:vAlign w:val="center"/>
          </w:tcPr>
          <w:p>
            <w:pPr>
              <w:adjustRightInd w:val="0"/>
              <w:snapToGrid w:val="0"/>
              <w:jc w:val="center"/>
              <w:rPr>
                <w:sz w:val="20"/>
                <w:szCs w:val="20"/>
              </w:rPr>
            </w:pPr>
            <w:r>
              <w:rPr>
                <w:sz w:val="20"/>
                <w:szCs w:val="20"/>
              </w:rPr>
              <w:t>/</w:t>
            </w:r>
          </w:p>
        </w:tc>
        <w:tc>
          <w:tcPr>
            <w:tcW w:w="909" w:type="dxa"/>
            <w:vAlign w:val="center"/>
          </w:tcPr>
          <w:p>
            <w:pPr>
              <w:adjustRightInd w:val="0"/>
              <w:snapToGrid w:val="0"/>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restart"/>
            <w:vAlign w:val="center"/>
          </w:tcPr>
          <w:p>
            <w:pPr>
              <w:adjustRightInd w:val="0"/>
              <w:snapToGrid w:val="0"/>
              <w:jc w:val="center"/>
              <w:rPr>
                <w:sz w:val="20"/>
                <w:szCs w:val="20"/>
              </w:rPr>
            </w:pPr>
            <w:r>
              <w:rPr>
                <w:sz w:val="20"/>
                <w:szCs w:val="20"/>
              </w:rPr>
              <w:t>6</w:t>
            </w:r>
            <w:r>
              <w:rPr>
                <w:sz w:val="20"/>
                <w:szCs w:val="20"/>
                <w:vertAlign w:val="superscript"/>
              </w:rPr>
              <w:t>＃</w:t>
            </w:r>
          </w:p>
        </w:tc>
        <w:tc>
          <w:tcPr>
            <w:tcW w:w="1315" w:type="dxa"/>
            <w:vAlign w:val="center"/>
          </w:tcPr>
          <w:p>
            <w:pPr>
              <w:adjustRightInd w:val="0"/>
              <w:snapToGrid w:val="0"/>
              <w:jc w:val="center"/>
              <w:rPr>
                <w:sz w:val="20"/>
                <w:szCs w:val="20"/>
              </w:rPr>
            </w:pPr>
            <w:r>
              <w:rPr>
                <w:sz w:val="20"/>
                <w:szCs w:val="20"/>
              </w:rPr>
              <w:t>范围</w:t>
            </w:r>
          </w:p>
        </w:tc>
        <w:tc>
          <w:tcPr>
            <w:tcW w:w="928" w:type="dxa"/>
            <w:vAlign w:val="center"/>
          </w:tcPr>
          <w:p>
            <w:pPr>
              <w:adjustRightInd w:val="0"/>
              <w:snapToGrid w:val="0"/>
              <w:jc w:val="center"/>
              <w:rPr>
                <w:spacing w:val="2"/>
                <w:sz w:val="20"/>
                <w:szCs w:val="20"/>
              </w:rPr>
            </w:pPr>
            <w:r>
              <w:rPr>
                <w:spacing w:val="2"/>
                <w:sz w:val="20"/>
                <w:szCs w:val="20"/>
              </w:rPr>
              <w:t>6.71-6.91</w:t>
            </w:r>
          </w:p>
        </w:tc>
        <w:tc>
          <w:tcPr>
            <w:tcW w:w="1109" w:type="dxa"/>
            <w:vAlign w:val="center"/>
          </w:tcPr>
          <w:p>
            <w:pPr>
              <w:adjustRightInd w:val="0"/>
              <w:snapToGrid w:val="0"/>
              <w:jc w:val="center"/>
              <w:rPr>
                <w:spacing w:val="2"/>
                <w:sz w:val="20"/>
                <w:szCs w:val="20"/>
              </w:rPr>
            </w:pPr>
            <w:r>
              <w:rPr>
                <w:spacing w:val="2"/>
                <w:sz w:val="20"/>
                <w:szCs w:val="20"/>
              </w:rPr>
              <w:t>1.46-1.49</w:t>
            </w:r>
          </w:p>
        </w:tc>
        <w:tc>
          <w:tcPr>
            <w:tcW w:w="1328" w:type="dxa"/>
            <w:vAlign w:val="center"/>
          </w:tcPr>
          <w:p>
            <w:pPr>
              <w:adjustRightInd w:val="0"/>
              <w:snapToGrid w:val="0"/>
              <w:jc w:val="center"/>
              <w:rPr>
                <w:sz w:val="20"/>
                <w:szCs w:val="20"/>
              </w:rPr>
            </w:pPr>
            <w:r>
              <w:rPr>
                <w:sz w:val="20"/>
                <w:szCs w:val="20"/>
              </w:rPr>
              <w:t>10.5-11.1</w:t>
            </w:r>
          </w:p>
        </w:tc>
        <w:tc>
          <w:tcPr>
            <w:tcW w:w="1086" w:type="dxa"/>
            <w:vAlign w:val="center"/>
          </w:tcPr>
          <w:p>
            <w:pPr>
              <w:adjustRightInd w:val="0"/>
              <w:snapToGrid w:val="0"/>
              <w:jc w:val="center"/>
              <w:rPr>
                <w:spacing w:val="-10"/>
                <w:sz w:val="20"/>
                <w:szCs w:val="20"/>
              </w:rPr>
            </w:pPr>
            <w:r>
              <w:rPr>
                <w:spacing w:val="-10"/>
                <w:sz w:val="20"/>
                <w:szCs w:val="20"/>
              </w:rPr>
              <w:t>3.4-3.5</w:t>
            </w:r>
          </w:p>
        </w:tc>
        <w:tc>
          <w:tcPr>
            <w:tcW w:w="1381" w:type="dxa"/>
            <w:shd w:val="clear" w:color="auto" w:fill="auto"/>
            <w:vAlign w:val="center"/>
          </w:tcPr>
          <w:p>
            <w:pPr>
              <w:adjustRightInd w:val="0"/>
              <w:snapToGrid w:val="0"/>
              <w:jc w:val="center"/>
              <w:rPr>
                <w:sz w:val="20"/>
                <w:szCs w:val="20"/>
              </w:rPr>
            </w:pPr>
            <w:r>
              <w:rPr>
                <w:sz w:val="20"/>
                <w:szCs w:val="20"/>
              </w:rPr>
              <w:t>0.009-0.012</w:t>
            </w:r>
          </w:p>
        </w:tc>
        <w:tc>
          <w:tcPr>
            <w:tcW w:w="909" w:type="dxa"/>
            <w:vAlign w:val="center"/>
          </w:tcPr>
          <w:p>
            <w:pPr>
              <w:adjustRightInd w:val="0"/>
              <w:snapToGrid w:val="0"/>
              <w:jc w:val="center"/>
              <w:rPr>
                <w:sz w:val="20"/>
                <w:szCs w:val="20"/>
              </w:rPr>
            </w:pPr>
            <w:r>
              <w:rPr>
                <w:sz w:val="20"/>
                <w:szCs w:val="20"/>
              </w:rPr>
              <w:t>8-14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均值</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pacing w:val="2"/>
                <w:sz w:val="20"/>
                <w:szCs w:val="20"/>
              </w:rPr>
            </w:pPr>
            <w:r>
              <w:rPr>
                <w:spacing w:val="2"/>
                <w:sz w:val="20"/>
                <w:szCs w:val="20"/>
              </w:rPr>
              <w:t>1.48</w:t>
            </w:r>
          </w:p>
        </w:tc>
        <w:tc>
          <w:tcPr>
            <w:tcW w:w="1328" w:type="dxa"/>
            <w:vAlign w:val="center"/>
          </w:tcPr>
          <w:p>
            <w:pPr>
              <w:adjustRightInd w:val="0"/>
              <w:snapToGrid w:val="0"/>
              <w:jc w:val="center"/>
              <w:rPr>
                <w:sz w:val="20"/>
                <w:szCs w:val="20"/>
              </w:rPr>
            </w:pPr>
            <w:r>
              <w:rPr>
                <w:sz w:val="20"/>
                <w:szCs w:val="20"/>
              </w:rPr>
              <w:t>10.8</w:t>
            </w:r>
          </w:p>
        </w:tc>
        <w:tc>
          <w:tcPr>
            <w:tcW w:w="1086" w:type="dxa"/>
            <w:vAlign w:val="center"/>
          </w:tcPr>
          <w:p>
            <w:pPr>
              <w:adjustRightInd w:val="0"/>
              <w:snapToGrid w:val="0"/>
              <w:jc w:val="center"/>
              <w:rPr>
                <w:spacing w:val="-10"/>
                <w:sz w:val="20"/>
                <w:szCs w:val="20"/>
              </w:rPr>
            </w:pPr>
            <w:r>
              <w:rPr>
                <w:spacing w:val="-10"/>
                <w:sz w:val="20"/>
                <w:szCs w:val="20"/>
              </w:rPr>
              <w:t>3.5</w:t>
            </w:r>
          </w:p>
        </w:tc>
        <w:tc>
          <w:tcPr>
            <w:tcW w:w="1381" w:type="dxa"/>
            <w:shd w:val="clear" w:color="auto" w:fill="auto"/>
            <w:vAlign w:val="center"/>
          </w:tcPr>
          <w:p>
            <w:pPr>
              <w:adjustRightInd w:val="0"/>
              <w:snapToGrid w:val="0"/>
              <w:jc w:val="center"/>
              <w:rPr>
                <w:sz w:val="20"/>
                <w:szCs w:val="20"/>
              </w:rPr>
            </w:pPr>
            <w:r>
              <w:rPr>
                <w:sz w:val="20"/>
                <w:szCs w:val="20"/>
              </w:rPr>
              <w:t>0.011</w:t>
            </w:r>
          </w:p>
        </w:tc>
        <w:tc>
          <w:tcPr>
            <w:tcW w:w="909" w:type="dxa"/>
            <w:vAlign w:val="center"/>
          </w:tcPr>
          <w:p>
            <w:pPr>
              <w:adjustRightInd w:val="0"/>
              <w:snapToGrid w:val="0"/>
              <w:jc w:val="center"/>
              <w:rPr>
                <w:sz w:val="20"/>
                <w:szCs w:val="20"/>
              </w:rPr>
            </w:pPr>
            <w:r>
              <w:rPr>
                <w:sz w:val="20"/>
                <w:szCs w:val="20"/>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超标率%</w:t>
            </w:r>
          </w:p>
        </w:tc>
        <w:tc>
          <w:tcPr>
            <w:tcW w:w="928" w:type="dxa"/>
            <w:vAlign w:val="center"/>
          </w:tcPr>
          <w:p>
            <w:pPr>
              <w:adjustRightInd w:val="0"/>
              <w:snapToGrid w:val="0"/>
              <w:jc w:val="center"/>
              <w:rPr>
                <w:spacing w:val="2"/>
                <w:sz w:val="20"/>
                <w:szCs w:val="20"/>
              </w:rPr>
            </w:pPr>
            <w:r>
              <w:rPr>
                <w:spacing w:val="2"/>
                <w:sz w:val="20"/>
                <w:szCs w:val="20"/>
              </w:rPr>
              <w:t>0</w:t>
            </w:r>
          </w:p>
        </w:tc>
        <w:tc>
          <w:tcPr>
            <w:tcW w:w="1109" w:type="dxa"/>
            <w:vAlign w:val="center"/>
          </w:tcPr>
          <w:p>
            <w:pPr>
              <w:adjustRightInd w:val="0"/>
              <w:snapToGrid w:val="0"/>
              <w:jc w:val="center"/>
              <w:rPr>
                <w:sz w:val="20"/>
                <w:szCs w:val="20"/>
              </w:rPr>
            </w:pPr>
            <w:r>
              <w:rPr>
                <w:sz w:val="20"/>
                <w:szCs w:val="20"/>
              </w:rPr>
              <w:t>100%</w:t>
            </w:r>
          </w:p>
        </w:tc>
        <w:tc>
          <w:tcPr>
            <w:tcW w:w="1328" w:type="dxa"/>
            <w:vAlign w:val="center"/>
          </w:tcPr>
          <w:p>
            <w:pPr>
              <w:adjustRightInd w:val="0"/>
              <w:snapToGrid w:val="0"/>
              <w:jc w:val="center"/>
              <w:rPr>
                <w:sz w:val="20"/>
                <w:szCs w:val="20"/>
              </w:rPr>
            </w:pPr>
            <w:r>
              <w:rPr>
                <w:sz w:val="20"/>
                <w:szCs w:val="20"/>
              </w:rPr>
              <w:t>0</w:t>
            </w:r>
          </w:p>
        </w:tc>
        <w:tc>
          <w:tcPr>
            <w:tcW w:w="1086" w:type="dxa"/>
            <w:vAlign w:val="center"/>
          </w:tcPr>
          <w:p>
            <w:pPr>
              <w:adjustRightInd w:val="0"/>
              <w:snapToGrid w:val="0"/>
              <w:jc w:val="center"/>
              <w:rPr>
                <w:sz w:val="20"/>
                <w:szCs w:val="20"/>
              </w:rPr>
            </w:pPr>
            <w:r>
              <w:rPr>
                <w:sz w:val="20"/>
                <w:szCs w:val="20"/>
              </w:rPr>
              <w:t>0</w:t>
            </w:r>
          </w:p>
        </w:tc>
        <w:tc>
          <w:tcPr>
            <w:tcW w:w="1381" w:type="dxa"/>
            <w:shd w:val="clear" w:color="auto" w:fill="auto"/>
            <w:vAlign w:val="center"/>
          </w:tcPr>
          <w:p>
            <w:pPr>
              <w:adjustRightInd w:val="0"/>
              <w:snapToGrid w:val="0"/>
              <w:jc w:val="center"/>
              <w:rPr>
                <w:sz w:val="20"/>
                <w:szCs w:val="20"/>
              </w:rPr>
            </w:pPr>
            <w:r>
              <w:rPr>
                <w:sz w:val="20"/>
                <w:szCs w:val="20"/>
              </w:rPr>
              <w:t>0</w:t>
            </w:r>
          </w:p>
        </w:tc>
        <w:tc>
          <w:tcPr>
            <w:tcW w:w="909" w:type="dxa"/>
            <w:vAlign w:val="center"/>
          </w:tcPr>
          <w:p>
            <w:pPr>
              <w:adjustRightInd w:val="0"/>
              <w:snapToGrid w:val="0"/>
              <w:jc w:val="center"/>
              <w:rPr>
                <w:sz w:val="20"/>
                <w:szCs w:val="20"/>
              </w:rPr>
            </w:pPr>
            <w:r>
              <w:rPr>
                <w:sz w:val="20"/>
                <w:szCs w:val="2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最大超标倍数</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z w:val="20"/>
                <w:szCs w:val="20"/>
              </w:rPr>
            </w:pPr>
            <w:r>
              <w:rPr>
                <w:spacing w:val="2"/>
                <w:sz w:val="20"/>
                <w:szCs w:val="20"/>
              </w:rPr>
              <w:t>0.49</w:t>
            </w:r>
          </w:p>
        </w:tc>
        <w:tc>
          <w:tcPr>
            <w:tcW w:w="1328" w:type="dxa"/>
            <w:vAlign w:val="center"/>
          </w:tcPr>
          <w:p>
            <w:pPr>
              <w:adjustRightInd w:val="0"/>
              <w:snapToGrid w:val="0"/>
              <w:jc w:val="center"/>
              <w:rPr>
                <w:sz w:val="20"/>
                <w:szCs w:val="20"/>
              </w:rPr>
            </w:pPr>
            <w:r>
              <w:rPr>
                <w:sz w:val="20"/>
                <w:szCs w:val="20"/>
              </w:rPr>
              <w:t>/</w:t>
            </w:r>
          </w:p>
        </w:tc>
        <w:tc>
          <w:tcPr>
            <w:tcW w:w="1086" w:type="dxa"/>
            <w:vAlign w:val="center"/>
          </w:tcPr>
          <w:p>
            <w:pPr>
              <w:adjustRightInd w:val="0"/>
              <w:snapToGrid w:val="0"/>
              <w:jc w:val="center"/>
              <w:rPr>
                <w:sz w:val="20"/>
                <w:szCs w:val="20"/>
              </w:rPr>
            </w:pPr>
            <w:r>
              <w:rPr>
                <w:spacing w:val="2"/>
                <w:sz w:val="20"/>
                <w:szCs w:val="20"/>
              </w:rPr>
              <w:t>/</w:t>
            </w:r>
          </w:p>
        </w:tc>
        <w:tc>
          <w:tcPr>
            <w:tcW w:w="1381" w:type="dxa"/>
            <w:shd w:val="clear" w:color="auto" w:fill="auto"/>
            <w:vAlign w:val="center"/>
          </w:tcPr>
          <w:p>
            <w:pPr>
              <w:adjustRightInd w:val="0"/>
              <w:snapToGrid w:val="0"/>
              <w:jc w:val="center"/>
              <w:rPr>
                <w:sz w:val="20"/>
                <w:szCs w:val="20"/>
              </w:rPr>
            </w:pPr>
            <w:r>
              <w:rPr>
                <w:sz w:val="20"/>
                <w:szCs w:val="20"/>
              </w:rPr>
              <w:t>/</w:t>
            </w:r>
          </w:p>
        </w:tc>
        <w:tc>
          <w:tcPr>
            <w:tcW w:w="909" w:type="dxa"/>
            <w:vAlign w:val="center"/>
          </w:tcPr>
          <w:p>
            <w:pPr>
              <w:adjustRightInd w:val="0"/>
              <w:snapToGrid w:val="0"/>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restart"/>
            <w:vAlign w:val="center"/>
          </w:tcPr>
          <w:p>
            <w:pPr>
              <w:adjustRightInd w:val="0"/>
              <w:snapToGrid w:val="0"/>
              <w:jc w:val="center"/>
              <w:rPr>
                <w:sz w:val="20"/>
                <w:szCs w:val="20"/>
              </w:rPr>
            </w:pPr>
            <w:r>
              <w:rPr>
                <w:sz w:val="20"/>
                <w:szCs w:val="20"/>
              </w:rPr>
              <w:t>7</w:t>
            </w:r>
            <w:r>
              <w:rPr>
                <w:sz w:val="20"/>
                <w:szCs w:val="20"/>
                <w:vertAlign w:val="superscript"/>
              </w:rPr>
              <w:t>＃</w:t>
            </w:r>
          </w:p>
        </w:tc>
        <w:tc>
          <w:tcPr>
            <w:tcW w:w="1315" w:type="dxa"/>
            <w:vAlign w:val="center"/>
          </w:tcPr>
          <w:p>
            <w:pPr>
              <w:adjustRightInd w:val="0"/>
              <w:snapToGrid w:val="0"/>
              <w:jc w:val="center"/>
              <w:rPr>
                <w:sz w:val="20"/>
                <w:szCs w:val="20"/>
              </w:rPr>
            </w:pPr>
            <w:r>
              <w:rPr>
                <w:sz w:val="20"/>
                <w:szCs w:val="20"/>
              </w:rPr>
              <w:t>范围</w:t>
            </w:r>
          </w:p>
        </w:tc>
        <w:tc>
          <w:tcPr>
            <w:tcW w:w="928" w:type="dxa"/>
            <w:vAlign w:val="center"/>
          </w:tcPr>
          <w:p>
            <w:pPr>
              <w:adjustRightInd w:val="0"/>
              <w:snapToGrid w:val="0"/>
              <w:jc w:val="center"/>
              <w:rPr>
                <w:spacing w:val="2"/>
                <w:sz w:val="20"/>
                <w:szCs w:val="20"/>
              </w:rPr>
            </w:pPr>
            <w:r>
              <w:rPr>
                <w:spacing w:val="2"/>
                <w:sz w:val="20"/>
                <w:szCs w:val="20"/>
              </w:rPr>
              <w:t>6.73-6.90</w:t>
            </w:r>
          </w:p>
        </w:tc>
        <w:tc>
          <w:tcPr>
            <w:tcW w:w="1109" w:type="dxa"/>
            <w:vAlign w:val="center"/>
          </w:tcPr>
          <w:p>
            <w:pPr>
              <w:adjustRightInd w:val="0"/>
              <w:snapToGrid w:val="0"/>
              <w:jc w:val="center"/>
              <w:rPr>
                <w:spacing w:val="2"/>
                <w:sz w:val="20"/>
                <w:szCs w:val="20"/>
              </w:rPr>
            </w:pPr>
            <w:r>
              <w:rPr>
                <w:spacing w:val="2"/>
                <w:sz w:val="20"/>
                <w:szCs w:val="20"/>
              </w:rPr>
              <w:t>1.37-1.40</w:t>
            </w:r>
          </w:p>
        </w:tc>
        <w:tc>
          <w:tcPr>
            <w:tcW w:w="1328" w:type="dxa"/>
            <w:vAlign w:val="center"/>
          </w:tcPr>
          <w:p>
            <w:pPr>
              <w:adjustRightInd w:val="0"/>
              <w:snapToGrid w:val="0"/>
              <w:jc w:val="center"/>
              <w:rPr>
                <w:sz w:val="20"/>
                <w:szCs w:val="20"/>
              </w:rPr>
            </w:pPr>
            <w:r>
              <w:rPr>
                <w:sz w:val="20"/>
                <w:szCs w:val="20"/>
              </w:rPr>
              <w:t>12.3-13.3</w:t>
            </w:r>
          </w:p>
        </w:tc>
        <w:tc>
          <w:tcPr>
            <w:tcW w:w="1086" w:type="dxa"/>
            <w:vAlign w:val="center"/>
          </w:tcPr>
          <w:p>
            <w:pPr>
              <w:adjustRightInd w:val="0"/>
              <w:snapToGrid w:val="0"/>
              <w:jc w:val="center"/>
              <w:rPr>
                <w:spacing w:val="-10"/>
                <w:sz w:val="20"/>
                <w:szCs w:val="20"/>
              </w:rPr>
            </w:pPr>
            <w:r>
              <w:rPr>
                <w:spacing w:val="-10"/>
                <w:sz w:val="20"/>
                <w:szCs w:val="20"/>
              </w:rPr>
              <w:t>2.8-3.2</w:t>
            </w:r>
          </w:p>
        </w:tc>
        <w:tc>
          <w:tcPr>
            <w:tcW w:w="1381" w:type="dxa"/>
            <w:shd w:val="clear" w:color="auto" w:fill="auto"/>
            <w:vAlign w:val="center"/>
          </w:tcPr>
          <w:p>
            <w:pPr>
              <w:adjustRightInd w:val="0"/>
              <w:snapToGrid w:val="0"/>
              <w:jc w:val="center"/>
              <w:rPr>
                <w:sz w:val="20"/>
                <w:szCs w:val="20"/>
              </w:rPr>
            </w:pPr>
            <w:r>
              <w:rPr>
                <w:sz w:val="20"/>
                <w:szCs w:val="20"/>
              </w:rPr>
              <w:t>0.010-0.012</w:t>
            </w:r>
          </w:p>
        </w:tc>
        <w:tc>
          <w:tcPr>
            <w:tcW w:w="909" w:type="dxa"/>
            <w:vAlign w:val="center"/>
          </w:tcPr>
          <w:p>
            <w:pPr>
              <w:adjustRightInd w:val="0"/>
              <w:snapToGrid w:val="0"/>
              <w:jc w:val="center"/>
              <w:rPr>
                <w:sz w:val="20"/>
                <w:szCs w:val="20"/>
              </w:rPr>
            </w:pPr>
            <w:r>
              <w:rPr>
                <w:sz w:val="20"/>
                <w:szCs w:val="20"/>
              </w:rPr>
              <w:t>6-13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均值</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pacing w:val="2"/>
                <w:sz w:val="20"/>
                <w:szCs w:val="20"/>
              </w:rPr>
            </w:pPr>
            <w:r>
              <w:rPr>
                <w:spacing w:val="2"/>
                <w:sz w:val="20"/>
                <w:szCs w:val="20"/>
              </w:rPr>
              <w:t>1.38</w:t>
            </w:r>
          </w:p>
        </w:tc>
        <w:tc>
          <w:tcPr>
            <w:tcW w:w="1328" w:type="dxa"/>
            <w:vAlign w:val="center"/>
          </w:tcPr>
          <w:p>
            <w:pPr>
              <w:adjustRightInd w:val="0"/>
              <w:snapToGrid w:val="0"/>
              <w:jc w:val="center"/>
              <w:rPr>
                <w:sz w:val="20"/>
                <w:szCs w:val="20"/>
              </w:rPr>
            </w:pPr>
            <w:r>
              <w:rPr>
                <w:sz w:val="20"/>
                <w:szCs w:val="20"/>
              </w:rPr>
              <w:t>12.8</w:t>
            </w:r>
          </w:p>
        </w:tc>
        <w:tc>
          <w:tcPr>
            <w:tcW w:w="1086" w:type="dxa"/>
            <w:vAlign w:val="center"/>
          </w:tcPr>
          <w:p>
            <w:pPr>
              <w:adjustRightInd w:val="0"/>
              <w:snapToGrid w:val="0"/>
              <w:jc w:val="center"/>
              <w:rPr>
                <w:spacing w:val="-10"/>
                <w:sz w:val="20"/>
                <w:szCs w:val="20"/>
              </w:rPr>
            </w:pPr>
            <w:r>
              <w:rPr>
                <w:spacing w:val="-10"/>
                <w:sz w:val="20"/>
                <w:szCs w:val="20"/>
              </w:rPr>
              <w:t>3.0</w:t>
            </w:r>
          </w:p>
        </w:tc>
        <w:tc>
          <w:tcPr>
            <w:tcW w:w="1381" w:type="dxa"/>
            <w:shd w:val="clear" w:color="auto" w:fill="auto"/>
            <w:vAlign w:val="center"/>
          </w:tcPr>
          <w:p>
            <w:pPr>
              <w:adjustRightInd w:val="0"/>
              <w:snapToGrid w:val="0"/>
              <w:jc w:val="center"/>
              <w:rPr>
                <w:sz w:val="20"/>
                <w:szCs w:val="20"/>
              </w:rPr>
            </w:pPr>
            <w:r>
              <w:rPr>
                <w:sz w:val="20"/>
                <w:szCs w:val="20"/>
              </w:rPr>
              <w:t>0.011</w:t>
            </w:r>
          </w:p>
        </w:tc>
        <w:tc>
          <w:tcPr>
            <w:tcW w:w="909" w:type="dxa"/>
            <w:vAlign w:val="center"/>
          </w:tcPr>
          <w:p>
            <w:pPr>
              <w:adjustRightInd w:val="0"/>
              <w:snapToGrid w:val="0"/>
              <w:jc w:val="center"/>
              <w:rPr>
                <w:sz w:val="20"/>
                <w:szCs w:val="20"/>
              </w:rPr>
            </w:pPr>
            <w:r>
              <w:rPr>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超标率%</w:t>
            </w:r>
          </w:p>
        </w:tc>
        <w:tc>
          <w:tcPr>
            <w:tcW w:w="928" w:type="dxa"/>
            <w:vAlign w:val="center"/>
          </w:tcPr>
          <w:p>
            <w:pPr>
              <w:adjustRightInd w:val="0"/>
              <w:snapToGrid w:val="0"/>
              <w:jc w:val="center"/>
              <w:rPr>
                <w:spacing w:val="2"/>
                <w:sz w:val="20"/>
                <w:szCs w:val="20"/>
              </w:rPr>
            </w:pPr>
            <w:r>
              <w:rPr>
                <w:spacing w:val="2"/>
                <w:sz w:val="20"/>
                <w:szCs w:val="20"/>
              </w:rPr>
              <w:t>0</w:t>
            </w:r>
          </w:p>
        </w:tc>
        <w:tc>
          <w:tcPr>
            <w:tcW w:w="1109" w:type="dxa"/>
            <w:vAlign w:val="center"/>
          </w:tcPr>
          <w:p>
            <w:pPr>
              <w:adjustRightInd w:val="0"/>
              <w:snapToGrid w:val="0"/>
              <w:jc w:val="center"/>
              <w:rPr>
                <w:sz w:val="20"/>
                <w:szCs w:val="20"/>
              </w:rPr>
            </w:pPr>
            <w:r>
              <w:rPr>
                <w:sz w:val="20"/>
                <w:szCs w:val="20"/>
              </w:rPr>
              <w:t>100%</w:t>
            </w:r>
          </w:p>
        </w:tc>
        <w:tc>
          <w:tcPr>
            <w:tcW w:w="1328" w:type="dxa"/>
            <w:vAlign w:val="center"/>
          </w:tcPr>
          <w:p>
            <w:pPr>
              <w:adjustRightInd w:val="0"/>
              <w:snapToGrid w:val="0"/>
              <w:jc w:val="center"/>
              <w:rPr>
                <w:sz w:val="20"/>
                <w:szCs w:val="20"/>
              </w:rPr>
            </w:pPr>
            <w:r>
              <w:rPr>
                <w:sz w:val="20"/>
                <w:szCs w:val="20"/>
              </w:rPr>
              <w:t>0</w:t>
            </w:r>
          </w:p>
        </w:tc>
        <w:tc>
          <w:tcPr>
            <w:tcW w:w="1086" w:type="dxa"/>
            <w:vAlign w:val="center"/>
          </w:tcPr>
          <w:p>
            <w:pPr>
              <w:adjustRightInd w:val="0"/>
              <w:snapToGrid w:val="0"/>
              <w:jc w:val="center"/>
              <w:rPr>
                <w:sz w:val="20"/>
                <w:szCs w:val="20"/>
              </w:rPr>
            </w:pPr>
            <w:r>
              <w:rPr>
                <w:sz w:val="20"/>
                <w:szCs w:val="20"/>
              </w:rPr>
              <w:t>0</w:t>
            </w:r>
          </w:p>
        </w:tc>
        <w:tc>
          <w:tcPr>
            <w:tcW w:w="1381" w:type="dxa"/>
            <w:shd w:val="clear" w:color="auto" w:fill="auto"/>
            <w:vAlign w:val="center"/>
          </w:tcPr>
          <w:p>
            <w:pPr>
              <w:adjustRightInd w:val="0"/>
              <w:snapToGrid w:val="0"/>
              <w:jc w:val="center"/>
              <w:rPr>
                <w:sz w:val="20"/>
                <w:szCs w:val="20"/>
              </w:rPr>
            </w:pPr>
            <w:r>
              <w:rPr>
                <w:sz w:val="20"/>
                <w:szCs w:val="20"/>
              </w:rPr>
              <w:t>0</w:t>
            </w:r>
          </w:p>
        </w:tc>
        <w:tc>
          <w:tcPr>
            <w:tcW w:w="909" w:type="dxa"/>
            <w:vAlign w:val="center"/>
          </w:tcPr>
          <w:p>
            <w:pPr>
              <w:adjustRightInd w:val="0"/>
              <w:snapToGrid w:val="0"/>
              <w:jc w:val="center"/>
              <w:rPr>
                <w:sz w:val="20"/>
                <w:szCs w:val="20"/>
              </w:rPr>
            </w:pPr>
            <w:r>
              <w:rPr>
                <w:sz w:val="20"/>
                <w:szCs w:val="20"/>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143" w:hRule="atLeast"/>
          <w:jc w:val="center"/>
        </w:trPr>
        <w:tc>
          <w:tcPr>
            <w:tcW w:w="286" w:type="dxa"/>
            <w:vMerge w:val="continue"/>
            <w:vAlign w:val="center"/>
          </w:tcPr>
          <w:p>
            <w:pPr>
              <w:adjustRightInd w:val="0"/>
              <w:snapToGrid w:val="0"/>
              <w:jc w:val="center"/>
              <w:rPr>
                <w:sz w:val="20"/>
                <w:szCs w:val="20"/>
              </w:rPr>
            </w:pPr>
          </w:p>
        </w:tc>
        <w:tc>
          <w:tcPr>
            <w:tcW w:w="1315" w:type="dxa"/>
            <w:vAlign w:val="center"/>
          </w:tcPr>
          <w:p>
            <w:pPr>
              <w:adjustRightInd w:val="0"/>
              <w:snapToGrid w:val="0"/>
              <w:jc w:val="center"/>
              <w:rPr>
                <w:sz w:val="20"/>
                <w:szCs w:val="20"/>
              </w:rPr>
            </w:pPr>
            <w:r>
              <w:rPr>
                <w:sz w:val="20"/>
                <w:szCs w:val="20"/>
              </w:rPr>
              <w:t>最大超标倍数</w:t>
            </w:r>
          </w:p>
        </w:tc>
        <w:tc>
          <w:tcPr>
            <w:tcW w:w="928" w:type="dxa"/>
            <w:vAlign w:val="center"/>
          </w:tcPr>
          <w:p>
            <w:pPr>
              <w:adjustRightInd w:val="0"/>
              <w:snapToGrid w:val="0"/>
              <w:jc w:val="center"/>
              <w:rPr>
                <w:spacing w:val="2"/>
                <w:sz w:val="20"/>
                <w:szCs w:val="20"/>
              </w:rPr>
            </w:pPr>
            <w:r>
              <w:rPr>
                <w:spacing w:val="2"/>
                <w:sz w:val="20"/>
                <w:szCs w:val="20"/>
              </w:rPr>
              <w:t>/</w:t>
            </w:r>
          </w:p>
        </w:tc>
        <w:tc>
          <w:tcPr>
            <w:tcW w:w="1109" w:type="dxa"/>
            <w:vAlign w:val="center"/>
          </w:tcPr>
          <w:p>
            <w:pPr>
              <w:adjustRightInd w:val="0"/>
              <w:snapToGrid w:val="0"/>
              <w:jc w:val="center"/>
              <w:rPr>
                <w:sz w:val="20"/>
                <w:szCs w:val="20"/>
              </w:rPr>
            </w:pPr>
            <w:r>
              <w:rPr>
                <w:spacing w:val="2"/>
                <w:sz w:val="20"/>
                <w:szCs w:val="20"/>
              </w:rPr>
              <w:t>0.40</w:t>
            </w:r>
          </w:p>
        </w:tc>
        <w:tc>
          <w:tcPr>
            <w:tcW w:w="1328" w:type="dxa"/>
            <w:vAlign w:val="center"/>
          </w:tcPr>
          <w:p>
            <w:pPr>
              <w:adjustRightInd w:val="0"/>
              <w:snapToGrid w:val="0"/>
              <w:jc w:val="center"/>
              <w:rPr>
                <w:sz w:val="20"/>
                <w:szCs w:val="20"/>
              </w:rPr>
            </w:pPr>
            <w:r>
              <w:rPr>
                <w:sz w:val="20"/>
                <w:szCs w:val="20"/>
              </w:rPr>
              <w:t>/</w:t>
            </w:r>
          </w:p>
        </w:tc>
        <w:tc>
          <w:tcPr>
            <w:tcW w:w="1086" w:type="dxa"/>
            <w:vAlign w:val="center"/>
          </w:tcPr>
          <w:p>
            <w:pPr>
              <w:adjustRightInd w:val="0"/>
              <w:snapToGrid w:val="0"/>
              <w:jc w:val="center"/>
              <w:rPr>
                <w:sz w:val="20"/>
                <w:szCs w:val="20"/>
              </w:rPr>
            </w:pPr>
            <w:r>
              <w:rPr>
                <w:spacing w:val="2"/>
                <w:sz w:val="20"/>
                <w:szCs w:val="20"/>
              </w:rPr>
              <w:t>/</w:t>
            </w:r>
          </w:p>
        </w:tc>
        <w:tc>
          <w:tcPr>
            <w:tcW w:w="1381" w:type="dxa"/>
            <w:shd w:val="clear" w:color="auto" w:fill="auto"/>
            <w:vAlign w:val="center"/>
          </w:tcPr>
          <w:p>
            <w:pPr>
              <w:adjustRightInd w:val="0"/>
              <w:snapToGrid w:val="0"/>
              <w:jc w:val="center"/>
              <w:rPr>
                <w:sz w:val="20"/>
                <w:szCs w:val="20"/>
              </w:rPr>
            </w:pPr>
            <w:r>
              <w:rPr>
                <w:sz w:val="20"/>
                <w:szCs w:val="20"/>
              </w:rPr>
              <w:t>/</w:t>
            </w:r>
          </w:p>
        </w:tc>
        <w:tc>
          <w:tcPr>
            <w:tcW w:w="909" w:type="dxa"/>
            <w:vAlign w:val="center"/>
          </w:tcPr>
          <w:p>
            <w:pPr>
              <w:adjustRightInd w:val="0"/>
              <w:snapToGrid w:val="0"/>
              <w:jc w:val="center"/>
              <w:rPr>
                <w:sz w:val="20"/>
                <w:szCs w:val="20"/>
              </w:rPr>
            </w:pP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416" w:hRule="atLeast"/>
          <w:jc w:val="center"/>
        </w:trPr>
        <w:tc>
          <w:tcPr>
            <w:tcW w:w="1601" w:type="dxa"/>
            <w:gridSpan w:val="2"/>
            <w:vAlign w:val="center"/>
          </w:tcPr>
          <w:p>
            <w:pPr>
              <w:adjustRightInd w:val="0"/>
              <w:snapToGrid w:val="0"/>
              <w:jc w:val="center"/>
              <w:rPr>
                <w:spacing w:val="2"/>
                <w:sz w:val="20"/>
                <w:szCs w:val="20"/>
              </w:rPr>
            </w:pPr>
            <w:r>
              <w:rPr>
                <w:spacing w:val="2"/>
                <w:sz w:val="20"/>
                <w:szCs w:val="20"/>
              </w:rPr>
              <w:t>备注</w:t>
            </w:r>
          </w:p>
        </w:tc>
        <w:tc>
          <w:tcPr>
            <w:tcW w:w="6741" w:type="dxa"/>
            <w:gridSpan w:val="6"/>
            <w:vAlign w:val="center"/>
          </w:tcPr>
          <w:p>
            <w:pPr>
              <w:adjustRightInd w:val="0"/>
              <w:snapToGrid w:val="0"/>
              <w:jc w:val="center"/>
              <w:rPr>
                <w:spacing w:val="-10"/>
                <w:sz w:val="20"/>
                <w:szCs w:val="20"/>
              </w:rPr>
            </w:pPr>
            <w:r>
              <w:rPr>
                <w:spacing w:val="-10"/>
                <w:sz w:val="20"/>
                <w:szCs w:val="20"/>
              </w:rPr>
              <w:t>氰化物、石油类、硫化物、铜、铅、锌、镉、汞、砷、铁等浓度均未检出</w:t>
            </w:r>
          </w:p>
        </w:tc>
      </w:tr>
    </w:tbl>
    <w:p>
      <w:pPr>
        <w:spacing w:beforeLines="50" w:line="360" w:lineRule="auto"/>
        <w:ind w:firstLine="480" w:firstLineChars="200"/>
        <w:rPr>
          <w:sz w:val="24"/>
        </w:rPr>
      </w:pPr>
      <w:r>
        <w:rPr>
          <w:sz w:val="24"/>
        </w:rPr>
        <w:t>由上表可知，本项目所监测的7个断面中，各监测断面除氨氮外各项监测指标均能满足《地表水环境质量标准》（GB3838-2002）</w:t>
      </w:r>
      <w:r>
        <w:t>Ⅲ</w:t>
      </w:r>
      <w:r>
        <w:rPr>
          <w:sz w:val="24"/>
        </w:rPr>
        <w:t xml:space="preserve">类标准。 </w:t>
      </w:r>
    </w:p>
    <w:p>
      <w:pPr>
        <w:spacing w:line="360" w:lineRule="auto"/>
        <w:ind w:firstLine="480" w:firstLineChars="200"/>
        <w:rPr>
          <w:sz w:val="24"/>
        </w:rPr>
      </w:pPr>
      <w:r>
        <w:rPr>
          <w:sz w:val="24"/>
        </w:rPr>
        <w:t>环评阶段地表水监测结果为：各断面地表水监测项目全部满足《地表水环境质量标准》（GB3838-2002）</w:t>
      </w:r>
      <w:r>
        <w:t>Ⅲ</w:t>
      </w:r>
      <w:r>
        <w:rPr>
          <w:sz w:val="24"/>
        </w:rPr>
        <w:t>类水域标准的要求，表明调查区域内的地表水环境质量良好。</w:t>
      </w:r>
    </w:p>
    <w:p>
      <w:pPr>
        <w:spacing w:line="360" w:lineRule="auto"/>
        <w:ind w:firstLine="480" w:firstLineChars="200"/>
        <w:rPr>
          <w:sz w:val="24"/>
        </w:rPr>
      </w:pPr>
      <w:r>
        <w:rPr>
          <w:sz w:val="24"/>
        </w:rPr>
        <w:t>与环评阶段对比，除氨氮外，验收阶段地表水监测水质差别不大，氨氮超标主要考虑农田退水汇入导致。</w:t>
      </w:r>
    </w:p>
    <w:p>
      <w:pPr>
        <w:pStyle w:val="10"/>
        <w:rPr>
          <w:rFonts w:ascii="Times New Roman" w:hAnsi="Times New Roman"/>
        </w:rPr>
      </w:pPr>
      <w:bookmarkStart w:id="543" w:name="_Toc464290381"/>
      <w:bookmarkStart w:id="544" w:name="_Toc407153503"/>
      <w:bookmarkStart w:id="545" w:name="_Toc420663691"/>
      <w:bookmarkStart w:id="546" w:name="_Toc406504221"/>
      <w:bookmarkStart w:id="547" w:name="_Toc407217369"/>
      <w:r>
        <w:rPr>
          <w:rFonts w:ascii="Times New Roman" w:hAnsi="Times New Roman"/>
        </w:rPr>
        <w:t>5.3.3 地表水环境影响分析</w:t>
      </w:r>
      <w:bookmarkEnd w:id="543"/>
      <w:bookmarkEnd w:id="544"/>
      <w:bookmarkEnd w:id="545"/>
      <w:bookmarkEnd w:id="546"/>
      <w:bookmarkEnd w:id="547"/>
    </w:p>
    <w:p>
      <w:pPr>
        <w:pStyle w:val="5"/>
      </w:pPr>
      <w:r>
        <w:t>5.3.3.1正常状态水环境影响调查</w:t>
      </w:r>
    </w:p>
    <w:p>
      <w:pPr>
        <w:pStyle w:val="107"/>
      </w:pPr>
      <w:r>
        <w:t xml:space="preserve">    正常状态下本项目选厂生活废水排入尾矿库，尾矿水返回选厂使用无外排。</w:t>
      </w:r>
    </w:p>
    <w:p>
      <w:pPr>
        <w:spacing w:line="360" w:lineRule="auto"/>
        <w:ind w:firstLine="480" w:firstLineChars="200"/>
        <w:rPr>
          <w:sz w:val="24"/>
        </w:rPr>
      </w:pPr>
      <w:bookmarkStart w:id="548" w:name="_Toc406504222"/>
      <w:bookmarkStart w:id="549" w:name="_Toc407217370"/>
      <w:bookmarkStart w:id="550" w:name="_Toc407153504"/>
      <w:bookmarkStart w:id="551" w:name="_Toc173284093"/>
      <w:bookmarkStart w:id="552" w:name="_Toc173147943"/>
      <w:r>
        <w:rPr>
          <w:sz w:val="24"/>
        </w:rPr>
        <w:t>根据本次验收调查结果，本项目矿山生产生活水源来自矿井涌水。根据本项目原采矿项目主竖井矿井涌水排放口监测结果，监测因子中氨氮不能满足《地表水环境质量标准》（GB3838-2002）Ⅲ类水质标准；</w:t>
      </w:r>
    </w:p>
    <w:p>
      <w:pPr>
        <w:spacing w:line="360" w:lineRule="auto"/>
        <w:ind w:firstLine="480" w:firstLineChars="200"/>
        <w:rPr>
          <w:sz w:val="24"/>
        </w:rPr>
      </w:pPr>
      <w:r>
        <w:rPr>
          <w:sz w:val="24"/>
        </w:rPr>
        <w:t>根据灵宝市环境监测站于2016年8月25日～8月27日对矿区区域麻家河及支流背景断面和监控断面监测结果，除氨氮外各监测断面各项监测指标均能满足《地表水环境质量标准》（GB3838-2002）Ⅲ类标准；</w:t>
      </w:r>
    </w:p>
    <w:p>
      <w:pPr>
        <w:spacing w:line="360" w:lineRule="auto"/>
        <w:ind w:firstLine="480" w:firstLineChars="200"/>
        <w:rPr>
          <w:sz w:val="24"/>
        </w:rPr>
      </w:pPr>
      <w:r>
        <w:rPr>
          <w:sz w:val="24"/>
        </w:rPr>
        <w:t>同时根据2016年8月25~26日灵宝市环境监测站对966中段南竖井疏干水水质监测结果，矿井涌水水质满足《地表水环境质量标准》（GB3838-2002）Ⅱ类水质标准，并无氨氮超标现象。</w:t>
      </w:r>
    </w:p>
    <w:p>
      <w:pPr>
        <w:spacing w:line="360" w:lineRule="auto"/>
        <w:ind w:firstLine="480" w:firstLineChars="200"/>
        <w:rPr>
          <w:sz w:val="24"/>
        </w:rPr>
      </w:pPr>
      <w:r>
        <w:rPr>
          <w:sz w:val="24"/>
        </w:rPr>
        <w:t>矿井涌水外排口水质与地表水麻家河水质相当，经调查分析，矿井涌水从地下排至地表经过2km排水隧洞排出，沿途矿井涌水混入地表径流水和农田退水导致氨氮超标。麻家河同样沿途接收了区域地表径流及生活废水导致氨氮超标。因此超标现象并非矿井涌水原水超标导致。</w:t>
      </w:r>
    </w:p>
    <w:p>
      <w:pPr>
        <w:spacing w:line="360" w:lineRule="auto"/>
        <w:ind w:firstLine="480" w:firstLineChars="200"/>
        <w:rPr>
          <w:sz w:val="24"/>
        </w:rPr>
      </w:pPr>
      <w:r>
        <w:rPr>
          <w:sz w:val="24"/>
        </w:rPr>
        <w:t>由此可知，本项目采取的各项废水防治措施可行，且效果较好，选矿废水及生活污水均不外排，节约水资源的同时避免了对地表水环境造成不良影响。</w:t>
      </w:r>
    </w:p>
    <w:p>
      <w:pPr>
        <w:pStyle w:val="5"/>
        <w:rPr>
          <w:rFonts w:ascii="Times New Roman" w:hAnsi="Times New Roman"/>
        </w:rPr>
      </w:pPr>
      <w:r>
        <w:rPr>
          <w:rFonts w:ascii="Times New Roman" w:hAnsi="Times New Roman"/>
        </w:rPr>
        <w:t>5.3.3.2事故状态下选厂废水影响调查</w:t>
      </w:r>
    </w:p>
    <w:p>
      <w:pPr>
        <w:pStyle w:val="26"/>
        <w:spacing w:line="360" w:lineRule="auto"/>
        <w:ind w:firstLine="482"/>
        <w:rPr>
          <w:rFonts w:ascii="Times New Roman" w:hAnsi="Times New Roman"/>
          <w:sz w:val="24"/>
          <w:lang w:val="zh-CN"/>
        </w:rPr>
      </w:pPr>
      <w:r>
        <w:rPr>
          <w:rFonts w:ascii="Times New Roman" w:hAnsi="Times New Roman"/>
          <w:bCs/>
          <w:sz w:val="24"/>
          <w:lang w:val="zh-CN"/>
        </w:rPr>
        <w:t>选矿系统矿浆为有价物料，</w:t>
      </w:r>
      <w:r>
        <w:rPr>
          <w:rFonts w:ascii="Times New Roman" w:hAnsi="Times New Roman"/>
          <w:bCs/>
          <w:sz w:val="24"/>
          <w:szCs w:val="24"/>
        </w:rPr>
        <w:t>为防止选厂发生生产事故时矿浆外泄，项目设有120m</w:t>
      </w:r>
      <w:r>
        <w:rPr>
          <w:rFonts w:ascii="Times New Roman" w:hAnsi="Times New Roman"/>
          <w:bCs/>
          <w:sz w:val="24"/>
          <w:szCs w:val="24"/>
          <w:vertAlign w:val="superscript"/>
        </w:rPr>
        <w:t>3</w:t>
      </w:r>
      <w:r>
        <w:rPr>
          <w:rFonts w:ascii="Times New Roman" w:hAnsi="Times New Roman"/>
          <w:bCs/>
          <w:sz w:val="24"/>
          <w:szCs w:val="24"/>
        </w:rPr>
        <w:t>事故池。</w:t>
      </w:r>
      <w:r>
        <w:rPr>
          <w:rFonts w:ascii="Times New Roman" w:hAnsi="Times New Roman"/>
          <w:sz w:val="24"/>
          <w:lang w:val="zh-CN"/>
        </w:rPr>
        <w:t>根据《选厂污染防控紧急措施设计导则》，其中明确指出：一个厂区按一处事故设防，即“同一时间内，厂区内只有一处发生事故”的原则设防。选厂发生事故时仅对事故设备进行检修，排空事故设备中的矿浆，其余设备中的矿浆均不外排，事故障碍排除后，各设备即可恢复生产。项目物料贮存最大设备为粗选浮选机组，最大容积为24</w:t>
      </w:r>
      <w:r>
        <w:rPr>
          <w:rFonts w:ascii="Times New Roman" w:hAnsi="Times New Roman"/>
          <w:bCs/>
          <w:sz w:val="24"/>
          <w:szCs w:val="24"/>
        </w:rPr>
        <w:t>m</w:t>
      </w:r>
      <w:r>
        <w:rPr>
          <w:rFonts w:ascii="Times New Roman" w:hAnsi="Times New Roman"/>
          <w:bCs/>
          <w:sz w:val="24"/>
          <w:szCs w:val="24"/>
          <w:vertAlign w:val="superscript"/>
        </w:rPr>
        <w:t>3</w:t>
      </w:r>
      <w:r>
        <w:rPr>
          <w:rFonts w:ascii="Times New Roman" w:hAnsi="Times New Roman"/>
          <w:bCs/>
          <w:sz w:val="24"/>
        </w:rPr>
        <w:t>。</w:t>
      </w:r>
      <w:r>
        <w:rPr>
          <w:rFonts w:ascii="Times New Roman" w:hAnsi="Times New Roman"/>
          <w:bCs/>
          <w:sz w:val="24"/>
          <w:szCs w:val="24"/>
        </w:rPr>
        <w:t>项目事故收集池容积</w:t>
      </w:r>
      <w:r>
        <w:rPr>
          <w:rFonts w:ascii="Times New Roman" w:hAnsi="Times New Roman"/>
          <w:bCs/>
          <w:sz w:val="24"/>
        </w:rPr>
        <w:t>能够满足事故矿浆排放要求，保障事故矿浆不外排。</w:t>
      </w:r>
    </w:p>
    <w:p>
      <w:pPr>
        <w:pStyle w:val="26"/>
        <w:spacing w:line="360" w:lineRule="auto"/>
        <w:ind w:firstLine="482"/>
        <w:rPr>
          <w:rFonts w:ascii="Times New Roman" w:hAnsi="Times New Roman"/>
          <w:bCs/>
          <w:sz w:val="24"/>
          <w:szCs w:val="24"/>
        </w:rPr>
      </w:pPr>
      <w:r>
        <w:rPr>
          <w:rFonts w:ascii="Times New Roman" w:hAnsi="Times New Roman"/>
          <w:bCs/>
          <w:sz w:val="24"/>
          <w:szCs w:val="24"/>
        </w:rPr>
        <w:t>综上，本项目选厂运营期事故状态产生的生活污水和生产废水均能得到有效处理，不外排。</w:t>
      </w:r>
    </w:p>
    <w:p>
      <w:pPr>
        <w:pStyle w:val="10"/>
        <w:spacing w:line="360" w:lineRule="auto"/>
        <w:rPr>
          <w:rFonts w:ascii="Times New Roman" w:hAnsi="Times New Roman"/>
        </w:rPr>
      </w:pPr>
      <w:bookmarkStart w:id="553" w:name="_Toc420663692"/>
      <w:r>
        <w:rPr>
          <w:rFonts w:ascii="Times New Roman" w:hAnsi="Times New Roman"/>
        </w:rPr>
        <w:t>5.3.4地下水环境影响分析</w:t>
      </w:r>
      <w:bookmarkEnd w:id="548"/>
      <w:bookmarkEnd w:id="549"/>
      <w:bookmarkEnd w:id="550"/>
      <w:bookmarkEnd w:id="553"/>
    </w:p>
    <w:p>
      <w:pPr>
        <w:pStyle w:val="68"/>
        <w:spacing w:line="360" w:lineRule="auto"/>
        <w:ind w:firstLine="480"/>
        <w:jc w:val="both"/>
        <w:rPr>
          <w:snapToGrid/>
          <w:kern w:val="2"/>
          <w:sz w:val="24"/>
          <w:szCs w:val="24"/>
        </w:rPr>
      </w:pPr>
      <w:r>
        <w:rPr>
          <w:snapToGrid/>
          <w:kern w:val="2"/>
          <w:sz w:val="24"/>
          <w:szCs w:val="24"/>
        </w:rPr>
        <w:t>灵宝市环境监测站2016年8月25~27日对美山村李家坡组饮用水和尾矿库上游斜井966中段通往南竖井探矿巷道疏干水的监测结果，地下水监测统计结果见表5.3-4</w:t>
      </w:r>
      <w:r>
        <w:rPr>
          <w:sz w:val="24"/>
        </w:rPr>
        <w:t>。</w:t>
      </w:r>
    </w:p>
    <w:p>
      <w:pPr>
        <w:ind w:firstLine="448" w:firstLineChars="200"/>
        <w:rPr>
          <w:rFonts w:eastAsia="黑体"/>
          <w:spacing w:val="2"/>
          <w:sz w:val="22"/>
          <w:szCs w:val="22"/>
        </w:rPr>
      </w:pPr>
      <w:r>
        <w:rPr>
          <w:rFonts w:eastAsia="黑体"/>
          <w:spacing w:val="2"/>
          <w:sz w:val="22"/>
          <w:szCs w:val="22"/>
        </w:rPr>
        <w:t>表5.3-4                地下水监测统计结果       单位：mg/L(pH除外)</w:t>
      </w:r>
    </w:p>
    <w:tbl>
      <w:tblPr>
        <w:tblStyle w:val="54"/>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1082"/>
        <w:gridCol w:w="916"/>
        <w:gridCol w:w="947"/>
        <w:gridCol w:w="1022"/>
        <w:gridCol w:w="1022"/>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2518" w:type="dxa"/>
            <w:gridSpan w:val="2"/>
            <w:tcBorders>
              <w:top w:val="single" w:color="auto" w:sz="12" w:space="0"/>
              <w:left w:val="single" w:color="auto" w:sz="12" w:space="0"/>
              <w:tl2br w:val="single" w:color="000000" w:sz="6" w:space="0"/>
            </w:tcBorders>
            <w:vAlign w:val="center"/>
          </w:tcPr>
          <w:p>
            <w:pPr>
              <w:ind w:firstLine="200" w:firstLineChars="100"/>
              <w:jc w:val="center"/>
              <w:rPr>
                <w:sz w:val="20"/>
                <w:szCs w:val="20"/>
              </w:rPr>
            </w:pPr>
            <w:r>
              <w:rPr>
                <w:sz w:val="20"/>
                <w:szCs w:val="20"/>
              </w:rPr>
              <w:t xml:space="preserve">     监测因子</w:t>
            </w:r>
          </w:p>
          <w:p>
            <w:pPr>
              <w:rPr>
                <w:sz w:val="20"/>
                <w:szCs w:val="20"/>
              </w:rPr>
            </w:pPr>
            <w:r>
              <w:rPr>
                <w:sz w:val="20"/>
                <w:szCs w:val="20"/>
              </w:rPr>
              <w:t>监测点</w:t>
            </w:r>
          </w:p>
        </w:tc>
        <w:tc>
          <w:tcPr>
            <w:tcW w:w="1082" w:type="dxa"/>
            <w:tcBorders>
              <w:top w:val="single" w:color="auto" w:sz="12" w:space="0"/>
            </w:tcBorders>
            <w:vAlign w:val="center"/>
          </w:tcPr>
          <w:p>
            <w:pPr>
              <w:jc w:val="center"/>
              <w:rPr>
                <w:sz w:val="20"/>
                <w:szCs w:val="20"/>
              </w:rPr>
            </w:pPr>
            <w:r>
              <w:rPr>
                <w:sz w:val="20"/>
                <w:szCs w:val="20"/>
              </w:rPr>
              <w:t>pH</w:t>
            </w:r>
          </w:p>
        </w:tc>
        <w:tc>
          <w:tcPr>
            <w:tcW w:w="916" w:type="dxa"/>
            <w:tcBorders>
              <w:top w:val="single" w:color="auto" w:sz="12" w:space="0"/>
            </w:tcBorders>
            <w:vAlign w:val="center"/>
          </w:tcPr>
          <w:p>
            <w:pPr>
              <w:jc w:val="center"/>
              <w:rPr>
                <w:sz w:val="20"/>
                <w:szCs w:val="20"/>
              </w:rPr>
            </w:pPr>
            <w:r>
              <w:rPr>
                <w:sz w:val="20"/>
                <w:szCs w:val="20"/>
              </w:rPr>
              <w:t>溶解性总固体</w:t>
            </w:r>
          </w:p>
        </w:tc>
        <w:tc>
          <w:tcPr>
            <w:tcW w:w="947" w:type="dxa"/>
            <w:tcBorders>
              <w:top w:val="single" w:color="auto" w:sz="12" w:space="0"/>
            </w:tcBorders>
            <w:vAlign w:val="center"/>
          </w:tcPr>
          <w:p>
            <w:pPr>
              <w:jc w:val="center"/>
              <w:rPr>
                <w:sz w:val="20"/>
                <w:szCs w:val="20"/>
              </w:rPr>
            </w:pPr>
            <w:r>
              <w:rPr>
                <w:sz w:val="20"/>
                <w:szCs w:val="20"/>
              </w:rPr>
              <w:t>总硬度</w:t>
            </w:r>
          </w:p>
        </w:tc>
        <w:tc>
          <w:tcPr>
            <w:tcW w:w="1022" w:type="dxa"/>
            <w:tcBorders>
              <w:top w:val="single" w:color="auto" w:sz="12" w:space="0"/>
            </w:tcBorders>
            <w:vAlign w:val="center"/>
          </w:tcPr>
          <w:p>
            <w:pPr>
              <w:jc w:val="center"/>
              <w:rPr>
                <w:sz w:val="20"/>
                <w:szCs w:val="20"/>
              </w:rPr>
            </w:pPr>
            <w:r>
              <w:rPr>
                <w:sz w:val="20"/>
                <w:szCs w:val="20"/>
              </w:rPr>
              <w:t>高锰酸盐指数</w:t>
            </w:r>
          </w:p>
        </w:tc>
        <w:tc>
          <w:tcPr>
            <w:tcW w:w="1022" w:type="dxa"/>
            <w:tcBorders>
              <w:top w:val="single" w:color="auto" w:sz="12" w:space="0"/>
            </w:tcBorders>
            <w:vAlign w:val="center"/>
          </w:tcPr>
          <w:p>
            <w:pPr>
              <w:jc w:val="center"/>
              <w:rPr>
                <w:sz w:val="20"/>
                <w:szCs w:val="20"/>
              </w:rPr>
            </w:pPr>
            <w:r>
              <w:rPr>
                <w:sz w:val="20"/>
                <w:szCs w:val="20"/>
              </w:rPr>
              <w:t>氟化物</w:t>
            </w:r>
          </w:p>
        </w:tc>
        <w:tc>
          <w:tcPr>
            <w:tcW w:w="1021" w:type="dxa"/>
            <w:tcBorders>
              <w:top w:val="single" w:color="auto" w:sz="12" w:space="0"/>
              <w:right w:val="single" w:color="auto" w:sz="12" w:space="0"/>
            </w:tcBorders>
            <w:vAlign w:val="center"/>
          </w:tcPr>
          <w:p>
            <w:pPr>
              <w:jc w:val="center"/>
              <w:rPr>
                <w:sz w:val="20"/>
                <w:szCs w:val="20"/>
              </w:rPr>
            </w:pPr>
            <w:r>
              <w:rPr>
                <w:sz w:val="20"/>
                <w:szCs w:val="20"/>
              </w:rPr>
              <w:t>六价铬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jc w:val="center"/>
        </w:trPr>
        <w:tc>
          <w:tcPr>
            <w:tcW w:w="1242" w:type="dxa"/>
            <w:vMerge w:val="restart"/>
            <w:tcBorders>
              <w:left w:val="single" w:color="auto" w:sz="12" w:space="0"/>
            </w:tcBorders>
            <w:vAlign w:val="center"/>
          </w:tcPr>
          <w:p>
            <w:pPr>
              <w:jc w:val="center"/>
              <w:rPr>
                <w:sz w:val="20"/>
                <w:szCs w:val="20"/>
              </w:rPr>
            </w:pPr>
            <w:r>
              <w:rPr>
                <w:sz w:val="20"/>
                <w:szCs w:val="20"/>
              </w:rPr>
              <w:t>美山村李家坡组饮用水</w:t>
            </w:r>
          </w:p>
        </w:tc>
        <w:tc>
          <w:tcPr>
            <w:tcW w:w="1276" w:type="dxa"/>
            <w:vAlign w:val="center"/>
          </w:tcPr>
          <w:p>
            <w:pPr>
              <w:jc w:val="center"/>
              <w:rPr>
                <w:sz w:val="20"/>
                <w:szCs w:val="20"/>
              </w:rPr>
            </w:pPr>
            <w:r>
              <w:rPr>
                <w:sz w:val="20"/>
                <w:szCs w:val="20"/>
              </w:rPr>
              <w:t>监测结果</w:t>
            </w:r>
          </w:p>
        </w:tc>
        <w:tc>
          <w:tcPr>
            <w:tcW w:w="1082" w:type="dxa"/>
            <w:vAlign w:val="center"/>
          </w:tcPr>
          <w:p>
            <w:pPr>
              <w:jc w:val="center"/>
              <w:rPr>
                <w:sz w:val="20"/>
                <w:szCs w:val="20"/>
              </w:rPr>
            </w:pPr>
            <w:r>
              <w:rPr>
                <w:sz w:val="20"/>
                <w:szCs w:val="20"/>
              </w:rPr>
              <w:t>6.75-6.88</w:t>
            </w:r>
          </w:p>
        </w:tc>
        <w:tc>
          <w:tcPr>
            <w:tcW w:w="916" w:type="dxa"/>
            <w:vAlign w:val="center"/>
          </w:tcPr>
          <w:p>
            <w:pPr>
              <w:jc w:val="center"/>
              <w:rPr>
                <w:sz w:val="20"/>
                <w:szCs w:val="20"/>
              </w:rPr>
            </w:pPr>
            <w:r>
              <w:rPr>
                <w:sz w:val="20"/>
                <w:szCs w:val="20"/>
              </w:rPr>
              <w:t>330-337</w:t>
            </w:r>
          </w:p>
        </w:tc>
        <w:tc>
          <w:tcPr>
            <w:tcW w:w="947" w:type="dxa"/>
            <w:vAlign w:val="center"/>
          </w:tcPr>
          <w:p>
            <w:pPr>
              <w:jc w:val="center"/>
              <w:rPr>
                <w:sz w:val="20"/>
                <w:szCs w:val="20"/>
              </w:rPr>
            </w:pPr>
            <w:r>
              <w:rPr>
                <w:sz w:val="20"/>
                <w:szCs w:val="20"/>
              </w:rPr>
              <w:t>212-216</w:t>
            </w:r>
          </w:p>
        </w:tc>
        <w:tc>
          <w:tcPr>
            <w:tcW w:w="1022" w:type="dxa"/>
            <w:vAlign w:val="center"/>
          </w:tcPr>
          <w:p>
            <w:pPr>
              <w:jc w:val="center"/>
              <w:rPr>
                <w:sz w:val="20"/>
                <w:szCs w:val="20"/>
              </w:rPr>
            </w:pPr>
            <w:r>
              <w:rPr>
                <w:sz w:val="20"/>
                <w:szCs w:val="20"/>
              </w:rPr>
              <w:t>0.8</w:t>
            </w:r>
          </w:p>
        </w:tc>
        <w:tc>
          <w:tcPr>
            <w:tcW w:w="1022" w:type="dxa"/>
            <w:vAlign w:val="center"/>
          </w:tcPr>
          <w:p>
            <w:pPr>
              <w:jc w:val="center"/>
              <w:rPr>
                <w:sz w:val="20"/>
                <w:szCs w:val="20"/>
              </w:rPr>
            </w:pPr>
            <w:r>
              <w:rPr>
                <w:sz w:val="20"/>
                <w:szCs w:val="20"/>
              </w:rPr>
              <w:t>0.38-0.41</w:t>
            </w:r>
          </w:p>
        </w:tc>
        <w:tc>
          <w:tcPr>
            <w:tcW w:w="1021" w:type="dxa"/>
            <w:tcBorders>
              <w:right w:val="single" w:color="auto" w:sz="12" w:space="0"/>
            </w:tcBorders>
            <w:vAlign w:val="center"/>
          </w:tcPr>
          <w:p>
            <w:pPr>
              <w:jc w:val="center"/>
              <w:rPr>
                <w:sz w:val="20"/>
                <w:szCs w:val="20"/>
              </w:rPr>
            </w:pPr>
            <w:r>
              <w:rPr>
                <w:sz w:val="20"/>
                <w:szCs w:val="20"/>
              </w:rPr>
              <w:t>未检出-0.005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242" w:type="dxa"/>
            <w:vMerge w:val="continue"/>
            <w:tcBorders>
              <w:left w:val="single" w:color="auto" w:sz="12" w:space="0"/>
            </w:tcBorders>
            <w:vAlign w:val="center"/>
          </w:tcPr>
          <w:p>
            <w:pPr>
              <w:jc w:val="center"/>
              <w:rPr>
                <w:sz w:val="20"/>
                <w:szCs w:val="20"/>
              </w:rPr>
            </w:pPr>
          </w:p>
        </w:tc>
        <w:tc>
          <w:tcPr>
            <w:tcW w:w="1276" w:type="dxa"/>
            <w:vAlign w:val="center"/>
          </w:tcPr>
          <w:p>
            <w:pPr>
              <w:jc w:val="center"/>
              <w:rPr>
                <w:sz w:val="20"/>
                <w:szCs w:val="20"/>
              </w:rPr>
            </w:pPr>
            <w:r>
              <w:rPr>
                <w:sz w:val="20"/>
                <w:szCs w:val="20"/>
              </w:rPr>
              <w:t>平均值</w:t>
            </w:r>
          </w:p>
        </w:tc>
        <w:tc>
          <w:tcPr>
            <w:tcW w:w="1082" w:type="dxa"/>
            <w:vAlign w:val="center"/>
          </w:tcPr>
          <w:p>
            <w:pPr>
              <w:jc w:val="center"/>
              <w:rPr>
                <w:sz w:val="20"/>
                <w:szCs w:val="20"/>
              </w:rPr>
            </w:pPr>
            <w:r>
              <w:rPr>
                <w:sz w:val="20"/>
                <w:szCs w:val="20"/>
              </w:rPr>
              <w:t>/</w:t>
            </w:r>
          </w:p>
        </w:tc>
        <w:tc>
          <w:tcPr>
            <w:tcW w:w="916" w:type="dxa"/>
            <w:vAlign w:val="center"/>
          </w:tcPr>
          <w:p>
            <w:pPr>
              <w:jc w:val="center"/>
              <w:rPr>
                <w:sz w:val="20"/>
                <w:szCs w:val="20"/>
              </w:rPr>
            </w:pPr>
            <w:r>
              <w:rPr>
                <w:sz w:val="20"/>
                <w:szCs w:val="20"/>
              </w:rPr>
              <w:t>333</w:t>
            </w:r>
          </w:p>
        </w:tc>
        <w:tc>
          <w:tcPr>
            <w:tcW w:w="947" w:type="dxa"/>
            <w:vAlign w:val="center"/>
          </w:tcPr>
          <w:p>
            <w:pPr>
              <w:jc w:val="center"/>
              <w:rPr>
                <w:sz w:val="20"/>
                <w:szCs w:val="20"/>
              </w:rPr>
            </w:pPr>
            <w:r>
              <w:rPr>
                <w:sz w:val="20"/>
                <w:szCs w:val="20"/>
              </w:rPr>
              <w:t>214</w:t>
            </w:r>
          </w:p>
        </w:tc>
        <w:tc>
          <w:tcPr>
            <w:tcW w:w="1022" w:type="dxa"/>
            <w:vAlign w:val="center"/>
          </w:tcPr>
          <w:p>
            <w:pPr>
              <w:jc w:val="center"/>
              <w:rPr>
                <w:sz w:val="20"/>
                <w:szCs w:val="20"/>
              </w:rPr>
            </w:pPr>
            <w:r>
              <w:rPr>
                <w:sz w:val="20"/>
                <w:szCs w:val="20"/>
              </w:rPr>
              <w:t>0.8</w:t>
            </w:r>
          </w:p>
        </w:tc>
        <w:tc>
          <w:tcPr>
            <w:tcW w:w="1022" w:type="dxa"/>
            <w:vAlign w:val="center"/>
          </w:tcPr>
          <w:p>
            <w:pPr>
              <w:jc w:val="center"/>
              <w:rPr>
                <w:sz w:val="20"/>
                <w:szCs w:val="20"/>
              </w:rPr>
            </w:pPr>
            <w:r>
              <w:rPr>
                <w:sz w:val="20"/>
                <w:szCs w:val="20"/>
              </w:rPr>
              <w:t>0.40</w:t>
            </w:r>
          </w:p>
        </w:tc>
        <w:tc>
          <w:tcPr>
            <w:tcW w:w="1021" w:type="dxa"/>
            <w:tcBorders>
              <w:right w:val="single" w:color="auto" w:sz="12" w:space="0"/>
            </w:tcBorders>
            <w:vAlign w:val="center"/>
          </w:tcPr>
          <w:p>
            <w:pPr>
              <w:jc w:val="center"/>
              <w:rPr>
                <w:sz w:val="20"/>
                <w:szCs w:val="20"/>
              </w:rPr>
            </w:pPr>
            <w:r>
              <w:rPr>
                <w:sz w:val="20"/>
                <w:szCs w:val="20"/>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242" w:type="dxa"/>
            <w:vMerge w:val="continue"/>
            <w:tcBorders>
              <w:left w:val="single" w:color="auto" w:sz="12" w:space="0"/>
            </w:tcBorders>
            <w:vAlign w:val="center"/>
          </w:tcPr>
          <w:p>
            <w:pPr>
              <w:jc w:val="center"/>
              <w:rPr>
                <w:spacing w:val="2"/>
                <w:sz w:val="20"/>
                <w:szCs w:val="20"/>
              </w:rPr>
            </w:pPr>
          </w:p>
        </w:tc>
        <w:tc>
          <w:tcPr>
            <w:tcW w:w="1276" w:type="dxa"/>
            <w:vAlign w:val="center"/>
          </w:tcPr>
          <w:p>
            <w:pPr>
              <w:jc w:val="center"/>
              <w:rPr>
                <w:sz w:val="20"/>
                <w:szCs w:val="20"/>
              </w:rPr>
            </w:pPr>
            <w:r>
              <w:rPr>
                <w:sz w:val="20"/>
                <w:szCs w:val="20"/>
              </w:rPr>
              <w:t>标准</w:t>
            </w:r>
          </w:p>
        </w:tc>
        <w:tc>
          <w:tcPr>
            <w:tcW w:w="1082" w:type="dxa"/>
            <w:vAlign w:val="center"/>
          </w:tcPr>
          <w:p>
            <w:pPr>
              <w:jc w:val="center"/>
              <w:rPr>
                <w:sz w:val="20"/>
                <w:szCs w:val="20"/>
              </w:rPr>
            </w:pPr>
            <w:r>
              <w:rPr>
                <w:sz w:val="20"/>
                <w:szCs w:val="20"/>
              </w:rPr>
              <w:t>6.5~8.5</w:t>
            </w:r>
          </w:p>
        </w:tc>
        <w:tc>
          <w:tcPr>
            <w:tcW w:w="916" w:type="dxa"/>
            <w:vAlign w:val="center"/>
          </w:tcPr>
          <w:p>
            <w:pPr>
              <w:jc w:val="center"/>
              <w:rPr>
                <w:sz w:val="20"/>
                <w:szCs w:val="20"/>
              </w:rPr>
            </w:pPr>
            <w:r>
              <w:rPr>
                <w:sz w:val="20"/>
                <w:szCs w:val="20"/>
              </w:rPr>
              <w:t>≤1000</w:t>
            </w:r>
          </w:p>
        </w:tc>
        <w:tc>
          <w:tcPr>
            <w:tcW w:w="947" w:type="dxa"/>
            <w:vAlign w:val="center"/>
          </w:tcPr>
          <w:p>
            <w:pPr>
              <w:jc w:val="center"/>
              <w:rPr>
                <w:sz w:val="20"/>
                <w:szCs w:val="20"/>
              </w:rPr>
            </w:pPr>
            <w:r>
              <w:rPr>
                <w:sz w:val="20"/>
                <w:szCs w:val="20"/>
              </w:rPr>
              <w:t>≤450</w:t>
            </w:r>
          </w:p>
        </w:tc>
        <w:tc>
          <w:tcPr>
            <w:tcW w:w="1022" w:type="dxa"/>
            <w:vAlign w:val="center"/>
          </w:tcPr>
          <w:p>
            <w:pPr>
              <w:jc w:val="center"/>
              <w:rPr>
                <w:sz w:val="20"/>
                <w:szCs w:val="20"/>
              </w:rPr>
            </w:pPr>
            <w:r>
              <w:rPr>
                <w:sz w:val="20"/>
                <w:szCs w:val="20"/>
              </w:rPr>
              <w:t>≤3.0</w:t>
            </w:r>
          </w:p>
        </w:tc>
        <w:tc>
          <w:tcPr>
            <w:tcW w:w="1022" w:type="dxa"/>
            <w:vAlign w:val="center"/>
          </w:tcPr>
          <w:p>
            <w:pPr>
              <w:jc w:val="center"/>
              <w:rPr>
                <w:sz w:val="20"/>
                <w:szCs w:val="20"/>
              </w:rPr>
            </w:pPr>
            <w:r>
              <w:rPr>
                <w:sz w:val="20"/>
                <w:szCs w:val="20"/>
              </w:rPr>
              <w:t>≤1.0</w:t>
            </w:r>
          </w:p>
        </w:tc>
        <w:tc>
          <w:tcPr>
            <w:tcW w:w="1021" w:type="dxa"/>
            <w:tcBorders>
              <w:right w:val="single" w:color="auto" w:sz="12" w:space="0"/>
            </w:tcBorders>
            <w:vAlign w:val="center"/>
          </w:tcPr>
          <w:p>
            <w:pPr>
              <w:jc w:val="center"/>
              <w:rPr>
                <w:sz w:val="20"/>
                <w:szCs w:val="20"/>
              </w:rPr>
            </w:pPr>
            <w:r>
              <w:rPr>
                <w:sz w:val="20"/>
                <w:szCs w:val="20"/>
              </w:rPr>
              <w:t xml:space="preserve">≤250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242" w:type="dxa"/>
            <w:vMerge w:val="continue"/>
            <w:tcBorders>
              <w:left w:val="single" w:color="auto" w:sz="12" w:space="0"/>
            </w:tcBorders>
            <w:vAlign w:val="center"/>
          </w:tcPr>
          <w:p>
            <w:pPr>
              <w:jc w:val="center"/>
              <w:rPr>
                <w:spacing w:val="2"/>
                <w:sz w:val="20"/>
                <w:szCs w:val="20"/>
              </w:rPr>
            </w:pPr>
          </w:p>
        </w:tc>
        <w:tc>
          <w:tcPr>
            <w:tcW w:w="1276" w:type="dxa"/>
            <w:vAlign w:val="center"/>
          </w:tcPr>
          <w:p>
            <w:pPr>
              <w:jc w:val="center"/>
              <w:rPr>
                <w:sz w:val="20"/>
                <w:szCs w:val="20"/>
              </w:rPr>
            </w:pPr>
            <w:r>
              <w:rPr>
                <w:sz w:val="20"/>
                <w:szCs w:val="20"/>
              </w:rPr>
              <w:t>超标倍数</w:t>
            </w:r>
          </w:p>
        </w:tc>
        <w:tc>
          <w:tcPr>
            <w:tcW w:w="1082" w:type="dxa"/>
            <w:vAlign w:val="center"/>
          </w:tcPr>
          <w:p>
            <w:pPr>
              <w:jc w:val="center"/>
              <w:rPr>
                <w:sz w:val="20"/>
                <w:szCs w:val="20"/>
              </w:rPr>
            </w:pPr>
            <w:r>
              <w:rPr>
                <w:sz w:val="20"/>
                <w:szCs w:val="20"/>
              </w:rPr>
              <w:t>0</w:t>
            </w:r>
          </w:p>
        </w:tc>
        <w:tc>
          <w:tcPr>
            <w:tcW w:w="916" w:type="dxa"/>
            <w:vAlign w:val="center"/>
          </w:tcPr>
          <w:p>
            <w:pPr>
              <w:jc w:val="center"/>
              <w:rPr>
                <w:sz w:val="20"/>
                <w:szCs w:val="20"/>
              </w:rPr>
            </w:pPr>
            <w:r>
              <w:rPr>
                <w:sz w:val="20"/>
                <w:szCs w:val="20"/>
              </w:rPr>
              <w:t>0</w:t>
            </w:r>
          </w:p>
        </w:tc>
        <w:tc>
          <w:tcPr>
            <w:tcW w:w="947" w:type="dxa"/>
            <w:vAlign w:val="center"/>
          </w:tcPr>
          <w:p>
            <w:pPr>
              <w:jc w:val="center"/>
              <w:rPr>
                <w:sz w:val="20"/>
                <w:szCs w:val="20"/>
              </w:rPr>
            </w:pPr>
            <w:r>
              <w:rPr>
                <w:sz w:val="20"/>
                <w:szCs w:val="20"/>
              </w:rPr>
              <w:t>0</w:t>
            </w:r>
          </w:p>
        </w:tc>
        <w:tc>
          <w:tcPr>
            <w:tcW w:w="1022" w:type="dxa"/>
            <w:vAlign w:val="center"/>
          </w:tcPr>
          <w:p>
            <w:pPr>
              <w:jc w:val="center"/>
              <w:rPr>
                <w:sz w:val="20"/>
                <w:szCs w:val="20"/>
              </w:rPr>
            </w:pPr>
            <w:r>
              <w:rPr>
                <w:sz w:val="20"/>
                <w:szCs w:val="20"/>
              </w:rPr>
              <w:t>0</w:t>
            </w:r>
          </w:p>
        </w:tc>
        <w:tc>
          <w:tcPr>
            <w:tcW w:w="1022" w:type="dxa"/>
            <w:vAlign w:val="center"/>
          </w:tcPr>
          <w:p>
            <w:pPr>
              <w:jc w:val="center"/>
              <w:rPr>
                <w:sz w:val="20"/>
                <w:szCs w:val="20"/>
              </w:rPr>
            </w:pPr>
            <w:r>
              <w:rPr>
                <w:sz w:val="20"/>
                <w:szCs w:val="20"/>
              </w:rPr>
              <w:t>0</w:t>
            </w:r>
          </w:p>
        </w:tc>
        <w:tc>
          <w:tcPr>
            <w:tcW w:w="1021" w:type="dxa"/>
            <w:tcBorders>
              <w:right w:val="single" w:color="auto" w:sz="12" w:space="0"/>
            </w:tcBorders>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242" w:type="dxa"/>
            <w:vMerge w:val="restart"/>
            <w:tcBorders>
              <w:left w:val="single" w:color="auto" w:sz="12" w:space="0"/>
            </w:tcBorders>
            <w:vAlign w:val="center"/>
          </w:tcPr>
          <w:p>
            <w:pPr>
              <w:jc w:val="center"/>
              <w:rPr>
                <w:spacing w:val="2"/>
                <w:sz w:val="20"/>
                <w:szCs w:val="20"/>
              </w:rPr>
            </w:pPr>
            <w:r>
              <w:rPr>
                <w:sz w:val="20"/>
                <w:szCs w:val="20"/>
              </w:rPr>
              <w:t>966中段南竖井疏干水</w:t>
            </w:r>
          </w:p>
        </w:tc>
        <w:tc>
          <w:tcPr>
            <w:tcW w:w="1276" w:type="dxa"/>
            <w:vAlign w:val="center"/>
          </w:tcPr>
          <w:p>
            <w:pPr>
              <w:jc w:val="center"/>
              <w:rPr>
                <w:sz w:val="20"/>
                <w:szCs w:val="20"/>
              </w:rPr>
            </w:pPr>
            <w:r>
              <w:rPr>
                <w:sz w:val="20"/>
                <w:szCs w:val="20"/>
              </w:rPr>
              <w:t>监测结果</w:t>
            </w:r>
          </w:p>
        </w:tc>
        <w:tc>
          <w:tcPr>
            <w:tcW w:w="1082" w:type="dxa"/>
            <w:vAlign w:val="center"/>
          </w:tcPr>
          <w:p>
            <w:pPr>
              <w:jc w:val="center"/>
              <w:rPr>
                <w:sz w:val="20"/>
                <w:szCs w:val="20"/>
              </w:rPr>
            </w:pPr>
            <w:r>
              <w:rPr>
                <w:sz w:val="20"/>
                <w:szCs w:val="20"/>
              </w:rPr>
              <w:t>6.93-7.12</w:t>
            </w:r>
          </w:p>
        </w:tc>
        <w:tc>
          <w:tcPr>
            <w:tcW w:w="916" w:type="dxa"/>
            <w:vAlign w:val="center"/>
          </w:tcPr>
          <w:p>
            <w:pPr>
              <w:jc w:val="center"/>
              <w:rPr>
                <w:sz w:val="20"/>
                <w:szCs w:val="20"/>
              </w:rPr>
            </w:pPr>
            <w:r>
              <w:rPr>
                <w:sz w:val="20"/>
                <w:szCs w:val="20"/>
              </w:rPr>
              <w:t>323-328</w:t>
            </w:r>
          </w:p>
        </w:tc>
        <w:tc>
          <w:tcPr>
            <w:tcW w:w="947" w:type="dxa"/>
            <w:vAlign w:val="center"/>
          </w:tcPr>
          <w:p>
            <w:pPr>
              <w:jc w:val="center"/>
              <w:rPr>
                <w:sz w:val="20"/>
                <w:szCs w:val="20"/>
              </w:rPr>
            </w:pPr>
            <w:r>
              <w:rPr>
                <w:sz w:val="20"/>
                <w:szCs w:val="20"/>
              </w:rPr>
              <w:t>212-214</w:t>
            </w:r>
          </w:p>
        </w:tc>
        <w:tc>
          <w:tcPr>
            <w:tcW w:w="1022" w:type="dxa"/>
            <w:vAlign w:val="center"/>
          </w:tcPr>
          <w:p>
            <w:pPr>
              <w:jc w:val="center"/>
              <w:rPr>
                <w:sz w:val="20"/>
                <w:szCs w:val="20"/>
              </w:rPr>
            </w:pPr>
            <w:r>
              <w:rPr>
                <w:sz w:val="20"/>
                <w:szCs w:val="20"/>
              </w:rPr>
              <w:t>0.9-1.0</w:t>
            </w:r>
          </w:p>
        </w:tc>
        <w:tc>
          <w:tcPr>
            <w:tcW w:w="1022" w:type="dxa"/>
            <w:vAlign w:val="center"/>
          </w:tcPr>
          <w:p>
            <w:pPr>
              <w:jc w:val="center"/>
              <w:rPr>
                <w:sz w:val="20"/>
                <w:szCs w:val="20"/>
              </w:rPr>
            </w:pPr>
            <w:r>
              <w:rPr>
                <w:sz w:val="20"/>
                <w:szCs w:val="20"/>
              </w:rPr>
              <w:t>0.41-0.44</w:t>
            </w:r>
          </w:p>
        </w:tc>
        <w:tc>
          <w:tcPr>
            <w:tcW w:w="1021" w:type="dxa"/>
            <w:tcBorders>
              <w:right w:val="single" w:color="auto" w:sz="12" w:space="0"/>
            </w:tcBorders>
            <w:vAlign w:val="center"/>
          </w:tcPr>
          <w:p>
            <w:pPr>
              <w:jc w:val="center"/>
              <w:rPr>
                <w:sz w:val="20"/>
                <w:szCs w:val="20"/>
              </w:rPr>
            </w:pPr>
            <w:r>
              <w:rPr>
                <w:sz w:val="20"/>
                <w:szCs w:val="20"/>
              </w:rPr>
              <w:t>未检出0.004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242" w:type="dxa"/>
            <w:vMerge w:val="continue"/>
            <w:tcBorders>
              <w:left w:val="single" w:color="auto" w:sz="12" w:space="0"/>
            </w:tcBorders>
            <w:vAlign w:val="center"/>
          </w:tcPr>
          <w:p>
            <w:pPr>
              <w:jc w:val="center"/>
              <w:rPr>
                <w:spacing w:val="2"/>
                <w:sz w:val="20"/>
                <w:szCs w:val="20"/>
              </w:rPr>
            </w:pPr>
          </w:p>
        </w:tc>
        <w:tc>
          <w:tcPr>
            <w:tcW w:w="1276" w:type="dxa"/>
            <w:vAlign w:val="center"/>
          </w:tcPr>
          <w:p>
            <w:pPr>
              <w:jc w:val="center"/>
              <w:rPr>
                <w:sz w:val="20"/>
                <w:szCs w:val="20"/>
              </w:rPr>
            </w:pPr>
            <w:r>
              <w:rPr>
                <w:sz w:val="20"/>
                <w:szCs w:val="20"/>
              </w:rPr>
              <w:t>平均值</w:t>
            </w:r>
          </w:p>
        </w:tc>
        <w:tc>
          <w:tcPr>
            <w:tcW w:w="1082" w:type="dxa"/>
            <w:vAlign w:val="center"/>
          </w:tcPr>
          <w:p>
            <w:pPr>
              <w:jc w:val="center"/>
              <w:rPr>
                <w:sz w:val="20"/>
                <w:szCs w:val="20"/>
              </w:rPr>
            </w:pPr>
            <w:r>
              <w:rPr>
                <w:sz w:val="20"/>
                <w:szCs w:val="20"/>
              </w:rPr>
              <w:t>/</w:t>
            </w:r>
          </w:p>
        </w:tc>
        <w:tc>
          <w:tcPr>
            <w:tcW w:w="916" w:type="dxa"/>
            <w:vAlign w:val="center"/>
          </w:tcPr>
          <w:p>
            <w:pPr>
              <w:jc w:val="center"/>
              <w:rPr>
                <w:sz w:val="20"/>
                <w:szCs w:val="20"/>
              </w:rPr>
            </w:pPr>
            <w:r>
              <w:rPr>
                <w:sz w:val="20"/>
                <w:szCs w:val="20"/>
              </w:rPr>
              <w:t>325</w:t>
            </w:r>
          </w:p>
        </w:tc>
        <w:tc>
          <w:tcPr>
            <w:tcW w:w="947" w:type="dxa"/>
            <w:vAlign w:val="center"/>
          </w:tcPr>
          <w:p>
            <w:pPr>
              <w:jc w:val="center"/>
              <w:rPr>
                <w:sz w:val="20"/>
                <w:szCs w:val="20"/>
              </w:rPr>
            </w:pPr>
            <w:r>
              <w:rPr>
                <w:sz w:val="20"/>
                <w:szCs w:val="20"/>
              </w:rPr>
              <w:t>213</w:t>
            </w:r>
          </w:p>
        </w:tc>
        <w:tc>
          <w:tcPr>
            <w:tcW w:w="1022" w:type="dxa"/>
            <w:vAlign w:val="center"/>
          </w:tcPr>
          <w:p>
            <w:pPr>
              <w:jc w:val="center"/>
              <w:rPr>
                <w:sz w:val="20"/>
                <w:szCs w:val="20"/>
              </w:rPr>
            </w:pPr>
            <w:r>
              <w:rPr>
                <w:sz w:val="20"/>
                <w:szCs w:val="20"/>
              </w:rPr>
              <w:t>0.9</w:t>
            </w:r>
          </w:p>
        </w:tc>
        <w:tc>
          <w:tcPr>
            <w:tcW w:w="1022" w:type="dxa"/>
            <w:vAlign w:val="center"/>
          </w:tcPr>
          <w:p>
            <w:pPr>
              <w:jc w:val="center"/>
              <w:rPr>
                <w:sz w:val="20"/>
                <w:szCs w:val="20"/>
              </w:rPr>
            </w:pPr>
            <w:r>
              <w:rPr>
                <w:sz w:val="20"/>
                <w:szCs w:val="20"/>
              </w:rPr>
              <w:t>0.42</w:t>
            </w:r>
          </w:p>
        </w:tc>
        <w:tc>
          <w:tcPr>
            <w:tcW w:w="1021" w:type="dxa"/>
            <w:tcBorders>
              <w:right w:val="single" w:color="auto" w:sz="12" w:space="0"/>
            </w:tcBorders>
            <w:vAlign w:val="center"/>
          </w:tcPr>
          <w:p>
            <w:pPr>
              <w:jc w:val="center"/>
              <w:rPr>
                <w:sz w:val="20"/>
                <w:szCs w:val="20"/>
              </w:rPr>
            </w:pPr>
            <w:r>
              <w:rPr>
                <w:sz w:val="20"/>
                <w:szCs w:val="20"/>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242" w:type="dxa"/>
            <w:vMerge w:val="continue"/>
            <w:tcBorders>
              <w:left w:val="single" w:color="auto" w:sz="12" w:space="0"/>
            </w:tcBorders>
            <w:vAlign w:val="center"/>
          </w:tcPr>
          <w:p>
            <w:pPr>
              <w:jc w:val="center"/>
              <w:rPr>
                <w:spacing w:val="2"/>
                <w:sz w:val="20"/>
                <w:szCs w:val="20"/>
              </w:rPr>
            </w:pPr>
          </w:p>
        </w:tc>
        <w:tc>
          <w:tcPr>
            <w:tcW w:w="1276" w:type="dxa"/>
            <w:vAlign w:val="center"/>
          </w:tcPr>
          <w:p>
            <w:pPr>
              <w:jc w:val="center"/>
              <w:rPr>
                <w:sz w:val="20"/>
                <w:szCs w:val="20"/>
              </w:rPr>
            </w:pPr>
            <w:r>
              <w:rPr>
                <w:sz w:val="20"/>
                <w:szCs w:val="20"/>
              </w:rPr>
              <w:t>标准</w:t>
            </w:r>
          </w:p>
        </w:tc>
        <w:tc>
          <w:tcPr>
            <w:tcW w:w="1082" w:type="dxa"/>
            <w:vAlign w:val="center"/>
          </w:tcPr>
          <w:p>
            <w:pPr>
              <w:jc w:val="center"/>
              <w:rPr>
                <w:sz w:val="20"/>
                <w:szCs w:val="20"/>
              </w:rPr>
            </w:pPr>
            <w:r>
              <w:rPr>
                <w:sz w:val="20"/>
                <w:szCs w:val="20"/>
              </w:rPr>
              <w:t>6.5~8.5</w:t>
            </w:r>
          </w:p>
        </w:tc>
        <w:tc>
          <w:tcPr>
            <w:tcW w:w="916" w:type="dxa"/>
            <w:vAlign w:val="center"/>
          </w:tcPr>
          <w:p>
            <w:pPr>
              <w:jc w:val="center"/>
              <w:rPr>
                <w:sz w:val="20"/>
                <w:szCs w:val="20"/>
              </w:rPr>
            </w:pPr>
            <w:r>
              <w:rPr>
                <w:sz w:val="20"/>
                <w:szCs w:val="20"/>
              </w:rPr>
              <w:t>≤450</w:t>
            </w:r>
          </w:p>
        </w:tc>
        <w:tc>
          <w:tcPr>
            <w:tcW w:w="947" w:type="dxa"/>
            <w:vAlign w:val="center"/>
          </w:tcPr>
          <w:p>
            <w:pPr>
              <w:jc w:val="center"/>
              <w:rPr>
                <w:sz w:val="20"/>
                <w:szCs w:val="20"/>
              </w:rPr>
            </w:pPr>
            <w:r>
              <w:rPr>
                <w:sz w:val="20"/>
                <w:szCs w:val="20"/>
              </w:rPr>
              <w:t>≤1000</w:t>
            </w:r>
          </w:p>
        </w:tc>
        <w:tc>
          <w:tcPr>
            <w:tcW w:w="1022" w:type="dxa"/>
            <w:vAlign w:val="center"/>
          </w:tcPr>
          <w:p>
            <w:pPr>
              <w:jc w:val="center"/>
              <w:rPr>
                <w:sz w:val="20"/>
                <w:szCs w:val="20"/>
              </w:rPr>
            </w:pPr>
            <w:r>
              <w:rPr>
                <w:sz w:val="20"/>
                <w:szCs w:val="20"/>
              </w:rPr>
              <w:t>≤3.0</w:t>
            </w:r>
          </w:p>
        </w:tc>
        <w:tc>
          <w:tcPr>
            <w:tcW w:w="1022" w:type="dxa"/>
            <w:vAlign w:val="center"/>
          </w:tcPr>
          <w:p>
            <w:pPr>
              <w:jc w:val="center"/>
              <w:rPr>
                <w:sz w:val="20"/>
                <w:szCs w:val="20"/>
              </w:rPr>
            </w:pPr>
            <w:r>
              <w:rPr>
                <w:sz w:val="20"/>
                <w:szCs w:val="20"/>
              </w:rPr>
              <w:t>≤1.0</w:t>
            </w:r>
          </w:p>
        </w:tc>
        <w:tc>
          <w:tcPr>
            <w:tcW w:w="1021" w:type="dxa"/>
            <w:tcBorders>
              <w:right w:val="single" w:color="auto" w:sz="12" w:space="0"/>
            </w:tcBorders>
            <w:vAlign w:val="center"/>
          </w:tcPr>
          <w:p>
            <w:pPr>
              <w:jc w:val="center"/>
              <w:rPr>
                <w:sz w:val="20"/>
                <w:szCs w:val="20"/>
              </w:rPr>
            </w:pPr>
            <w:r>
              <w:rPr>
                <w:sz w:val="20"/>
                <w:szCs w:val="20"/>
              </w:rPr>
              <w:t xml:space="preserve">≤250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242" w:type="dxa"/>
            <w:vMerge w:val="continue"/>
            <w:tcBorders>
              <w:left w:val="single" w:color="auto" w:sz="12" w:space="0"/>
            </w:tcBorders>
            <w:vAlign w:val="center"/>
          </w:tcPr>
          <w:p>
            <w:pPr>
              <w:jc w:val="center"/>
              <w:rPr>
                <w:spacing w:val="2"/>
                <w:sz w:val="20"/>
                <w:szCs w:val="20"/>
              </w:rPr>
            </w:pPr>
          </w:p>
        </w:tc>
        <w:tc>
          <w:tcPr>
            <w:tcW w:w="1276" w:type="dxa"/>
            <w:vAlign w:val="center"/>
          </w:tcPr>
          <w:p>
            <w:pPr>
              <w:jc w:val="center"/>
              <w:rPr>
                <w:sz w:val="20"/>
                <w:szCs w:val="20"/>
              </w:rPr>
            </w:pPr>
            <w:r>
              <w:rPr>
                <w:sz w:val="20"/>
                <w:szCs w:val="20"/>
              </w:rPr>
              <w:t>超标倍数</w:t>
            </w:r>
          </w:p>
        </w:tc>
        <w:tc>
          <w:tcPr>
            <w:tcW w:w="1082" w:type="dxa"/>
            <w:vAlign w:val="center"/>
          </w:tcPr>
          <w:p>
            <w:pPr>
              <w:jc w:val="center"/>
              <w:rPr>
                <w:sz w:val="20"/>
                <w:szCs w:val="20"/>
              </w:rPr>
            </w:pPr>
            <w:r>
              <w:rPr>
                <w:sz w:val="20"/>
                <w:szCs w:val="20"/>
              </w:rPr>
              <w:t>0</w:t>
            </w:r>
          </w:p>
        </w:tc>
        <w:tc>
          <w:tcPr>
            <w:tcW w:w="916" w:type="dxa"/>
            <w:vAlign w:val="center"/>
          </w:tcPr>
          <w:p>
            <w:pPr>
              <w:jc w:val="center"/>
              <w:rPr>
                <w:sz w:val="20"/>
                <w:szCs w:val="20"/>
              </w:rPr>
            </w:pPr>
            <w:r>
              <w:rPr>
                <w:sz w:val="20"/>
                <w:szCs w:val="20"/>
              </w:rPr>
              <w:t>0</w:t>
            </w:r>
          </w:p>
        </w:tc>
        <w:tc>
          <w:tcPr>
            <w:tcW w:w="947" w:type="dxa"/>
            <w:vAlign w:val="center"/>
          </w:tcPr>
          <w:p>
            <w:pPr>
              <w:jc w:val="center"/>
              <w:rPr>
                <w:sz w:val="20"/>
                <w:szCs w:val="20"/>
              </w:rPr>
            </w:pPr>
            <w:r>
              <w:rPr>
                <w:sz w:val="20"/>
                <w:szCs w:val="20"/>
              </w:rPr>
              <w:t>0</w:t>
            </w:r>
          </w:p>
        </w:tc>
        <w:tc>
          <w:tcPr>
            <w:tcW w:w="1022" w:type="dxa"/>
            <w:vAlign w:val="center"/>
          </w:tcPr>
          <w:p>
            <w:pPr>
              <w:jc w:val="center"/>
              <w:rPr>
                <w:sz w:val="20"/>
                <w:szCs w:val="20"/>
              </w:rPr>
            </w:pPr>
            <w:r>
              <w:rPr>
                <w:sz w:val="20"/>
                <w:szCs w:val="20"/>
              </w:rPr>
              <w:t>0</w:t>
            </w:r>
          </w:p>
        </w:tc>
        <w:tc>
          <w:tcPr>
            <w:tcW w:w="1022" w:type="dxa"/>
            <w:vAlign w:val="center"/>
          </w:tcPr>
          <w:p>
            <w:pPr>
              <w:jc w:val="center"/>
              <w:rPr>
                <w:sz w:val="20"/>
                <w:szCs w:val="20"/>
              </w:rPr>
            </w:pPr>
            <w:r>
              <w:rPr>
                <w:sz w:val="20"/>
                <w:szCs w:val="20"/>
              </w:rPr>
              <w:t>0</w:t>
            </w:r>
          </w:p>
        </w:tc>
        <w:tc>
          <w:tcPr>
            <w:tcW w:w="1021" w:type="dxa"/>
            <w:tcBorders>
              <w:right w:val="single" w:color="auto" w:sz="12" w:space="0"/>
            </w:tcBorders>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1242" w:type="dxa"/>
            <w:tcBorders>
              <w:left w:val="single" w:color="auto" w:sz="12" w:space="0"/>
              <w:bottom w:val="single" w:color="auto" w:sz="12" w:space="0"/>
            </w:tcBorders>
            <w:vAlign w:val="center"/>
          </w:tcPr>
          <w:p>
            <w:pPr>
              <w:jc w:val="center"/>
              <w:rPr>
                <w:spacing w:val="2"/>
                <w:sz w:val="20"/>
                <w:szCs w:val="20"/>
              </w:rPr>
            </w:pPr>
            <w:r>
              <w:rPr>
                <w:sz w:val="20"/>
                <w:szCs w:val="20"/>
              </w:rPr>
              <w:t>备注</w:t>
            </w:r>
          </w:p>
        </w:tc>
        <w:tc>
          <w:tcPr>
            <w:tcW w:w="7286" w:type="dxa"/>
            <w:gridSpan w:val="7"/>
            <w:tcBorders>
              <w:bottom w:val="single" w:color="auto" w:sz="12" w:space="0"/>
              <w:right w:val="single" w:color="auto" w:sz="12" w:space="0"/>
            </w:tcBorders>
            <w:vAlign w:val="center"/>
          </w:tcPr>
          <w:p>
            <w:pPr>
              <w:jc w:val="center"/>
              <w:rPr>
                <w:sz w:val="20"/>
                <w:szCs w:val="20"/>
              </w:rPr>
            </w:pPr>
            <w:r>
              <w:rPr>
                <w:sz w:val="20"/>
                <w:szCs w:val="20"/>
              </w:rPr>
              <w:t>氨氮、硫化物、氰化物、铜、镉、石油类、铅、锌、汞、砷、铁均未检出</w:t>
            </w:r>
          </w:p>
        </w:tc>
      </w:tr>
    </w:tbl>
    <w:p>
      <w:pPr>
        <w:spacing w:beforeLines="50" w:line="360" w:lineRule="auto"/>
        <w:ind w:firstLine="482" w:firstLineChars="200"/>
        <w:rPr>
          <w:b/>
          <w:sz w:val="24"/>
        </w:rPr>
      </w:pPr>
    </w:p>
    <w:p>
      <w:pPr>
        <w:spacing w:beforeLines="50" w:line="360" w:lineRule="auto"/>
        <w:ind w:firstLine="482" w:firstLineChars="200"/>
        <w:rPr>
          <w:b/>
          <w:sz w:val="24"/>
          <w:u w:val="single"/>
        </w:rPr>
      </w:pPr>
      <w:r>
        <w:rPr>
          <w:rFonts w:hint="eastAsia"/>
          <w:b/>
          <w:sz w:val="24"/>
          <w:u w:val="single"/>
        </w:rPr>
        <w:t>环境影响评价期间地下水环境质量现状监测结果见表5.3-5。</w:t>
      </w:r>
    </w:p>
    <w:p>
      <w:pPr>
        <w:ind w:firstLine="442" w:firstLineChars="200"/>
        <w:rPr>
          <w:rFonts w:ascii="黑体" w:hAnsi="黑体" w:eastAsia="黑体"/>
          <w:b/>
          <w:sz w:val="22"/>
          <w:szCs w:val="22"/>
        </w:rPr>
      </w:pPr>
      <w:r>
        <w:rPr>
          <w:rFonts w:hint="eastAsia" w:ascii="黑体" w:hAnsi="黑体" w:eastAsia="黑体"/>
          <w:b/>
          <w:sz w:val="22"/>
          <w:szCs w:val="22"/>
        </w:rPr>
        <w:t>表5.3-5   环境影响评价期间地下水环境质量现状监测结果统计</w:t>
      </w:r>
    </w:p>
    <w:tbl>
      <w:tblPr>
        <w:tblStyle w:val="54"/>
        <w:tblW w:w="9000" w:type="dxa"/>
        <w:tblInd w:w="-25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1"/>
        <w:gridCol w:w="943"/>
        <w:gridCol w:w="916"/>
        <w:gridCol w:w="916"/>
        <w:gridCol w:w="916"/>
        <w:gridCol w:w="916"/>
        <w:gridCol w:w="1181"/>
        <w:gridCol w:w="945"/>
        <w:gridCol w:w="473"/>
        <w:gridCol w:w="4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7" w:hRule="atLeast"/>
          <w:tblHeader/>
        </w:trPr>
        <w:tc>
          <w:tcPr>
            <w:tcW w:w="1301" w:type="dxa"/>
            <w:shd w:val="clear" w:color="auto" w:fill="auto"/>
            <w:vAlign w:val="center"/>
          </w:tcPr>
          <w:p>
            <w:pPr>
              <w:widowControl/>
              <w:ind w:left="-42" w:leftChars="-20"/>
              <w:jc w:val="center"/>
              <w:rPr>
                <w:b/>
                <w:bCs/>
                <w:spacing w:val="-14"/>
                <w:kern w:val="0"/>
                <w:sz w:val="18"/>
                <w:szCs w:val="18"/>
              </w:rPr>
            </w:pPr>
            <w:r>
              <w:rPr>
                <w:rFonts w:hAnsi="宋体"/>
                <w:b/>
                <w:bCs/>
                <w:spacing w:val="-14"/>
                <w:kern w:val="0"/>
                <w:sz w:val="18"/>
                <w:szCs w:val="18"/>
              </w:rPr>
              <w:t>项目</w:t>
            </w:r>
          </w:p>
        </w:tc>
        <w:tc>
          <w:tcPr>
            <w:tcW w:w="943" w:type="dxa"/>
            <w:shd w:val="clear" w:color="auto" w:fill="auto"/>
            <w:vAlign w:val="center"/>
          </w:tcPr>
          <w:p>
            <w:pPr>
              <w:widowControl/>
              <w:ind w:left="-42" w:leftChars="-20"/>
              <w:jc w:val="center"/>
              <w:rPr>
                <w:b/>
                <w:bCs/>
                <w:spacing w:val="-14"/>
                <w:kern w:val="0"/>
                <w:sz w:val="18"/>
                <w:szCs w:val="18"/>
              </w:rPr>
            </w:pPr>
            <w:r>
              <w:rPr>
                <w:rFonts w:hAnsi="宋体"/>
                <w:b/>
                <w:bCs/>
                <w:spacing w:val="-14"/>
                <w:kern w:val="0"/>
                <w:sz w:val="18"/>
                <w:szCs w:val="18"/>
              </w:rPr>
              <w:t>单位</w:t>
            </w:r>
          </w:p>
        </w:tc>
        <w:tc>
          <w:tcPr>
            <w:tcW w:w="916"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ZK1802</w:t>
            </w:r>
            <w:r>
              <w:rPr>
                <w:rFonts w:hAnsi="宋体"/>
                <w:b/>
                <w:bCs/>
                <w:spacing w:val="-14"/>
                <w:kern w:val="0"/>
                <w:sz w:val="18"/>
                <w:szCs w:val="18"/>
              </w:rPr>
              <w:t>（</w:t>
            </w:r>
            <w:r>
              <w:rPr>
                <w:b/>
                <w:bCs/>
                <w:spacing w:val="-14"/>
                <w:kern w:val="0"/>
                <w:sz w:val="18"/>
                <w:szCs w:val="18"/>
              </w:rPr>
              <w:t>DW1</w:t>
            </w:r>
            <w:r>
              <w:rPr>
                <w:rFonts w:hAnsi="宋体"/>
                <w:b/>
                <w:bCs/>
                <w:spacing w:val="-14"/>
                <w:kern w:val="0"/>
                <w:sz w:val="18"/>
                <w:szCs w:val="18"/>
              </w:rPr>
              <w:t>）</w:t>
            </w:r>
          </w:p>
        </w:tc>
        <w:tc>
          <w:tcPr>
            <w:tcW w:w="916" w:type="dxa"/>
            <w:shd w:val="clear" w:color="auto" w:fill="auto"/>
            <w:vAlign w:val="center"/>
          </w:tcPr>
          <w:p>
            <w:pPr>
              <w:widowControl/>
              <w:ind w:left="-42" w:leftChars="-20"/>
              <w:jc w:val="center"/>
              <w:rPr>
                <w:b/>
                <w:bCs/>
                <w:spacing w:val="-14"/>
                <w:kern w:val="0"/>
                <w:sz w:val="18"/>
                <w:szCs w:val="18"/>
              </w:rPr>
            </w:pPr>
            <w:r>
              <w:rPr>
                <w:rFonts w:hAnsi="宋体"/>
                <w:b/>
                <w:bCs/>
                <w:spacing w:val="-14"/>
                <w:kern w:val="0"/>
                <w:sz w:val="18"/>
                <w:szCs w:val="18"/>
              </w:rPr>
              <w:t>原</w:t>
            </w:r>
            <w:r>
              <w:rPr>
                <w:b/>
                <w:bCs/>
                <w:spacing w:val="-14"/>
                <w:kern w:val="0"/>
                <w:sz w:val="18"/>
                <w:szCs w:val="18"/>
              </w:rPr>
              <w:t>ZK810</w:t>
            </w:r>
            <w:r>
              <w:rPr>
                <w:rFonts w:hAnsi="宋体"/>
                <w:b/>
                <w:bCs/>
                <w:spacing w:val="-14"/>
                <w:kern w:val="0"/>
                <w:sz w:val="18"/>
                <w:szCs w:val="18"/>
              </w:rPr>
              <w:t>（</w:t>
            </w:r>
            <w:r>
              <w:rPr>
                <w:b/>
                <w:bCs/>
                <w:spacing w:val="-14"/>
                <w:kern w:val="0"/>
                <w:sz w:val="18"/>
                <w:szCs w:val="18"/>
              </w:rPr>
              <w:t>DW2</w:t>
            </w:r>
            <w:r>
              <w:rPr>
                <w:rFonts w:hAnsi="宋体"/>
                <w:b/>
                <w:bCs/>
                <w:spacing w:val="-14"/>
                <w:kern w:val="0"/>
                <w:sz w:val="18"/>
                <w:szCs w:val="18"/>
              </w:rPr>
              <w:t>）</w:t>
            </w:r>
          </w:p>
        </w:tc>
        <w:tc>
          <w:tcPr>
            <w:tcW w:w="916" w:type="dxa"/>
            <w:vAlign w:val="center"/>
          </w:tcPr>
          <w:p>
            <w:pPr>
              <w:widowControl/>
              <w:ind w:left="-42" w:leftChars="-20"/>
              <w:jc w:val="center"/>
              <w:rPr>
                <w:b/>
                <w:bCs/>
                <w:spacing w:val="-14"/>
                <w:kern w:val="0"/>
                <w:sz w:val="18"/>
                <w:szCs w:val="18"/>
              </w:rPr>
            </w:pPr>
            <w:r>
              <w:rPr>
                <w:rFonts w:hAnsi="宋体"/>
                <w:b/>
                <w:bCs/>
                <w:spacing w:val="-14"/>
                <w:kern w:val="0"/>
                <w:sz w:val="18"/>
                <w:szCs w:val="18"/>
              </w:rPr>
              <w:t>原</w:t>
            </w:r>
            <w:r>
              <w:rPr>
                <w:b/>
                <w:bCs/>
                <w:spacing w:val="-14"/>
                <w:kern w:val="0"/>
                <w:sz w:val="18"/>
                <w:szCs w:val="18"/>
              </w:rPr>
              <w:t>ZK809</w:t>
            </w:r>
            <w:r>
              <w:rPr>
                <w:rFonts w:hAnsi="宋体"/>
                <w:b/>
                <w:bCs/>
                <w:spacing w:val="-14"/>
                <w:kern w:val="0"/>
                <w:sz w:val="18"/>
                <w:szCs w:val="18"/>
              </w:rPr>
              <w:t>（</w:t>
            </w:r>
            <w:r>
              <w:rPr>
                <w:b/>
                <w:bCs/>
                <w:spacing w:val="-14"/>
                <w:kern w:val="0"/>
                <w:sz w:val="18"/>
                <w:szCs w:val="18"/>
              </w:rPr>
              <w:t>DW3</w:t>
            </w:r>
            <w:r>
              <w:rPr>
                <w:rFonts w:hAnsi="宋体"/>
                <w:b/>
                <w:bCs/>
                <w:spacing w:val="-14"/>
                <w:kern w:val="0"/>
                <w:sz w:val="18"/>
                <w:szCs w:val="18"/>
              </w:rPr>
              <w:t>）</w:t>
            </w:r>
          </w:p>
        </w:tc>
        <w:tc>
          <w:tcPr>
            <w:tcW w:w="916" w:type="dxa"/>
            <w:vAlign w:val="center"/>
          </w:tcPr>
          <w:p>
            <w:pPr>
              <w:widowControl/>
              <w:ind w:left="-42" w:leftChars="-20"/>
              <w:jc w:val="center"/>
              <w:rPr>
                <w:b/>
                <w:bCs/>
                <w:spacing w:val="-14"/>
                <w:kern w:val="0"/>
                <w:sz w:val="18"/>
                <w:szCs w:val="18"/>
              </w:rPr>
            </w:pPr>
            <w:r>
              <w:rPr>
                <w:rFonts w:hAnsi="宋体"/>
                <w:b/>
                <w:bCs/>
                <w:spacing w:val="-14"/>
                <w:kern w:val="0"/>
                <w:sz w:val="18"/>
                <w:szCs w:val="18"/>
              </w:rPr>
              <w:t>原</w:t>
            </w:r>
            <w:r>
              <w:rPr>
                <w:b/>
                <w:bCs/>
                <w:spacing w:val="-14"/>
                <w:kern w:val="0"/>
                <w:sz w:val="18"/>
                <w:szCs w:val="18"/>
              </w:rPr>
              <w:t>ZK1703</w:t>
            </w:r>
            <w:r>
              <w:rPr>
                <w:rFonts w:hAnsi="宋体"/>
                <w:b/>
                <w:bCs/>
                <w:spacing w:val="-14"/>
                <w:kern w:val="0"/>
                <w:sz w:val="18"/>
                <w:szCs w:val="18"/>
              </w:rPr>
              <w:t>（</w:t>
            </w:r>
            <w:r>
              <w:rPr>
                <w:b/>
                <w:bCs/>
                <w:spacing w:val="-14"/>
                <w:kern w:val="0"/>
                <w:sz w:val="18"/>
                <w:szCs w:val="18"/>
              </w:rPr>
              <w:t>DW4</w:t>
            </w:r>
            <w:r>
              <w:rPr>
                <w:rFonts w:hAnsi="宋体"/>
                <w:b/>
                <w:bCs/>
                <w:spacing w:val="-14"/>
                <w:kern w:val="0"/>
                <w:sz w:val="18"/>
                <w:szCs w:val="18"/>
              </w:rPr>
              <w:t>）</w:t>
            </w:r>
          </w:p>
        </w:tc>
        <w:tc>
          <w:tcPr>
            <w:tcW w:w="1181" w:type="dxa"/>
            <w:vAlign w:val="center"/>
          </w:tcPr>
          <w:p>
            <w:pPr>
              <w:widowControl/>
              <w:ind w:left="-42" w:leftChars="-20"/>
              <w:jc w:val="center"/>
              <w:rPr>
                <w:b/>
                <w:bCs/>
                <w:spacing w:val="-14"/>
                <w:kern w:val="0"/>
                <w:sz w:val="18"/>
                <w:szCs w:val="18"/>
              </w:rPr>
            </w:pPr>
            <w:r>
              <w:rPr>
                <w:rFonts w:hAnsi="宋体"/>
                <w:b/>
                <w:bCs/>
                <w:spacing w:val="-14"/>
                <w:kern w:val="0"/>
                <w:sz w:val="18"/>
                <w:szCs w:val="18"/>
              </w:rPr>
              <w:t>原</w:t>
            </w:r>
            <w:r>
              <w:rPr>
                <w:b/>
                <w:bCs/>
                <w:spacing w:val="-14"/>
                <w:kern w:val="0"/>
                <w:sz w:val="18"/>
                <w:szCs w:val="18"/>
              </w:rPr>
              <w:t>ZK4609</w:t>
            </w:r>
            <w:r>
              <w:rPr>
                <w:rFonts w:hAnsi="宋体"/>
                <w:b/>
                <w:bCs/>
                <w:spacing w:val="-14"/>
                <w:kern w:val="0"/>
                <w:sz w:val="18"/>
                <w:szCs w:val="18"/>
              </w:rPr>
              <w:t>附近施工的钻孔（</w:t>
            </w:r>
            <w:r>
              <w:rPr>
                <w:b/>
                <w:bCs/>
                <w:spacing w:val="-14"/>
                <w:kern w:val="0"/>
                <w:sz w:val="18"/>
                <w:szCs w:val="18"/>
              </w:rPr>
              <w:t>DW5</w:t>
            </w:r>
            <w:r>
              <w:rPr>
                <w:rFonts w:hAnsi="宋体"/>
                <w:b/>
                <w:bCs/>
                <w:spacing w:val="-14"/>
                <w:kern w:val="0"/>
                <w:sz w:val="18"/>
                <w:szCs w:val="18"/>
              </w:rPr>
              <w:t>）</w:t>
            </w:r>
          </w:p>
        </w:tc>
        <w:tc>
          <w:tcPr>
            <w:tcW w:w="945" w:type="dxa"/>
            <w:tcBorders>
              <w:right w:val="single" w:color="auto" w:sz="4" w:space="0"/>
            </w:tcBorders>
            <w:vAlign w:val="center"/>
          </w:tcPr>
          <w:p>
            <w:pPr>
              <w:widowControl/>
              <w:ind w:left="-42" w:leftChars="-20"/>
              <w:jc w:val="center"/>
              <w:rPr>
                <w:b/>
                <w:bCs/>
                <w:spacing w:val="-14"/>
                <w:kern w:val="0"/>
                <w:sz w:val="18"/>
                <w:szCs w:val="18"/>
              </w:rPr>
            </w:pPr>
            <w:r>
              <w:rPr>
                <w:b/>
                <w:bCs/>
                <w:spacing w:val="-14"/>
                <w:kern w:val="0"/>
                <w:sz w:val="18"/>
                <w:szCs w:val="18"/>
              </w:rPr>
              <w:t>GB/T14848-93 (</w:t>
            </w:r>
            <w:r>
              <w:rPr>
                <w:rFonts w:ascii="宋体" w:hAnsi="宋体"/>
                <w:b/>
                <w:bCs/>
                <w:spacing w:val="-14"/>
                <w:kern w:val="0"/>
                <w:sz w:val="18"/>
                <w:szCs w:val="18"/>
              </w:rPr>
              <w:t>Ⅲ</w:t>
            </w:r>
            <w:r>
              <w:rPr>
                <w:rFonts w:hAnsi="宋体"/>
                <w:b/>
                <w:bCs/>
                <w:spacing w:val="-14"/>
                <w:kern w:val="0"/>
                <w:sz w:val="18"/>
                <w:szCs w:val="18"/>
              </w:rPr>
              <w:t>类</w:t>
            </w:r>
            <w:r>
              <w:rPr>
                <w:b/>
                <w:bCs/>
                <w:spacing w:val="-14"/>
                <w:kern w:val="0"/>
                <w:sz w:val="18"/>
                <w:szCs w:val="18"/>
              </w:rPr>
              <w:t>)</w:t>
            </w:r>
            <w:r>
              <w:rPr>
                <w:rFonts w:hAnsi="宋体"/>
                <w:b/>
                <w:bCs/>
                <w:spacing w:val="-14"/>
                <w:kern w:val="0"/>
                <w:sz w:val="18"/>
                <w:szCs w:val="18"/>
              </w:rPr>
              <w:t>标准限值</w:t>
            </w:r>
          </w:p>
        </w:tc>
        <w:tc>
          <w:tcPr>
            <w:tcW w:w="473" w:type="dxa"/>
            <w:tcBorders>
              <w:left w:val="single" w:color="auto" w:sz="4" w:space="0"/>
              <w:right w:val="single" w:color="auto" w:sz="4" w:space="0"/>
            </w:tcBorders>
            <w:vAlign w:val="center"/>
          </w:tcPr>
          <w:p>
            <w:pPr>
              <w:ind w:left="-42" w:leftChars="-20"/>
              <w:jc w:val="center"/>
              <w:rPr>
                <w:b/>
                <w:bCs/>
                <w:spacing w:val="-14"/>
                <w:kern w:val="0"/>
                <w:sz w:val="18"/>
                <w:szCs w:val="18"/>
              </w:rPr>
            </w:pPr>
            <w:r>
              <w:rPr>
                <w:rFonts w:hAnsi="宋体"/>
                <w:b/>
                <w:bCs/>
                <w:spacing w:val="-14"/>
                <w:kern w:val="0"/>
                <w:sz w:val="18"/>
                <w:szCs w:val="18"/>
              </w:rPr>
              <w:t>超标率</w:t>
            </w:r>
            <w:r>
              <w:rPr>
                <w:b/>
                <w:bCs/>
                <w:spacing w:val="-14"/>
                <w:kern w:val="0"/>
                <w:sz w:val="18"/>
                <w:szCs w:val="18"/>
              </w:rPr>
              <w:t>%</w:t>
            </w:r>
          </w:p>
        </w:tc>
        <w:tc>
          <w:tcPr>
            <w:tcW w:w="493" w:type="dxa"/>
            <w:tcBorders>
              <w:left w:val="single" w:color="auto" w:sz="4" w:space="0"/>
            </w:tcBorders>
            <w:vAlign w:val="center"/>
          </w:tcPr>
          <w:p>
            <w:pPr>
              <w:ind w:left="-42" w:leftChars="-20"/>
              <w:jc w:val="center"/>
              <w:rPr>
                <w:b/>
                <w:bCs/>
                <w:spacing w:val="-14"/>
                <w:kern w:val="0"/>
                <w:sz w:val="18"/>
                <w:szCs w:val="18"/>
              </w:rPr>
            </w:pPr>
            <w:r>
              <w:rPr>
                <w:rFonts w:hAnsi="宋体"/>
                <w:b/>
                <w:bCs/>
                <w:spacing w:val="-14"/>
                <w:kern w:val="0"/>
                <w:sz w:val="18"/>
                <w:szCs w:val="18"/>
              </w:rPr>
              <w:t>最大超标倍数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tblHeader/>
        </w:trPr>
        <w:tc>
          <w:tcPr>
            <w:tcW w:w="1301" w:type="dxa"/>
            <w:shd w:val="clear" w:color="auto" w:fill="auto"/>
            <w:vAlign w:val="center"/>
          </w:tcPr>
          <w:p>
            <w:pPr>
              <w:widowControl/>
              <w:ind w:left="-42" w:leftChars="-20"/>
              <w:jc w:val="center"/>
              <w:rPr>
                <w:b/>
                <w:kern w:val="0"/>
                <w:sz w:val="18"/>
                <w:szCs w:val="18"/>
              </w:rPr>
            </w:pPr>
            <w:r>
              <w:rPr>
                <w:rFonts w:hAnsi="宋体"/>
                <w:b/>
                <w:kern w:val="0"/>
                <w:sz w:val="18"/>
                <w:szCs w:val="18"/>
              </w:rPr>
              <w:t>井深</w:t>
            </w:r>
          </w:p>
        </w:tc>
        <w:tc>
          <w:tcPr>
            <w:tcW w:w="943" w:type="dxa"/>
            <w:shd w:val="clear" w:color="auto" w:fill="auto"/>
            <w:vAlign w:val="center"/>
          </w:tcPr>
          <w:p>
            <w:pPr>
              <w:widowControl/>
              <w:ind w:left="-42" w:leftChars="-20"/>
              <w:jc w:val="center"/>
              <w:rPr>
                <w:b/>
                <w:kern w:val="0"/>
                <w:sz w:val="18"/>
                <w:szCs w:val="18"/>
              </w:rPr>
            </w:pPr>
            <w:r>
              <w:rPr>
                <w:b/>
                <w:kern w:val="0"/>
                <w:sz w:val="18"/>
                <w:szCs w:val="18"/>
              </w:rPr>
              <w:t>m</w:t>
            </w:r>
          </w:p>
        </w:tc>
        <w:tc>
          <w:tcPr>
            <w:tcW w:w="916" w:type="dxa"/>
            <w:shd w:val="clear" w:color="auto" w:fill="auto"/>
            <w:vAlign w:val="center"/>
          </w:tcPr>
          <w:p>
            <w:pPr>
              <w:widowControl/>
              <w:ind w:left="-42" w:leftChars="-20"/>
              <w:jc w:val="center"/>
              <w:rPr>
                <w:b/>
                <w:kern w:val="0"/>
                <w:sz w:val="18"/>
                <w:szCs w:val="18"/>
              </w:rPr>
            </w:pPr>
            <w:r>
              <w:rPr>
                <w:b/>
                <w:kern w:val="0"/>
                <w:sz w:val="18"/>
                <w:szCs w:val="18"/>
              </w:rPr>
              <w:t>1092</w:t>
            </w:r>
          </w:p>
        </w:tc>
        <w:tc>
          <w:tcPr>
            <w:tcW w:w="916" w:type="dxa"/>
            <w:shd w:val="clear" w:color="auto" w:fill="auto"/>
            <w:vAlign w:val="center"/>
          </w:tcPr>
          <w:p>
            <w:pPr>
              <w:widowControl/>
              <w:ind w:left="-42" w:leftChars="-20"/>
              <w:jc w:val="center"/>
              <w:rPr>
                <w:b/>
                <w:kern w:val="0"/>
                <w:sz w:val="18"/>
                <w:szCs w:val="18"/>
              </w:rPr>
            </w:pPr>
            <w:r>
              <w:rPr>
                <w:b/>
                <w:kern w:val="0"/>
                <w:sz w:val="18"/>
                <w:szCs w:val="18"/>
              </w:rPr>
              <w:t>1146</w:t>
            </w:r>
          </w:p>
        </w:tc>
        <w:tc>
          <w:tcPr>
            <w:tcW w:w="916" w:type="dxa"/>
            <w:vAlign w:val="center"/>
          </w:tcPr>
          <w:p>
            <w:pPr>
              <w:widowControl/>
              <w:ind w:left="-42" w:leftChars="-20"/>
              <w:jc w:val="center"/>
              <w:rPr>
                <w:b/>
                <w:kern w:val="0"/>
                <w:sz w:val="18"/>
                <w:szCs w:val="18"/>
              </w:rPr>
            </w:pPr>
            <w:r>
              <w:rPr>
                <w:b/>
                <w:kern w:val="0"/>
                <w:sz w:val="18"/>
                <w:szCs w:val="18"/>
              </w:rPr>
              <w:t>1110</w:t>
            </w:r>
          </w:p>
        </w:tc>
        <w:tc>
          <w:tcPr>
            <w:tcW w:w="916" w:type="dxa"/>
            <w:vAlign w:val="center"/>
          </w:tcPr>
          <w:p>
            <w:pPr>
              <w:widowControl/>
              <w:ind w:left="-42" w:leftChars="-20"/>
              <w:jc w:val="center"/>
              <w:rPr>
                <w:b/>
                <w:kern w:val="0"/>
                <w:sz w:val="18"/>
                <w:szCs w:val="18"/>
              </w:rPr>
            </w:pPr>
            <w:r>
              <w:rPr>
                <w:b/>
                <w:kern w:val="0"/>
                <w:sz w:val="18"/>
                <w:szCs w:val="18"/>
              </w:rPr>
              <w:t>1098</w:t>
            </w:r>
          </w:p>
        </w:tc>
        <w:tc>
          <w:tcPr>
            <w:tcW w:w="1181" w:type="dxa"/>
            <w:vAlign w:val="center"/>
          </w:tcPr>
          <w:p>
            <w:pPr>
              <w:widowControl/>
              <w:ind w:left="-42" w:leftChars="-20"/>
              <w:jc w:val="center"/>
              <w:rPr>
                <w:b/>
                <w:kern w:val="0"/>
                <w:sz w:val="18"/>
                <w:szCs w:val="18"/>
              </w:rPr>
            </w:pPr>
            <w:r>
              <w:rPr>
                <w:b/>
                <w:kern w:val="0"/>
                <w:sz w:val="18"/>
                <w:szCs w:val="18"/>
              </w:rPr>
              <w:t>1135</w:t>
            </w:r>
          </w:p>
        </w:tc>
        <w:tc>
          <w:tcPr>
            <w:tcW w:w="945" w:type="dxa"/>
            <w:tcBorders>
              <w:right w:val="single" w:color="auto" w:sz="4" w:space="0"/>
            </w:tcBorders>
            <w:vAlign w:val="center"/>
          </w:tcPr>
          <w:p>
            <w:pPr>
              <w:widowControl/>
              <w:ind w:left="-42" w:leftChars="-20"/>
              <w:jc w:val="center"/>
              <w:rPr>
                <w:b/>
                <w:bCs/>
                <w:spacing w:val="-14"/>
                <w:kern w:val="0"/>
                <w:sz w:val="18"/>
                <w:szCs w:val="18"/>
              </w:rPr>
            </w:pPr>
          </w:p>
        </w:tc>
        <w:tc>
          <w:tcPr>
            <w:tcW w:w="473" w:type="dxa"/>
            <w:tcBorders>
              <w:left w:val="single" w:color="auto" w:sz="4" w:space="0"/>
              <w:right w:val="single" w:color="auto" w:sz="4" w:space="0"/>
            </w:tcBorders>
            <w:vAlign w:val="center"/>
          </w:tcPr>
          <w:p>
            <w:pPr>
              <w:ind w:left="-42" w:leftChars="-20"/>
              <w:jc w:val="center"/>
              <w:rPr>
                <w:b/>
                <w:bCs/>
                <w:spacing w:val="-14"/>
                <w:kern w:val="0"/>
                <w:sz w:val="18"/>
                <w:szCs w:val="18"/>
              </w:rPr>
            </w:pPr>
          </w:p>
        </w:tc>
        <w:tc>
          <w:tcPr>
            <w:tcW w:w="493" w:type="dxa"/>
            <w:tcBorders>
              <w:left w:val="single" w:color="auto" w:sz="4" w:space="0"/>
            </w:tcBorders>
            <w:vAlign w:val="center"/>
          </w:tcPr>
          <w:p>
            <w:pPr>
              <w:ind w:left="-42" w:leftChars="-20"/>
              <w:jc w:val="center"/>
              <w:rPr>
                <w:b/>
                <w:bCs/>
                <w:spacing w:val="-14"/>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tblHeader/>
        </w:trPr>
        <w:tc>
          <w:tcPr>
            <w:tcW w:w="1301" w:type="dxa"/>
            <w:shd w:val="clear" w:color="auto" w:fill="auto"/>
            <w:vAlign w:val="center"/>
          </w:tcPr>
          <w:p>
            <w:pPr>
              <w:widowControl/>
              <w:ind w:left="-42" w:leftChars="-20"/>
              <w:jc w:val="center"/>
              <w:rPr>
                <w:b/>
                <w:kern w:val="0"/>
                <w:sz w:val="18"/>
                <w:szCs w:val="18"/>
              </w:rPr>
            </w:pPr>
            <w:r>
              <w:rPr>
                <w:rFonts w:hAnsi="宋体"/>
                <w:b/>
                <w:kern w:val="0"/>
                <w:sz w:val="18"/>
                <w:szCs w:val="18"/>
              </w:rPr>
              <w:t>地下水水位</w:t>
            </w:r>
          </w:p>
        </w:tc>
        <w:tc>
          <w:tcPr>
            <w:tcW w:w="943" w:type="dxa"/>
            <w:shd w:val="clear" w:color="auto" w:fill="auto"/>
            <w:vAlign w:val="center"/>
          </w:tcPr>
          <w:p>
            <w:pPr>
              <w:widowControl/>
              <w:ind w:left="-42" w:leftChars="-20"/>
              <w:jc w:val="center"/>
              <w:rPr>
                <w:b/>
                <w:kern w:val="0"/>
                <w:sz w:val="18"/>
                <w:szCs w:val="18"/>
              </w:rPr>
            </w:pPr>
            <w:r>
              <w:rPr>
                <w:b/>
                <w:kern w:val="0"/>
                <w:sz w:val="18"/>
                <w:szCs w:val="18"/>
              </w:rPr>
              <w:t>m</w:t>
            </w:r>
          </w:p>
        </w:tc>
        <w:tc>
          <w:tcPr>
            <w:tcW w:w="916" w:type="dxa"/>
            <w:shd w:val="clear" w:color="auto" w:fill="auto"/>
            <w:vAlign w:val="center"/>
          </w:tcPr>
          <w:p>
            <w:pPr>
              <w:widowControl/>
              <w:ind w:left="-42" w:leftChars="-20"/>
              <w:jc w:val="center"/>
              <w:rPr>
                <w:b/>
                <w:kern w:val="0"/>
                <w:sz w:val="18"/>
                <w:szCs w:val="18"/>
              </w:rPr>
            </w:pPr>
            <w:r>
              <w:rPr>
                <w:b/>
                <w:kern w:val="0"/>
                <w:sz w:val="18"/>
                <w:szCs w:val="18"/>
              </w:rPr>
              <w:t>996</w:t>
            </w:r>
          </w:p>
        </w:tc>
        <w:tc>
          <w:tcPr>
            <w:tcW w:w="916" w:type="dxa"/>
            <w:shd w:val="clear" w:color="auto" w:fill="auto"/>
            <w:vAlign w:val="center"/>
          </w:tcPr>
          <w:p>
            <w:pPr>
              <w:widowControl/>
              <w:ind w:left="-42" w:leftChars="-20"/>
              <w:jc w:val="center"/>
              <w:rPr>
                <w:b/>
                <w:kern w:val="0"/>
                <w:sz w:val="18"/>
                <w:szCs w:val="18"/>
              </w:rPr>
            </w:pPr>
            <w:r>
              <w:rPr>
                <w:b/>
                <w:kern w:val="0"/>
                <w:sz w:val="18"/>
                <w:szCs w:val="18"/>
              </w:rPr>
              <w:t>800</w:t>
            </w:r>
          </w:p>
        </w:tc>
        <w:tc>
          <w:tcPr>
            <w:tcW w:w="916" w:type="dxa"/>
            <w:vAlign w:val="center"/>
          </w:tcPr>
          <w:p>
            <w:pPr>
              <w:widowControl/>
              <w:ind w:left="-42" w:leftChars="-20"/>
              <w:jc w:val="center"/>
              <w:rPr>
                <w:b/>
                <w:kern w:val="0"/>
                <w:sz w:val="18"/>
                <w:szCs w:val="18"/>
              </w:rPr>
            </w:pPr>
            <w:r>
              <w:rPr>
                <w:b/>
                <w:kern w:val="0"/>
                <w:sz w:val="18"/>
                <w:szCs w:val="18"/>
              </w:rPr>
              <w:t>800</w:t>
            </w:r>
          </w:p>
        </w:tc>
        <w:tc>
          <w:tcPr>
            <w:tcW w:w="916" w:type="dxa"/>
            <w:vAlign w:val="center"/>
          </w:tcPr>
          <w:p>
            <w:pPr>
              <w:widowControl/>
              <w:ind w:left="-42" w:leftChars="-20"/>
              <w:jc w:val="center"/>
              <w:rPr>
                <w:b/>
                <w:kern w:val="0"/>
                <w:sz w:val="18"/>
                <w:szCs w:val="18"/>
              </w:rPr>
            </w:pPr>
            <w:r>
              <w:rPr>
                <w:b/>
                <w:kern w:val="0"/>
                <w:sz w:val="18"/>
                <w:szCs w:val="18"/>
              </w:rPr>
              <w:t>996</w:t>
            </w:r>
          </w:p>
        </w:tc>
        <w:tc>
          <w:tcPr>
            <w:tcW w:w="1181" w:type="dxa"/>
            <w:vAlign w:val="center"/>
          </w:tcPr>
          <w:p>
            <w:pPr>
              <w:widowControl/>
              <w:ind w:left="-42" w:leftChars="-20"/>
              <w:jc w:val="center"/>
              <w:rPr>
                <w:b/>
                <w:kern w:val="0"/>
                <w:sz w:val="18"/>
                <w:szCs w:val="18"/>
              </w:rPr>
            </w:pPr>
            <w:r>
              <w:rPr>
                <w:b/>
                <w:kern w:val="0"/>
                <w:sz w:val="18"/>
                <w:szCs w:val="18"/>
              </w:rPr>
              <w:t>1015</w:t>
            </w:r>
          </w:p>
        </w:tc>
        <w:tc>
          <w:tcPr>
            <w:tcW w:w="945" w:type="dxa"/>
            <w:tcBorders>
              <w:right w:val="single" w:color="auto" w:sz="4" w:space="0"/>
            </w:tcBorders>
            <w:vAlign w:val="center"/>
          </w:tcPr>
          <w:p>
            <w:pPr>
              <w:widowControl/>
              <w:ind w:left="-42" w:leftChars="-20"/>
              <w:jc w:val="center"/>
              <w:rPr>
                <w:b/>
                <w:bCs/>
                <w:spacing w:val="-14"/>
                <w:kern w:val="0"/>
                <w:sz w:val="18"/>
                <w:szCs w:val="18"/>
              </w:rPr>
            </w:pPr>
          </w:p>
        </w:tc>
        <w:tc>
          <w:tcPr>
            <w:tcW w:w="473" w:type="dxa"/>
            <w:tcBorders>
              <w:left w:val="single" w:color="auto" w:sz="4" w:space="0"/>
              <w:right w:val="single" w:color="auto" w:sz="4" w:space="0"/>
            </w:tcBorders>
            <w:vAlign w:val="center"/>
          </w:tcPr>
          <w:p>
            <w:pPr>
              <w:ind w:left="-42" w:leftChars="-20"/>
              <w:jc w:val="center"/>
              <w:rPr>
                <w:b/>
                <w:bCs/>
                <w:spacing w:val="-14"/>
                <w:kern w:val="0"/>
                <w:sz w:val="18"/>
                <w:szCs w:val="18"/>
              </w:rPr>
            </w:pPr>
          </w:p>
        </w:tc>
        <w:tc>
          <w:tcPr>
            <w:tcW w:w="493" w:type="dxa"/>
            <w:tcBorders>
              <w:left w:val="single" w:color="auto" w:sz="4" w:space="0"/>
            </w:tcBorders>
            <w:vAlign w:val="center"/>
          </w:tcPr>
          <w:p>
            <w:pPr>
              <w:ind w:left="-42" w:leftChars="-20"/>
              <w:jc w:val="center"/>
              <w:rPr>
                <w:b/>
                <w:bCs/>
                <w:spacing w:val="-14"/>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pH</w:t>
            </w:r>
          </w:p>
        </w:tc>
        <w:tc>
          <w:tcPr>
            <w:tcW w:w="943" w:type="dxa"/>
            <w:shd w:val="clear" w:color="auto" w:fill="auto"/>
            <w:vAlign w:val="center"/>
          </w:tcPr>
          <w:p>
            <w:pPr>
              <w:widowControl/>
              <w:ind w:left="-42" w:leftChars="-20"/>
              <w:jc w:val="center"/>
              <w:rPr>
                <w:b/>
                <w:kern w:val="0"/>
                <w:sz w:val="18"/>
                <w:szCs w:val="18"/>
              </w:rPr>
            </w:pPr>
            <w:r>
              <w:rPr>
                <w:rFonts w:hAnsi="宋体"/>
                <w:b/>
                <w:kern w:val="0"/>
                <w:sz w:val="18"/>
                <w:szCs w:val="18"/>
              </w:rPr>
              <w:t>无量纲</w:t>
            </w:r>
          </w:p>
        </w:tc>
        <w:tc>
          <w:tcPr>
            <w:tcW w:w="916" w:type="dxa"/>
            <w:shd w:val="clear" w:color="auto" w:fill="auto"/>
            <w:vAlign w:val="center"/>
          </w:tcPr>
          <w:p>
            <w:pPr>
              <w:ind w:left="-42" w:leftChars="-20"/>
              <w:jc w:val="center"/>
              <w:rPr>
                <w:b/>
                <w:kern w:val="0"/>
                <w:sz w:val="18"/>
                <w:szCs w:val="18"/>
              </w:rPr>
            </w:pPr>
            <w:r>
              <w:rPr>
                <w:b/>
                <w:kern w:val="0"/>
                <w:sz w:val="18"/>
                <w:szCs w:val="18"/>
              </w:rPr>
              <w:t>7.86</w:t>
            </w:r>
          </w:p>
        </w:tc>
        <w:tc>
          <w:tcPr>
            <w:tcW w:w="916" w:type="dxa"/>
            <w:shd w:val="clear" w:color="auto" w:fill="auto"/>
            <w:vAlign w:val="center"/>
          </w:tcPr>
          <w:p>
            <w:pPr>
              <w:ind w:left="-42" w:leftChars="-20"/>
              <w:jc w:val="center"/>
              <w:rPr>
                <w:b/>
                <w:kern w:val="0"/>
                <w:sz w:val="18"/>
                <w:szCs w:val="18"/>
              </w:rPr>
            </w:pPr>
            <w:r>
              <w:rPr>
                <w:b/>
                <w:kern w:val="0"/>
                <w:sz w:val="18"/>
                <w:szCs w:val="18"/>
              </w:rPr>
              <w:t>8.16</w:t>
            </w:r>
          </w:p>
        </w:tc>
        <w:tc>
          <w:tcPr>
            <w:tcW w:w="916" w:type="dxa"/>
            <w:vAlign w:val="center"/>
          </w:tcPr>
          <w:p>
            <w:pPr>
              <w:ind w:left="-42" w:leftChars="-20"/>
              <w:jc w:val="center"/>
              <w:rPr>
                <w:b/>
                <w:sz w:val="18"/>
                <w:szCs w:val="18"/>
              </w:rPr>
            </w:pPr>
            <w:r>
              <w:rPr>
                <w:b/>
                <w:kern w:val="0"/>
                <w:sz w:val="18"/>
                <w:szCs w:val="18"/>
              </w:rPr>
              <w:t>8.06</w:t>
            </w:r>
          </w:p>
        </w:tc>
        <w:tc>
          <w:tcPr>
            <w:tcW w:w="916" w:type="dxa"/>
            <w:vAlign w:val="center"/>
          </w:tcPr>
          <w:p>
            <w:pPr>
              <w:ind w:left="-42" w:leftChars="-20"/>
              <w:jc w:val="center"/>
              <w:rPr>
                <w:b/>
                <w:sz w:val="18"/>
                <w:szCs w:val="18"/>
              </w:rPr>
            </w:pPr>
            <w:r>
              <w:rPr>
                <w:b/>
                <w:kern w:val="0"/>
                <w:sz w:val="18"/>
                <w:szCs w:val="18"/>
              </w:rPr>
              <w:t>8.20</w:t>
            </w:r>
          </w:p>
        </w:tc>
        <w:tc>
          <w:tcPr>
            <w:tcW w:w="1181" w:type="dxa"/>
            <w:vAlign w:val="center"/>
          </w:tcPr>
          <w:p>
            <w:pPr>
              <w:ind w:left="-42" w:leftChars="-20"/>
              <w:jc w:val="center"/>
              <w:rPr>
                <w:b/>
                <w:sz w:val="18"/>
                <w:szCs w:val="18"/>
              </w:rPr>
            </w:pPr>
            <w:r>
              <w:rPr>
                <w:b/>
                <w:sz w:val="18"/>
                <w:szCs w:val="18"/>
              </w:rPr>
              <w:t>7.98</w:t>
            </w:r>
          </w:p>
        </w:tc>
        <w:tc>
          <w:tcPr>
            <w:tcW w:w="945" w:type="dxa"/>
            <w:tcBorders>
              <w:right w:val="single" w:color="auto" w:sz="4" w:space="0"/>
            </w:tcBorders>
            <w:vAlign w:val="center"/>
          </w:tcPr>
          <w:p>
            <w:pPr>
              <w:ind w:left="-42" w:leftChars="-20"/>
              <w:jc w:val="center"/>
              <w:rPr>
                <w:b/>
                <w:sz w:val="18"/>
                <w:szCs w:val="18"/>
              </w:rPr>
            </w:pPr>
            <w:r>
              <w:rPr>
                <w:b/>
                <w:sz w:val="18"/>
                <w:szCs w:val="18"/>
              </w:rPr>
              <w:t>6.5</w:t>
            </w:r>
            <w:r>
              <w:rPr>
                <w:rFonts w:hAnsi="宋体"/>
                <w:b/>
                <w:sz w:val="18"/>
                <w:szCs w:val="18"/>
              </w:rPr>
              <w:t>～</w:t>
            </w:r>
            <w:r>
              <w:rPr>
                <w:b/>
                <w:sz w:val="18"/>
                <w:szCs w:val="18"/>
              </w:rPr>
              <w:t>8.5</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rFonts w:hAnsi="宋体"/>
                <w:b/>
                <w:bCs/>
                <w:spacing w:val="-14"/>
                <w:kern w:val="0"/>
                <w:sz w:val="18"/>
                <w:szCs w:val="18"/>
              </w:rPr>
              <w:t>氨氮</w:t>
            </w:r>
          </w:p>
        </w:tc>
        <w:tc>
          <w:tcPr>
            <w:tcW w:w="943" w:type="dxa"/>
            <w:shd w:val="clear" w:color="auto" w:fill="auto"/>
            <w:vAlign w:val="center"/>
          </w:tcPr>
          <w:p>
            <w:pPr>
              <w:widowControl/>
              <w:ind w:left="-42" w:leftChars="-20"/>
              <w:jc w:val="center"/>
              <w:rPr>
                <w:b/>
                <w:kern w:val="0"/>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&lt;0.025</w:t>
            </w:r>
          </w:p>
        </w:tc>
        <w:tc>
          <w:tcPr>
            <w:tcW w:w="916" w:type="dxa"/>
            <w:shd w:val="clear" w:color="auto" w:fill="auto"/>
            <w:vAlign w:val="center"/>
          </w:tcPr>
          <w:p>
            <w:pPr>
              <w:ind w:left="-42" w:leftChars="-20"/>
              <w:jc w:val="center"/>
              <w:rPr>
                <w:b/>
                <w:kern w:val="0"/>
                <w:sz w:val="18"/>
                <w:szCs w:val="18"/>
              </w:rPr>
            </w:pPr>
            <w:r>
              <w:rPr>
                <w:b/>
                <w:kern w:val="0"/>
                <w:sz w:val="18"/>
                <w:szCs w:val="18"/>
              </w:rPr>
              <w:t>&lt;0.025</w:t>
            </w:r>
          </w:p>
        </w:tc>
        <w:tc>
          <w:tcPr>
            <w:tcW w:w="916" w:type="dxa"/>
            <w:vAlign w:val="center"/>
          </w:tcPr>
          <w:p>
            <w:pPr>
              <w:ind w:left="-42" w:leftChars="-20"/>
              <w:jc w:val="center"/>
              <w:rPr>
                <w:b/>
                <w:sz w:val="18"/>
                <w:szCs w:val="18"/>
              </w:rPr>
            </w:pPr>
            <w:r>
              <w:rPr>
                <w:b/>
                <w:kern w:val="0"/>
                <w:sz w:val="18"/>
                <w:szCs w:val="18"/>
              </w:rPr>
              <w:t>&lt;0.025</w:t>
            </w:r>
          </w:p>
        </w:tc>
        <w:tc>
          <w:tcPr>
            <w:tcW w:w="916" w:type="dxa"/>
            <w:vAlign w:val="center"/>
          </w:tcPr>
          <w:p>
            <w:pPr>
              <w:ind w:left="-42" w:leftChars="-20"/>
              <w:jc w:val="center"/>
              <w:rPr>
                <w:b/>
                <w:sz w:val="18"/>
                <w:szCs w:val="18"/>
              </w:rPr>
            </w:pPr>
            <w:r>
              <w:rPr>
                <w:b/>
                <w:kern w:val="0"/>
                <w:sz w:val="18"/>
                <w:szCs w:val="18"/>
              </w:rPr>
              <w:t>&lt;0.025</w:t>
            </w:r>
          </w:p>
        </w:tc>
        <w:tc>
          <w:tcPr>
            <w:tcW w:w="1181" w:type="dxa"/>
            <w:vAlign w:val="center"/>
          </w:tcPr>
          <w:p>
            <w:pPr>
              <w:ind w:left="-42" w:leftChars="-20"/>
              <w:jc w:val="center"/>
              <w:rPr>
                <w:b/>
                <w:sz w:val="18"/>
                <w:szCs w:val="18"/>
              </w:rPr>
            </w:pPr>
            <w:r>
              <w:rPr>
                <w:b/>
                <w:kern w:val="0"/>
                <w:sz w:val="18"/>
                <w:szCs w:val="18"/>
              </w:rPr>
              <w:t>&lt;0.025</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0.2</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rFonts w:hAnsi="宋体"/>
                <w:b/>
                <w:bCs/>
                <w:spacing w:val="-14"/>
                <w:kern w:val="0"/>
                <w:sz w:val="18"/>
                <w:szCs w:val="18"/>
              </w:rPr>
              <w:t>总硬度</w:t>
            </w:r>
          </w:p>
        </w:tc>
        <w:tc>
          <w:tcPr>
            <w:tcW w:w="943" w:type="dxa"/>
            <w:shd w:val="clear" w:color="auto" w:fill="auto"/>
            <w:vAlign w:val="center"/>
          </w:tcPr>
          <w:p>
            <w:pPr>
              <w:ind w:left="-42" w:leftChars="-20"/>
              <w:jc w:val="center"/>
              <w:rPr>
                <w:b/>
                <w:sz w:val="18"/>
                <w:szCs w:val="18"/>
              </w:rPr>
            </w:pPr>
            <w:r>
              <w:rPr>
                <w:b/>
                <w:kern w:val="0"/>
                <w:sz w:val="18"/>
                <w:szCs w:val="18"/>
              </w:rPr>
              <w:t xml:space="preserve"> </w:t>
            </w:r>
          </w:p>
        </w:tc>
        <w:tc>
          <w:tcPr>
            <w:tcW w:w="916" w:type="dxa"/>
            <w:shd w:val="clear" w:color="auto" w:fill="auto"/>
            <w:vAlign w:val="center"/>
          </w:tcPr>
          <w:p>
            <w:pPr>
              <w:ind w:left="-42" w:leftChars="-20"/>
              <w:jc w:val="center"/>
              <w:rPr>
                <w:b/>
                <w:kern w:val="0"/>
                <w:sz w:val="18"/>
                <w:szCs w:val="18"/>
              </w:rPr>
            </w:pPr>
            <w:r>
              <w:rPr>
                <w:b/>
                <w:kern w:val="0"/>
                <w:sz w:val="18"/>
                <w:szCs w:val="18"/>
              </w:rPr>
              <w:t>223</w:t>
            </w:r>
          </w:p>
        </w:tc>
        <w:tc>
          <w:tcPr>
            <w:tcW w:w="916" w:type="dxa"/>
            <w:shd w:val="clear" w:color="auto" w:fill="auto"/>
            <w:vAlign w:val="center"/>
          </w:tcPr>
          <w:p>
            <w:pPr>
              <w:ind w:left="-42" w:leftChars="-20"/>
              <w:jc w:val="center"/>
              <w:rPr>
                <w:b/>
                <w:kern w:val="0"/>
                <w:sz w:val="18"/>
                <w:szCs w:val="18"/>
              </w:rPr>
            </w:pPr>
            <w:r>
              <w:rPr>
                <w:b/>
                <w:kern w:val="0"/>
                <w:sz w:val="18"/>
                <w:szCs w:val="18"/>
              </w:rPr>
              <w:t>230</w:t>
            </w:r>
          </w:p>
        </w:tc>
        <w:tc>
          <w:tcPr>
            <w:tcW w:w="916" w:type="dxa"/>
            <w:vAlign w:val="center"/>
          </w:tcPr>
          <w:p>
            <w:pPr>
              <w:ind w:left="-42" w:leftChars="-20"/>
              <w:jc w:val="center"/>
              <w:rPr>
                <w:b/>
                <w:sz w:val="18"/>
                <w:szCs w:val="18"/>
              </w:rPr>
            </w:pPr>
            <w:r>
              <w:rPr>
                <w:b/>
                <w:sz w:val="18"/>
                <w:szCs w:val="18"/>
              </w:rPr>
              <w:t>228</w:t>
            </w:r>
          </w:p>
        </w:tc>
        <w:tc>
          <w:tcPr>
            <w:tcW w:w="916" w:type="dxa"/>
            <w:vAlign w:val="center"/>
          </w:tcPr>
          <w:p>
            <w:pPr>
              <w:ind w:left="-42" w:leftChars="-20"/>
              <w:jc w:val="center"/>
              <w:rPr>
                <w:b/>
                <w:sz w:val="18"/>
                <w:szCs w:val="18"/>
              </w:rPr>
            </w:pPr>
            <w:r>
              <w:rPr>
                <w:b/>
                <w:sz w:val="18"/>
                <w:szCs w:val="18"/>
              </w:rPr>
              <w:t>222</w:t>
            </w:r>
          </w:p>
        </w:tc>
        <w:tc>
          <w:tcPr>
            <w:tcW w:w="1181" w:type="dxa"/>
            <w:vAlign w:val="center"/>
          </w:tcPr>
          <w:p>
            <w:pPr>
              <w:ind w:left="-42" w:leftChars="-20"/>
              <w:jc w:val="center"/>
              <w:rPr>
                <w:b/>
                <w:sz w:val="18"/>
                <w:szCs w:val="18"/>
              </w:rPr>
            </w:pPr>
            <w:r>
              <w:rPr>
                <w:b/>
                <w:sz w:val="18"/>
                <w:szCs w:val="18"/>
              </w:rPr>
              <w:t>227</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450</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rFonts w:hAnsi="宋体"/>
                <w:b/>
                <w:bCs/>
                <w:spacing w:val="-14"/>
                <w:kern w:val="0"/>
                <w:sz w:val="18"/>
                <w:szCs w:val="18"/>
              </w:rPr>
              <w:t>高锰酸盐指数</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0.8</w:t>
            </w:r>
          </w:p>
        </w:tc>
        <w:tc>
          <w:tcPr>
            <w:tcW w:w="916" w:type="dxa"/>
            <w:shd w:val="clear" w:color="auto" w:fill="auto"/>
            <w:vAlign w:val="center"/>
          </w:tcPr>
          <w:p>
            <w:pPr>
              <w:ind w:left="-42" w:leftChars="-20"/>
              <w:jc w:val="center"/>
              <w:rPr>
                <w:b/>
                <w:kern w:val="0"/>
                <w:sz w:val="18"/>
                <w:szCs w:val="18"/>
              </w:rPr>
            </w:pPr>
            <w:r>
              <w:rPr>
                <w:b/>
                <w:kern w:val="0"/>
                <w:sz w:val="18"/>
                <w:szCs w:val="18"/>
              </w:rPr>
              <w:t>0.9</w:t>
            </w:r>
          </w:p>
        </w:tc>
        <w:tc>
          <w:tcPr>
            <w:tcW w:w="916" w:type="dxa"/>
            <w:vAlign w:val="center"/>
          </w:tcPr>
          <w:p>
            <w:pPr>
              <w:ind w:left="-42" w:leftChars="-20"/>
              <w:jc w:val="center"/>
              <w:rPr>
                <w:b/>
                <w:sz w:val="18"/>
                <w:szCs w:val="18"/>
              </w:rPr>
            </w:pPr>
            <w:r>
              <w:rPr>
                <w:b/>
                <w:sz w:val="18"/>
                <w:szCs w:val="18"/>
              </w:rPr>
              <w:t>0.7</w:t>
            </w:r>
          </w:p>
        </w:tc>
        <w:tc>
          <w:tcPr>
            <w:tcW w:w="916" w:type="dxa"/>
            <w:vAlign w:val="center"/>
          </w:tcPr>
          <w:p>
            <w:pPr>
              <w:ind w:left="-42" w:leftChars="-20"/>
              <w:jc w:val="center"/>
              <w:rPr>
                <w:b/>
                <w:sz w:val="18"/>
                <w:szCs w:val="18"/>
              </w:rPr>
            </w:pPr>
            <w:r>
              <w:rPr>
                <w:b/>
                <w:sz w:val="18"/>
                <w:szCs w:val="18"/>
              </w:rPr>
              <w:t>0.8</w:t>
            </w:r>
          </w:p>
        </w:tc>
        <w:tc>
          <w:tcPr>
            <w:tcW w:w="1181" w:type="dxa"/>
            <w:vAlign w:val="center"/>
          </w:tcPr>
          <w:p>
            <w:pPr>
              <w:ind w:left="-42" w:leftChars="-20"/>
              <w:jc w:val="center"/>
              <w:rPr>
                <w:b/>
                <w:sz w:val="18"/>
                <w:szCs w:val="18"/>
              </w:rPr>
            </w:pPr>
            <w:r>
              <w:rPr>
                <w:b/>
                <w:sz w:val="18"/>
                <w:szCs w:val="18"/>
              </w:rPr>
              <w:t>0.6</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3.0</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rFonts w:hAnsi="宋体"/>
                <w:b/>
                <w:bCs/>
                <w:spacing w:val="-14"/>
                <w:kern w:val="0"/>
                <w:sz w:val="18"/>
                <w:szCs w:val="18"/>
              </w:rPr>
              <w:t>溶解性总固体</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416</w:t>
            </w:r>
          </w:p>
        </w:tc>
        <w:tc>
          <w:tcPr>
            <w:tcW w:w="916" w:type="dxa"/>
            <w:shd w:val="clear" w:color="auto" w:fill="auto"/>
            <w:vAlign w:val="center"/>
          </w:tcPr>
          <w:p>
            <w:pPr>
              <w:ind w:left="-42" w:leftChars="-20"/>
              <w:jc w:val="center"/>
              <w:rPr>
                <w:b/>
                <w:kern w:val="0"/>
                <w:sz w:val="18"/>
                <w:szCs w:val="18"/>
              </w:rPr>
            </w:pPr>
            <w:r>
              <w:rPr>
                <w:b/>
                <w:kern w:val="0"/>
                <w:sz w:val="18"/>
                <w:szCs w:val="18"/>
              </w:rPr>
              <w:t>505</w:t>
            </w:r>
          </w:p>
        </w:tc>
        <w:tc>
          <w:tcPr>
            <w:tcW w:w="916" w:type="dxa"/>
            <w:vAlign w:val="center"/>
          </w:tcPr>
          <w:p>
            <w:pPr>
              <w:ind w:left="-42" w:leftChars="-20"/>
              <w:jc w:val="center"/>
              <w:rPr>
                <w:b/>
                <w:sz w:val="18"/>
                <w:szCs w:val="18"/>
              </w:rPr>
            </w:pPr>
            <w:r>
              <w:rPr>
                <w:b/>
                <w:sz w:val="18"/>
                <w:szCs w:val="18"/>
              </w:rPr>
              <w:t>384</w:t>
            </w:r>
          </w:p>
        </w:tc>
        <w:tc>
          <w:tcPr>
            <w:tcW w:w="916" w:type="dxa"/>
            <w:vAlign w:val="center"/>
          </w:tcPr>
          <w:p>
            <w:pPr>
              <w:ind w:left="-42" w:leftChars="-20"/>
              <w:jc w:val="center"/>
              <w:rPr>
                <w:b/>
                <w:sz w:val="18"/>
                <w:szCs w:val="18"/>
              </w:rPr>
            </w:pPr>
            <w:r>
              <w:rPr>
                <w:b/>
                <w:sz w:val="18"/>
                <w:szCs w:val="18"/>
              </w:rPr>
              <w:t>576</w:t>
            </w:r>
          </w:p>
        </w:tc>
        <w:tc>
          <w:tcPr>
            <w:tcW w:w="1181" w:type="dxa"/>
            <w:vAlign w:val="center"/>
          </w:tcPr>
          <w:p>
            <w:pPr>
              <w:ind w:left="-42" w:leftChars="-20"/>
              <w:jc w:val="center"/>
              <w:rPr>
                <w:b/>
                <w:sz w:val="18"/>
                <w:szCs w:val="18"/>
              </w:rPr>
            </w:pPr>
            <w:r>
              <w:rPr>
                <w:b/>
                <w:sz w:val="18"/>
                <w:szCs w:val="18"/>
              </w:rPr>
              <w:t>528</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1000</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Cr6+</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&lt;0.004</w:t>
            </w:r>
          </w:p>
        </w:tc>
        <w:tc>
          <w:tcPr>
            <w:tcW w:w="916" w:type="dxa"/>
            <w:shd w:val="clear" w:color="auto" w:fill="auto"/>
            <w:vAlign w:val="center"/>
          </w:tcPr>
          <w:p>
            <w:pPr>
              <w:ind w:left="-42" w:leftChars="-20"/>
              <w:jc w:val="center"/>
              <w:rPr>
                <w:b/>
                <w:kern w:val="0"/>
                <w:sz w:val="18"/>
                <w:szCs w:val="18"/>
              </w:rPr>
            </w:pPr>
            <w:r>
              <w:rPr>
                <w:b/>
                <w:kern w:val="0"/>
                <w:sz w:val="18"/>
                <w:szCs w:val="18"/>
              </w:rPr>
              <w:t>&lt;0.004</w:t>
            </w:r>
          </w:p>
        </w:tc>
        <w:tc>
          <w:tcPr>
            <w:tcW w:w="916" w:type="dxa"/>
            <w:vAlign w:val="center"/>
          </w:tcPr>
          <w:p>
            <w:pPr>
              <w:ind w:left="-42" w:leftChars="-20"/>
              <w:jc w:val="center"/>
              <w:rPr>
                <w:b/>
                <w:sz w:val="18"/>
                <w:szCs w:val="18"/>
              </w:rPr>
            </w:pPr>
            <w:r>
              <w:rPr>
                <w:b/>
                <w:kern w:val="0"/>
                <w:sz w:val="18"/>
                <w:szCs w:val="18"/>
              </w:rPr>
              <w:t>&lt;0.004</w:t>
            </w:r>
          </w:p>
        </w:tc>
        <w:tc>
          <w:tcPr>
            <w:tcW w:w="916" w:type="dxa"/>
            <w:vAlign w:val="center"/>
          </w:tcPr>
          <w:p>
            <w:pPr>
              <w:ind w:left="-42" w:leftChars="-20"/>
              <w:jc w:val="center"/>
              <w:rPr>
                <w:b/>
                <w:sz w:val="18"/>
                <w:szCs w:val="18"/>
              </w:rPr>
            </w:pPr>
            <w:r>
              <w:rPr>
                <w:b/>
                <w:kern w:val="0"/>
                <w:sz w:val="18"/>
                <w:szCs w:val="18"/>
              </w:rPr>
              <w:t>&lt;0.004</w:t>
            </w:r>
          </w:p>
        </w:tc>
        <w:tc>
          <w:tcPr>
            <w:tcW w:w="1181" w:type="dxa"/>
            <w:vAlign w:val="center"/>
          </w:tcPr>
          <w:p>
            <w:pPr>
              <w:ind w:left="-42" w:leftChars="-20"/>
              <w:jc w:val="center"/>
              <w:rPr>
                <w:b/>
                <w:sz w:val="18"/>
                <w:szCs w:val="18"/>
              </w:rPr>
            </w:pPr>
            <w:r>
              <w:rPr>
                <w:b/>
                <w:kern w:val="0"/>
                <w:sz w:val="18"/>
                <w:szCs w:val="18"/>
              </w:rPr>
              <w:t>&lt;0.004</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0.05</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F-</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0.47</w:t>
            </w:r>
          </w:p>
        </w:tc>
        <w:tc>
          <w:tcPr>
            <w:tcW w:w="916" w:type="dxa"/>
            <w:shd w:val="clear" w:color="auto" w:fill="auto"/>
            <w:vAlign w:val="center"/>
          </w:tcPr>
          <w:p>
            <w:pPr>
              <w:ind w:left="-42" w:leftChars="-20"/>
              <w:jc w:val="center"/>
              <w:rPr>
                <w:b/>
                <w:kern w:val="0"/>
                <w:sz w:val="18"/>
                <w:szCs w:val="18"/>
              </w:rPr>
            </w:pPr>
            <w:r>
              <w:rPr>
                <w:b/>
                <w:kern w:val="0"/>
                <w:sz w:val="18"/>
                <w:szCs w:val="18"/>
              </w:rPr>
              <w:t>0.52</w:t>
            </w:r>
          </w:p>
        </w:tc>
        <w:tc>
          <w:tcPr>
            <w:tcW w:w="916" w:type="dxa"/>
            <w:vAlign w:val="center"/>
          </w:tcPr>
          <w:p>
            <w:pPr>
              <w:ind w:left="-42" w:leftChars="-20"/>
              <w:jc w:val="center"/>
              <w:rPr>
                <w:b/>
                <w:sz w:val="18"/>
                <w:szCs w:val="18"/>
              </w:rPr>
            </w:pPr>
            <w:r>
              <w:rPr>
                <w:b/>
                <w:sz w:val="18"/>
                <w:szCs w:val="18"/>
              </w:rPr>
              <w:t>0.48</w:t>
            </w:r>
          </w:p>
        </w:tc>
        <w:tc>
          <w:tcPr>
            <w:tcW w:w="916" w:type="dxa"/>
            <w:vAlign w:val="center"/>
          </w:tcPr>
          <w:p>
            <w:pPr>
              <w:ind w:left="-42" w:leftChars="-20"/>
              <w:jc w:val="center"/>
              <w:rPr>
                <w:b/>
                <w:sz w:val="18"/>
                <w:szCs w:val="18"/>
              </w:rPr>
            </w:pPr>
            <w:r>
              <w:rPr>
                <w:b/>
                <w:sz w:val="18"/>
                <w:szCs w:val="18"/>
              </w:rPr>
              <w:t>0.52</w:t>
            </w:r>
          </w:p>
        </w:tc>
        <w:tc>
          <w:tcPr>
            <w:tcW w:w="1181" w:type="dxa"/>
            <w:vAlign w:val="center"/>
          </w:tcPr>
          <w:p>
            <w:pPr>
              <w:ind w:left="-42" w:leftChars="-20"/>
              <w:jc w:val="center"/>
              <w:rPr>
                <w:b/>
                <w:sz w:val="18"/>
                <w:szCs w:val="18"/>
              </w:rPr>
            </w:pPr>
            <w:r>
              <w:rPr>
                <w:b/>
                <w:sz w:val="18"/>
                <w:szCs w:val="18"/>
              </w:rPr>
              <w:t>0.49</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1.0</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As</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&lt;0.0005</w:t>
            </w:r>
          </w:p>
        </w:tc>
        <w:tc>
          <w:tcPr>
            <w:tcW w:w="916" w:type="dxa"/>
            <w:shd w:val="clear" w:color="auto" w:fill="auto"/>
            <w:vAlign w:val="center"/>
          </w:tcPr>
          <w:p>
            <w:pPr>
              <w:ind w:left="-42" w:leftChars="-20"/>
              <w:jc w:val="center"/>
              <w:rPr>
                <w:b/>
                <w:kern w:val="0"/>
                <w:sz w:val="18"/>
                <w:szCs w:val="18"/>
              </w:rPr>
            </w:pPr>
            <w:r>
              <w:rPr>
                <w:b/>
                <w:kern w:val="0"/>
                <w:sz w:val="18"/>
                <w:szCs w:val="18"/>
              </w:rPr>
              <w:t>&lt;0.0005</w:t>
            </w:r>
          </w:p>
        </w:tc>
        <w:tc>
          <w:tcPr>
            <w:tcW w:w="916" w:type="dxa"/>
            <w:vAlign w:val="center"/>
          </w:tcPr>
          <w:p>
            <w:pPr>
              <w:ind w:left="-42" w:leftChars="-20"/>
              <w:jc w:val="center"/>
              <w:rPr>
                <w:b/>
                <w:sz w:val="18"/>
                <w:szCs w:val="18"/>
              </w:rPr>
            </w:pPr>
            <w:r>
              <w:rPr>
                <w:b/>
                <w:kern w:val="0"/>
                <w:sz w:val="18"/>
                <w:szCs w:val="18"/>
              </w:rPr>
              <w:t>&lt;0.0005</w:t>
            </w:r>
          </w:p>
        </w:tc>
        <w:tc>
          <w:tcPr>
            <w:tcW w:w="916" w:type="dxa"/>
            <w:vAlign w:val="center"/>
          </w:tcPr>
          <w:p>
            <w:pPr>
              <w:ind w:left="-42" w:leftChars="-20"/>
              <w:jc w:val="center"/>
              <w:rPr>
                <w:b/>
                <w:sz w:val="18"/>
                <w:szCs w:val="18"/>
              </w:rPr>
            </w:pPr>
            <w:r>
              <w:rPr>
                <w:b/>
                <w:kern w:val="0"/>
                <w:sz w:val="18"/>
                <w:szCs w:val="18"/>
              </w:rPr>
              <w:t>&lt;0.0005</w:t>
            </w:r>
          </w:p>
        </w:tc>
        <w:tc>
          <w:tcPr>
            <w:tcW w:w="1181" w:type="dxa"/>
            <w:vAlign w:val="center"/>
          </w:tcPr>
          <w:p>
            <w:pPr>
              <w:ind w:left="-42" w:leftChars="-20"/>
              <w:jc w:val="center"/>
              <w:rPr>
                <w:b/>
                <w:sz w:val="18"/>
                <w:szCs w:val="18"/>
              </w:rPr>
            </w:pPr>
            <w:r>
              <w:rPr>
                <w:b/>
                <w:kern w:val="0"/>
                <w:sz w:val="18"/>
                <w:szCs w:val="18"/>
              </w:rPr>
              <w:t>&lt;0.0005</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0.001</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Cu</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&lt;0.05</w:t>
            </w:r>
          </w:p>
        </w:tc>
        <w:tc>
          <w:tcPr>
            <w:tcW w:w="916" w:type="dxa"/>
            <w:shd w:val="clear" w:color="auto" w:fill="auto"/>
            <w:vAlign w:val="center"/>
          </w:tcPr>
          <w:p>
            <w:pPr>
              <w:ind w:left="-42" w:leftChars="-20"/>
              <w:jc w:val="center"/>
              <w:rPr>
                <w:b/>
                <w:kern w:val="0"/>
                <w:sz w:val="18"/>
                <w:szCs w:val="18"/>
              </w:rPr>
            </w:pPr>
            <w:r>
              <w:rPr>
                <w:b/>
                <w:kern w:val="0"/>
                <w:sz w:val="18"/>
                <w:szCs w:val="18"/>
              </w:rPr>
              <w:t>&lt;0.05</w:t>
            </w:r>
          </w:p>
        </w:tc>
        <w:tc>
          <w:tcPr>
            <w:tcW w:w="916" w:type="dxa"/>
            <w:vAlign w:val="center"/>
          </w:tcPr>
          <w:p>
            <w:pPr>
              <w:ind w:left="-42" w:leftChars="-20"/>
              <w:jc w:val="center"/>
              <w:rPr>
                <w:b/>
                <w:sz w:val="18"/>
                <w:szCs w:val="18"/>
              </w:rPr>
            </w:pPr>
            <w:r>
              <w:rPr>
                <w:b/>
                <w:kern w:val="0"/>
                <w:sz w:val="18"/>
                <w:szCs w:val="18"/>
              </w:rPr>
              <w:t>&lt;0.05</w:t>
            </w:r>
          </w:p>
        </w:tc>
        <w:tc>
          <w:tcPr>
            <w:tcW w:w="916" w:type="dxa"/>
            <w:vAlign w:val="center"/>
          </w:tcPr>
          <w:p>
            <w:pPr>
              <w:ind w:left="-42" w:leftChars="-20"/>
              <w:jc w:val="center"/>
              <w:rPr>
                <w:b/>
                <w:sz w:val="18"/>
                <w:szCs w:val="18"/>
              </w:rPr>
            </w:pPr>
            <w:r>
              <w:rPr>
                <w:b/>
                <w:kern w:val="0"/>
                <w:sz w:val="18"/>
                <w:szCs w:val="18"/>
              </w:rPr>
              <w:t>&lt;0.05</w:t>
            </w:r>
          </w:p>
        </w:tc>
        <w:tc>
          <w:tcPr>
            <w:tcW w:w="1181" w:type="dxa"/>
            <w:vAlign w:val="center"/>
          </w:tcPr>
          <w:p>
            <w:pPr>
              <w:ind w:left="-42" w:leftChars="-20"/>
              <w:jc w:val="center"/>
              <w:rPr>
                <w:b/>
                <w:sz w:val="18"/>
                <w:szCs w:val="18"/>
              </w:rPr>
            </w:pPr>
            <w:r>
              <w:rPr>
                <w:b/>
                <w:kern w:val="0"/>
                <w:sz w:val="18"/>
                <w:szCs w:val="18"/>
              </w:rPr>
              <w:t>&lt;0.05</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1.0</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Zn</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&lt;0.05</w:t>
            </w:r>
          </w:p>
        </w:tc>
        <w:tc>
          <w:tcPr>
            <w:tcW w:w="916" w:type="dxa"/>
            <w:shd w:val="clear" w:color="auto" w:fill="auto"/>
            <w:vAlign w:val="center"/>
          </w:tcPr>
          <w:p>
            <w:pPr>
              <w:ind w:left="-42" w:leftChars="-20"/>
              <w:jc w:val="center"/>
              <w:rPr>
                <w:b/>
                <w:kern w:val="0"/>
                <w:sz w:val="18"/>
                <w:szCs w:val="18"/>
              </w:rPr>
            </w:pPr>
            <w:r>
              <w:rPr>
                <w:b/>
                <w:kern w:val="0"/>
                <w:sz w:val="18"/>
                <w:szCs w:val="18"/>
              </w:rPr>
              <w:t>&lt;0.05</w:t>
            </w:r>
          </w:p>
        </w:tc>
        <w:tc>
          <w:tcPr>
            <w:tcW w:w="916" w:type="dxa"/>
            <w:vAlign w:val="center"/>
          </w:tcPr>
          <w:p>
            <w:pPr>
              <w:ind w:left="-42" w:leftChars="-20"/>
              <w:jc w:val="center"/>
              <w:rPr>
                <w:b/>
                <w:sz w:val="18"/>
                <w:szCs w:val="18"/>
              </w:rPr>
            </w:pPr>
            <w:r>
              <w:rPr>
                <w:b/>
                <w:kern w:val="0"/>
                <w:sz w:val="18"/>
                <w:szCs w:val="18"/>
              </w:rPr>
              <w:t>&lt;0.05</w:t>
            </w:r>
          </w:p>
        </w:tc>
        <w:tc>
          <w:tcPr>
            <w:tcW w:w="916" w:type="dxa"/>
            <w:vAlign w:val="center"/>
          </w:tcPr>
          <w:p>
            <w:pPr>
              <w:ind w:left="-42" w:leftChars="-20"/>
              <w:jc w:val="center"/>
              <w:rPr>
                <w:b/>
                <w:sz w:val="18"/>
                <w:szCs w:val="18"/>
              </w:rPr>
            </w:pPr>
            <w:r>
              <w:rPr>
                <w:b/>
                <w:kern w:val="0"/>
                <w:sz w:val="18"/>
                <w:szCs w:val="18"/>
              </w:rPr>
              <w:t>&lt;0.05</w:t>
            </w:r>
          </w:p>
        </w:tc>
        <w:tc>
          <w:tcPr>
            <w:tcW w:w="1181" w:type="dxa"/>
            <w:vAlign w:val="center"/>
          </w:tcPr>
          <w:p>
            <w:pPr>
              <w:ind w:left="-42" w:leftChars="-20"/>
              <w:jc w:val="center"/>
              <w:rPr>
                <w:b/>
                <w:sz w:val="18"/>
                <w:szCs w:val="18"/>
              </w:rPr>
            </w:pPr>
            <w:r>
              <w:rPr>
                <w:b/>
                <w:kern w:val="0"/>
                <w:sz w:val="18"/>
                <w:szCs w:val="18"/>
              </w:rPr>
              <w:t>&lt;0.05</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1.0</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Cd</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&lt;0.001</w:t>
            </w:r>
          </w:p>
        </w:tc>
        <w:tc>
          <w:tcPr>
            <w:tcW w:w="916" w:type="dxa"/>
            <w:shd w:val="clear" w:color="auto" w:fill="auto"/>
            <w:vAlign w:val="center"/>
          </w:tcPr>
          <w:p>
            <w:pPr>
              <w:ind w:left="-42" w:leftChars="-20"/>
              <w:jc w:val="center"/>
              <w:rPr>
                <w:b/>
                <w:kern w:val="0"/>
                <w:sz w:val="18"/>
                <w:szCs w:val="18"/>
              </w:rPr>
            </w:pPr>
            <w:r>
              <w:rPr>
                <w:b/>
                <w:kern w:val="0"/>
                <w:sz w:val="18"/>
                <w:szCs w:val="18"/>
              </w:rPr>
              <w:t>&lt;0.001</w:t>
            </w:r>
          </w:p>
        </w:tc>
        <w:tc>
          <w:tcPr>
            <w:tcW w:w="916" w:type="dxa"/>
            <w:vAlign w:val="center"/>
          </w:tcPr>
          <w:p>
            <w:pPr>
              <w:ind w:left="-42" w:leftChars="-20"/>
              <w:jc w:val="center"/>
              <w:rPr>
                <w:b/>
                <w:sz w:val="18"/>
                <w:szCs w:val="18"/>
              </w:rPr>
            </w:pPr>
            <w:r>
              <w:rPr>
                <w:b/>
                <w:kern w:val="0"/>
                <w:sz w:val="18"/>
                <w:szCs w:val="18"/>
              </w:rPr>
              <w:t>&lt;0.001</w:t>
            </w:r>
          </w:p>
        </w:tc>
        <w:tc>
          <w:tcPr>
            <w:tcW w:w="916" w:type="dxa"/>
            <w:vAlign w:val="center"/>
          </w:tcPr>
          <w:p>
            <w:pPr>
              <w:ind w:left="-42" w:leftChars="-20"/>
              <w:jc w:val="center"/>
              <w:rPr>
                <w:b/>
                <w:sz w:val="18"/>
                <w:szCs w:val="18"/>
              </w:rPr>
            </w:pPr>
            <w:r>
              <w:rPr>
                <w:b/>
                <w:kern w:val="0"/>
                <w:sz w:val="18"/>
                <w:szCs w:val="18"/>
              </w:rPr>
              <w:t>&lt;0.001</w:t>
            </w:r>
          </w:p>
        </w:tc>
        <w:tc>
          <w:tcPr>
            <w:tcW w:w="1181" w:type="dxa"/>
            <w:vAlign w:val="center"/>
          </w:tcPr>
          <w:p>
            <w:pPr>
              <w:ind w:left="-42" w:leftChars="-20"/>
              <w:jc w:val="center"/>
              <w:rPr>
                <w:b/>
                <w:sz w:val="18"/>
                <w:szCs w:val="18"/>
              </w:rPr>
            </w:pPr>
            <w:r>
              <w:rPr>
                <w:b/>
                <w:kern w:val="0"/>
                <w:sz w:val="18"/>
                <w:szCs w:val="18"/>
              </w:rPr>
              <w:t>&lt;0.001</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0.01</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Pb</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&lt;0.01</w:t>
            </w:r>
          </w:p>
        </w:tc>
        <w:tc>
          <w:tcPr>
            <w:tcW w:w="916" w:type="dxa"/>
            <w:shd w:val="clear" w:color="auto" w:fill="auto"/>
            <w:vAlign w:val="center"/>
          </w:tcPr>
          <w:p>
            <w:pPr>
              <w:ind w:left="-42" w:leftChars="-20"/>
              <w:jc w:val="center"/>
              <w:rPr>
                <w:b/>
                <w:kern w:val="0"/>
                <w:sz w:val="18"/>
                <w:szCs w:val="18"/>
              </w:rPr>
            </w:pPr>
            <w:r>
              <w:rPr>
                <w:b/>
                <w:kern w:val="0"/>
                <w:sz w:val="18"/>
                <w:szCs w:val="18"/>
              </w:rPr>
              <w:t>&lt;0.01</w:t>
            </w:r>
          </w:p>
        </w:tc>
        <w:tc>
          <w:tcPr>
            <w:tcW w:w="916" w:type="dxa"/>
            <w:vAlign w:val="center"/>
          </w:tcPr>
          <w:p>
            <w:pPr>
              <w:ind w:left="-42" w:leftChars="-20"/>
              <w:jc w:val="center"/>
              <w:rPr>
                <w:b/>
                <w:sz w:val="18"/>
                <w:szCs w:val="18"/>
              </w:rPr>
            </w:pPr>
            <w:r>
              <w:rPr>
                <w:b/>
                <w:kern w:val="0"/>
                <w:sz w:val="18"/>
                <w:szCs w:val="18"/>
              </w:rPr>
              <w:t>&lt;0.01</w:t>
            </w:r>
          </w:p>
        </w:tc>
        <w:tc>
          <w:tcPr>
            <w:tcW w:w="916" w:type="dxa"/>
            <w:vAlign w:val="center"/>
          </w:tcPr>
          <w:p>
            <w:pPr>
              <w:ind w:left="-42" w:leftChars="-20"/>
              <w:jc w:val="center"/>
              <w:rPr>
                <w:b/>
                <w:sz w:val="18"/>
                <w:szCs w:val="18"/>
              </w:rPr>
            </w:pPr>
            <w:r>
              <w:rPr>
                <w:b/>
                <w:kern w:val="0"/>
                <w:sz w:val="18"/>
                <w:szCs w:val="18"/>
              </w:rPr>
              <w:t>&lt;0.01</w:t>
            </w:r>
          </w:p>
        </w:tc>
        <w:tc>
          <w:tcPr>
            <w:tcW w:w="1181" w:type="dxa"/>
            <w:vAlign w:val="center"/>
          </w:tcPr>
          <w:p>
            <w:pPr>
              <w:ind w:left="-42" w:leftChars="-20"/>
              <w:jc w:val="center"/>
              <w:rPr>
                <w:b/>
                <w:sz w:val="18"/>
                <w:szCs w:val="18"/>
              </w:rPr>
            </w:pPr>
            <w:r>
              <w:rPr>
                <w:b/>
                <w:kern w:val="0"/>
                <w:sz w:val="18"/>
                <w:szCs w:val="18"/>
              </w:rPr>
              <w:t>&lt;0.01</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0.05</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CODCr</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11.2</w:t>
            </w:r>
          </w:p>
        </w:tc>
        <w:tc>
          <w:tcPr>
            <w:tcW w:w="916" w:type="dxa"/>
            <w:shd w:val="clear" w:color="auto" w:fill="auto"/>
            <w:vAlign w:val="center"/>
          </w:tcPr>
          <w:p>
            <w:pPr>
              <w:ind w:left="-42" w:leftChars="-20"/>
              <w:jc w:val="center"/>
              <w:rPr>
                <w:b/>
                <w:kern w:val="0"/>
                <w:sz w:val="18"/>
                <w:szCs w:val="18"/>
              </w:rPr>
            </w:pPr>
            <w:r>
              <w:rPr>
                <w:b/>
                <w:kern w:val="0"/>
                <w:sz w:val="18"/>
                <w:szCs w:val="18"/>
              </w:rPr>
              <w:t>5.9</w:t>
            </w:r>
          </w:p>
        </w:tc>
        <w:tc>
          <w:tcPr>
            <w:tcW w:w="916" w:type="dxa"/>
            <w:vAlign w:val="center"/>
          </w:tcPr>
          <w:p>
            <w:pPr>
              <w:ind w:left="-42" w:leftChars="-20"/>
              <w:jc w:val="center"/>
              <w:rPr>
                <w:b/>
                <w:sz w:val="18"/>
                <w:szCs w:val="18"/>
              </w:rPr>
            </w:pPr>
            <w:r>
              <w:rPr>
                <w:b/>
                <w:sz w:val="18"/>
                <w:szCs w:val="18"/>
              </w:rPr>
              <w:t>10.4</w:t>
            </w:r>
          </w:p>
        </w:tc>
        <w:tc>
          <w:tcPr>
            <w:tcW w:w="916" w:type="dxa"/>
            <w:vAlign w:val="center"/>
          </w:tcPr>
          <w:p>
            <w:pPr>
              <w:ind w:left="-42" w:leftChars="-20"/>
              <w:jc w:val="center"/>
              <w:rPr>
                <w:b/>
                <w:sz w:val="18"/>
                <w:szCs w:val="18"/>
              </w:rPr>
            </w:pPr>
            <w:r>
              <w:rPr>
                <w:b/>
                <w:sz w:val="18"/>
                <w:szCs w:val="18"/>
              </w:rPr>
              <w:t>8.1</w:t>
            </w:r>
          </w:p>
        </w:tc>
        <w:tc>
          <w:tcPr>
            <w:tcW w:w="1181" w:type="dxa"/>
            <w:vAlign w:val="center"/>
          </w:tcPr>
          <w:p>
            <w:pPr>
              <w:ind w:left="-42" w:leftChars="-20"/>
              <w:jc w:val="center"/>
              <w:rPr>
                <w:b/>
                <w:sz w:val="18"/>
                <w:szCs w:val="18"/>
              </w:rPr>
            </w:pPr>
            <w:r>
              <w:rPr>
                <w:b/>
                <w:sz w:val="18"/>
                <w:szCs w:val="18"/>
              </w:rPr>
              <w:t>10.6</w:t>
            </w:r>
          </w:p>
        </w:tc>
        <w:tc>
          <w:tcPr>
            <w:tcW w:w="945" w:type="dxa"/>
            <w:tcBorders>
              <w:right w:val="single" w:color="auto" w:sz="4" w:space="0"/>
            </w:tcBorders>
            <w:vAlign w:val="center"/>
          </w:tcPr>
          <w:p>
            <w:pPr>
              <w:ind w:left="-42" w:leftChars="-20"/>
              <w:jc w:val="center"/>
              <w:rPr>
                <w:b/>
                <w:sz w:val="18"/>
                <w:szCs w:val="18"/>
              </w:rPr>
            </w:pP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Fe</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&lt;0.03</w:t>
            </w:r>
          </w:p>
        </w:tc>
        <w:tc>
          <w:tcPr>
            <w:tcW w:w="916" w:type="dxa"/>
            <w:shd w:val="clear" w:color="auto" w:fill="auto"/>
            <w:vAlign w:val="center"/>
          </w:tcPr>
          <w:p>
            <w:pPr>
              <w:ind w:left="-42" w:leftChars="-20"/>
              <w:jc w:val="center"/>
              <w:rPr>
                <w:b/>
                <w:kern w:val="0"/>
                <w:sz w:val="18"/>
                <w:szCs w:val="18"/>
              </w:rPr>
            </w:pPr>
            <w:r>
              <w:rPr>
                <w:b/>
                <w:kern w:val="0"/>
                <w:sz w:val="18"/>
                <w:szCs w:val="18"/>
              </w:rPr>
              <w:t>&lt;0.03</w:t>
            </w:r>
          </w:p>
        </w:tc>
        <w:tc>
          <w:tcPr>
            <w:tcW w:w="916" w:type="dxa"/>
            <w:vAlign w:val="center"/>
          </w:tcPr>
          <w:p>
            <w:pPr>
              <w:ind w:left="-42" w:leftChars="-20"/>
              <w:jc w:val="center"/>
              <w:rPr>
                <w:b/>
                <w:sz w:val="18"/>
                <w:szCs w:val="18"/>
              </w:rPr>
            </w:pPr>
            <w:r>
              <w:rPr>
                <w:b/>
                <w:kern w:val="0"/>
                <w:sz w:val="18"/>
                <w:szCs w:val="18"/>
              </w:rPr>
              <w:t>&lt;0.03</w:t>
            </w:r>
          </w:p>
        </w:tc>
        <w:tc>
          <w:tcPr>
            <w:tcW w:w="916" w:type="dxa"/>
            <w:vAlign w:val="center"/>
          </w:tcPr>
          <w:p>
            <w:pPr>
              <w:ind w:left="-42" w:leftChars="-20"/>
              <w:jc w:val="center"/>
              <w:rPr>
                <w:b/>
                <w:sz w:val="18"/>
                <w:szCs w:val="18"/>
              </w:rPr>
            </w:pPr>
            <w:r>
              <w:rPr>
                <w:b/>
                <w:kern w:val="0"/>
                <w:sz w:val="18"/>
                <w:szCs w:val="18"/>
              </w:rPr>
              <w:t>&lt;0.03</w:t>
            </w:r>
          </w:p>
        </w:tc>
        <w:tc>
          <w:tcPr>
            <w:tcW w:w="1181" w:type="dxa"/>
            <w:vAlign w:val="center"/>
          </w:tcPr>
          <w:p>
            <w:pPr>
              <w:ind w:left="-42" w:leftChars="-20"/>
              <w:jc w:val="center"/>
              <w:rPr>
                <w:b/>
                <w:sz w:val="18"/>
                <w:szCs w:val="18"/>
              </w:rPr>
            </w:pPr>
            <w:r>
              <w:rPr>
                <w:b/>
                <w:kern w:val="0"/>
                <w:sz w:val="18"/>
                <w:szCs w:val="18"/>
              </w:rPr>
              <w:t>&lt;0.03</w:t>
            </w:r>
          </w:p>
        </w:tc>
        <w:tc>
          <w:tcPr>
            <w:tcW w:w="945" w:type="dxa"/>
            <w:tcBorders>
              <w:right w:val="single" w:color="auto" w:sz="4" w:space="0"/>
            </w:tcBorders>
            <w:vAlign w:val="center"/>
          </w:tcPr>
          <w:p>
            <w:pPr>
              <w:ind w:left="-42" w:leftChars="-20"/>
              <w:jc w:val="center"/>
              <w:rPr>
                <w:b/>
                <w:sz w:val="18"/>
                <w:szCs w:val="18"/>
              </w:rPr>
            </w:pPr>
            <w:r>
              <w:rPr>
                <w:b/>
                <w:sz w:val="18"/>
                <w:szCs w:val="18"/>
              </w:rPr>
              <w:t>0.3</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b/>
                <w:bCs/>
                <w:spacing w:val="-14"/>
                <w:kern w:val="0"/>
                <w:sz w:val="18"/>
                <w:szCs w:val="18"/>
              </w:rPr>
              <w:t>Hg</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&lt;0.00006</w:t>
            </w:r>
          </w:p>
        </w:tc>
        <w:tc>
          <w:tcPr>
            <w:tcW w:w="916" w:type="dxa"/>
            <w:shd w:val="clear" w:color="auto" w:fill="auto"/>
            <w:vAlign w:val="center"/>
          </w:tcPr>
          <w:p>
            <w:pPr>
              <w:ind w:left="-42" w:leftChars="-20"/>
              <w:jc w:val="center"/>
              <w:rPr>
                <w:b/>
                <w:kern w:val="0"/>
                <w:sz w:val="18"/>
                <w:szCs w:val="18"/>
              </w:rPr>
            </w:pPr>
            <w:r>
              <w:rPr>
                <w:b/>
                <w:kern w:val="0"/>
                <w:sz w:val="18"/>
                <w:szCs w:val="18"/>
              </w:rPr>
              <w:t>&lt;0.00006</w:t>
            </w:r>
          </w:p>
        </w:tc>
        <w:tc>
          <w:tcPr>
            <w:tcW w:w="916" w:type="dxa"/>
            <w:vAlign w:val="center"/>
          </w:tcPr>
          <w:p>
            <w:pPr>
              <w:ind w:left="-42" w:leftChars="-20"/>
              <w:jc w:val="center"/>
              <w:rPr>
                <w:b/>
                <w:sz w:val="18"/>
                <w:szCs w:val="18"/>
              </w:rPr>
            </w:pPr>
            <w:r>
              <w:rPr>
                <w:b/>
                <w:kern w:val="0"/>
                <w:sz w:val="18"/>
                <w:szCs w:val="18"/>
              </w:rPr>
              <w:t>&lt;0.00006</w:t>
            </w:r>
          </w:p>
        </w:tc>
        <w:tc>
          <w:tcPr>
            <w:tcW w:w="916" w:type="dxa"/>
            <w:vAlign w:val="center"/>
          </w:tcPr>
          <w:p>
            <w:pPr>
              <w:ind w:left="-42" w:leftChars="-20"/>
              <w:jc w:val="center"/>
              <w:rPr>
                <w:b/>
                <w:sz w:val="18"/>
                <w:szCs w:val="18"/>
              </w:rPr>
            </w:pPr>
            <w:r>
              <w:rPr>
                <w:b/>
                <w:kern w:val="0"/>
                <w:sz w:val="18"/>
                <w:szCs w:val="18"/>
              </w:rPr>
              <w:t>&lt;0.00006</w:t>
            </w:r>
          </w:p>
        </w:tc>
        <w:tc>
          <w:tcPr>
            <w:tcW w:w="1181" w:type="dxa"/>
            <w:vAlign w:val="center"/>
          </w:tcPr>
          <w:p>
            <w:pPr>
              <w:ind w:left="-42" w:leftChars="-20"/>
              <w:jc w:val="center"/>
              <w:rPr>
                <w:b/>
                <w:sz w:val="18"/>
                <w:szCs w:val="18"/>
              </w:rPr>
            </w:pPr>
            <w:r>
              <w:rPr>
                <w:b/>
                <w:kern w:val="0"/>
                <w:sz w:val="18"/>
                <w:szCs w:val="18"/>
              </w:rPr>
              <w:t>&lt;0.00006</w:t>
            </w:r>
          </w:p>
        </w:tc>
        <w:tc>
          <w:tcPr>
            <w:tcW w:w="945" w:type="dxa"/>
            <w:tcBorders>
              <w:right w:val="single" w:color="auto" w:sz="4" w:space="0"/>
            </w:tcBorders>
            <w:vAlign w:val="center"/>
          </w:tcPr>
          <w:p>
            <w:pPr>
              <w:ind w:left="-42" w:leftChars="-20"/>
              <w:jc w:val="center"/>
              <w:rPr>
                <w:b/>
                <w:spacing w:val="-10"/>
                <w:sz w:val="18"/>
                <w:szCs w:val="18"/>
              </w:rPr>
            </w:pPr>
            <w:r>
              <w:rPr>
                <w:b/>
                <w:sz w:val="18"/>
                <w:szCs w:val="18"/>
              </w:rPr>
              <w:t>0.001</w:t>
            </w: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rFonts w:hAnsi="宋体"/>
                <w:b/>
                <w:bCs/>
                <w:spacing w:val="-14"/>
                <w:kern w:val="0"/>
                <w:sz w:val="18"/>
                <w:szCs w:val="18"/>
              </w:rPr>
              <w:t>石油类</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&lt;0.01</w:t>
            </w:r>
          </w:p>
        </w:tc>
        <w:tc>
          <w:tcPr>
            <w:tcW w:w="916" w:type="dxa"/>
            <w:shd w:val="clear" w:color="auto" w:fill="auto"/>
            <w:vAlign w:val="center"/>
          </w:tcPr>
          <w:p>
            <w:pPr>
              <w:ind w:left="-42" w:leftChars="-20"/>
              <w:jc w:val="center"/>
              <w:rPr>
                <w:b/>
                <w:kern w:val="0"/>
                <w:sz w:val="18"/>
                <w:szCs w:val="18"/>
              </w:rPr>
            </w:pPr>
            <w:r>
              <w:rPr>
                <w:b/>
                <w:kern w:val="0"/>
                <w:sz w:val="18"/>
                <w:szCs w:val="18"/>
              </w:rPr>
              <w:t>&lt;0.01</w:t>
            </w:r>
          </w:p>
        </w:tc>
        <w:tc>
          <w:tcPr>
            <w:tcW w:w="916" w:type="dxa"/>
            <w:vAlign w:val="center"/>
          </w:tcPr>
          <w:p>
            <w:pPr>
              <w:ind w:left="-42" w:leftChars="-20"/>
              <w:jc w:val="center"/>
              <w:rPr>
                <w:b/>
                <w:sz w:val="18"/>
                <w:szCs w:val="18"/>
              </w:rPr>
            </w:pPr>
            <w:r>
              <w:rPr>
                <w:b/>
                <w:kern w:val="0"/>
                <w:sz w:val="18"/>
                <w:szCs w:val="18"/>
              </w:rPr>
              <w:t>&lt;0.01</w:t>
            </w:r>
          </w:p>
        </w:tc>
        <w:tc>
          <w:tcPr>
            <w:tcW w:w="916" w:type="dxa"/>
            <w:vAlign w:val="center"/>
          </w:tcPr>
          <w:p>
            <w:pPr>
              <w:ind w:left="-42" w:leftChars="-20"/>
              <w:jc w:val="center"/>
              <w:rPr>
                <w:b/>
                <w:sz w:val="18"/>
                <w:szCs w:val="18"/>
              </w:rPr>
            </w:pPr>
            <w:r>
              <w:rPr>
                <w:b/>
                <w:kern w:val="0"/>
                <w:sz w:val="18"/>
                <w:szCs w:val="18"/>
              </w:rPr>
              <w:t>&lt;0.01</w:t>
            </w:r>
          </w:p>
        </w:tc>
        <w:tc>
          <w:tcPr>
            <w:tcW w:w="1181" w:type="dxa"/>
            <w:vAlign w:val="center"/>
          </w:tcPr>
          <w:p>
            <w:pPr>
              <w:ind w:left="-42" w:leftChars="-20"/>
              <w:jc w:val="center"/>
              <w:rPr>
                <w:b/>
                <w:sz w:val="18"/>
                <w:szCs w:val="18"/>
              </w:rPr>
            </w:pPr>
            <w:r>
              <w:rPr>
                <w:b/>
                <w:kern w:val="0"/>
                <w:sz w:val="18"/>
                <w:szCs w:val="18"/>
              </w:rPr>
              <w:t>&lt;0.01</w:t>
            </w:r>
          </w:p>
        </w:tc>
        <w:tc>
          <w:tcPr>
            <w:tcW w:w="945" w:type="dxa"/>
            <w:tcBorders>
              <w:right w:val="single" w:color="auto" w:sz="4" w:space="0"/>
            </w:tcBorders>
            <w:vAlign w:val="center"/>
          </w:tcPr>
          <w:p>
            <w:pPr>
              <w:ind w:left="-42" w:leftChars="-20"/>
              <w:jc w:val="center"/>
              <w:rPr>
                <w:b/>
                <w:sz w:val="18"/>
                <w:szCs w:val="18"/>
              </w:rPr>
            </w:pP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ind w:left="-42" w:leftChars="-20"/>
              <w:jc w:val="center"/>
              <w:rPr>
                <w:b/>
                <w:bCs/>
                <w:spacing w:val="-14"/>
                <w:kern w:val="0"/>
                <w:sz w:val="18"/>
                <w:szCs w:val="18"/>
              </w:rPr>
            </w:pPr>
            <w:r>
              <w:rPr>
                <w:rFonts w:hAnsi="宋体"/>
                <w:b/>
                <w:bCs/>
                <w:spacing w:val="-14"/>
                <w:kern w:val="0"/>
                <w:sz w:val="18"/>
                <w:szCs w:val="18"/>
              </w:rPr>
              <w:t>硫化物</w:t>
            </w:r>
          </w:p>
        </w:tc>
        <w:tc>
          <w:tcPr>
            <w:tcW w:w="943" w:type="dxa"/>
            <w:shd w:val="clear" w:color="auto" w:fill="auto"/>
            <w:vAlign w:val="center"/>
          </w:tcPr>
          <w:p>
            <w:pPr>
              <w:ind w:left="-42" w:leftChars="-20"/>
              <w:jc w:val="center"/>
              <w:rPr>
                <w:b/>
                <w:sz w:val="18"/>
                <w:szCs w:val="18"/>
              </w:rPr>
            </w:pPr>
            <w:r>
              <w:rPr>
                <w:b/>
                <w:kern w:val="0"/>
                <w:sz w:val="18"/>
                <w:szCs w:val="18"/>
              </w:rPr>
              <w:t>mg/L</w:t>
            </w:r>
          </w:p>
        </w:tc>
        <w:tc>
          <w:tcPr>
            <w:tcW w:w="916" w:type="dxa"/>
            <w:shd w:val="clear" w:color="auto" w:fill="auto"/>
            <w:vAlign w:val="center"/>
          </w:tcPr>
          <w:p>
            <w:pPr>
              <w:ind w:left="-42" w:leftChars="-20"/>
              <w:jc w:val="center"/>
              <w:rPr>
                <w:b/>
                <w:kern w:val="0"/>
                <w:sz w:val="18"/>
                <w:szCs w:val="18"/>
              </w:rPr>
            </w:pPr>
            <w:r>
              <w:rPr>
                <w:b/>
                <w:kern w:val="0"/>
                <w:sz w:val="18"/>
                <w:szCs w:val="18"/>
              </w:rPr>
              <w:t>&lt;0.005</w:t>
            </w:r>
          </w:p>
        </w:tc>
        <w:tc>
          <w:tcPr>
            <w:tcW w:w="916" w:type="dxa"/>
            <w:shd w:val="clear" w:color="auto" w:fill="auto"/>
            <w:vAlign w:val="center"/>
          </w:tcPr>
          <w:p>
            <w:pPr>
              <w:ind w:left="-42" w:leftChars="-20"/>
              <w:jc w:val="center"/>
              <w:rPr>
                <w:b/>
                <w:kern w:val="0"/>
                <w:sz w:val="18"/>
                <w:szCs w:val="18"/>
              </w:rPr>
            </w:pPr>
            <w:r>
              <w:rPr>
                <w:b/>
                <w:kern w:val="0"/>
                <w:sz w:val="18"/>
                <w:szCs w:val="18"/>
              </w:rPr>
              <w:t>&lt;0.005</w:t>
            </w:r>
          </w:p>
        </w:tc>
        <w:tc>
          <w:tcPr>
            <w:tcW w:w="916" w:type="dxa"/>
            <w:vAlign w:val="center"/>
          </w:tcPr>
          <w:p>
            <w:pPr>
              <w:ind w:left="-42" w:leftChars="-20"/>
              <w:jc w:val="center"/>
              <w:rPr>
                <w:b/>
                <w:sz w:val="18"/>
                <w:szCs w:val="18"/>
              </w:rPr>
            </w:pPr>
            <w:r>
              <w:rPr>
                <w:b/>
                <w:kern w:val="0"/>
                <w:sz w:val="18"/>
                <w:szCs w:val="18"/>
              </w:rPr>
              <w:t>&lt;0.005</w:t>
            </w:r>
          </w:p>
        </w:tc>
        <w:tc>
          <w:tcPr>
            <w:tcW w:w="916" w:type="dxa"/>
            <w:vAlign w:val="center"/>
          </w:tcPr>
          <w:p>
            <w:pPr>
              <w:ind w:left="-42" w:leftChars="-20"/>
              <w:jc w:val="center"/>
              <w:rPr>
                <w:b/>
                <w:sz w:val="18"/>
                <w:szCs w:val="18"/>
              </w:rPr>
            </w:pPr>
            <w:r>
              <w:rPr>
                <w:b/>
                <w:kern w:val="0"/>
                <w:sz w:val="18"/>
                <w:szCs w:val="18"/>
              </w:rPr>
              <w:t>&lt;0.005</w:t>
            </w:r>
          </w:p>
        </w:tc>
        <w:tc>
          <w:tcPr>
            <w:tcW w:w="1181" w:type="dxa"/>
            <w:vAlign w:val="center"/>
          </w:tcPr>
          <w:p>
            <w:pPr>
              <w:ind w:left="-42" w:leftChars="-20"/>
              <w:jc w:val="center"/>
              <w:rPr>
                <w:b/>
                <w:sz w:val="18"/>
                <w:szCs w:val="18"/>
              </w:rPr>
            </w:pPr>
            <w:r>
              <w:rPr>
                <w:b/>
                <w:kern w:val="0"/>
                <w:sz w:val="18"/>
                <w:szCs w:val="18"/>
              </w:rPr>
              <w:t>&lt;0.005</w:t>
            </w:r>
          </w:p>
        </w:tc>
        <w:tc>
          <w:tcPr>
            <w:tcW w:w="945" w:type="dxa"/>
            <w:tcBorders>
              <w:right w:val="single" w:color="auto" w:sz="4" w:space="0"/>
            </w:tcBorders>
            <w:vAlign w:val="center"/>
          </w:tcPr>
          <w:p>
            <w:pPr>
              <w:ind w:left="-42" w:leftChars="-20"/>
              <w:jc w:val="center"/>
              <w:rPr>
                <w:b/>
                <w:sz w:val="18"/>
                <w:szCs w:val="18"/>
              </w:rPr>
            </w:pPr>
          </w:p>
        </w:tc>
        <w:tc>
          <w:tcPr>
            <w:tcW w:w="473" w:type="dxa"/>
            <w:tcBorders>
              <w:left w:val="single" w:color="auto" w:sz="4" w:space="0"/>
              <w:right w:val="single" w:color="auto" w:sz="4" w:space="0"/>
            </w:tcBorders>
            <w:vAlign w:val="center"/>
          </w:tcPr>
          <w:p>
            <w:pPr>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ind w:left="-42" w:leftChars="-20"/>
              <w:jc w:val="center"/>
              <w:rPr>
                <w:b/>
                <w:kern w:val="0"/>
                <w:sz w:val="18"/>
                <w:szCs w:val="18"/>
              </w:rPr>
            </w:pPr>
            <w:r>
              <w:rPr>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 w:hRule="atLeast"/>
          <w:tblHeader/>
        </w:trPr>
        <w:tc>
          <w:tcPr>
            <w:tcW w:w="1301" w:type="dxa"/>
            <w:shd w:val="clear" w:color="auto" w:fill="auto"/>
            <w:vAlign w:val="center"/>
          </w:tcPr>
          <w:p>
            <w:pPr>
              <w:widowControl/>
              <w:spacing w:line="240" w:lineRule="exact"/>
              <w:ind w:left="-42" w:leftChars="-20"/>
              <w:jc w:val="center"/>
              <w:rPr>
                <w:b/>
                <w:bCs/>
                <w:spacing w:val="-14"/>
                <w:kern w:val="0"/>
                <w:sz w:val="18"/>
                <w:szCs w:val="18"/>
              </w:rPr>
            </w:pPr>
            <w:r>
              <w:rPr>
                <w:rFonts w:hAnsi="宋体"/>
                <w:b/>
                <w:bCs/>
                <w:spacing w:val="-14"/>
                <w:kern w:val="0"/>
                <w:sz w:val="18"/>
                <w:szCs w:val="18"/>
              </w:rPr>
              <w:t>氰化物</w:t>
            </w:r>
          </w:p>
        </w:tc>
        <w:tc>
          <w:tcPr>
            <w:tcW w:w="943" w:type="dxa"/>
            <w:shd w:val="clear" w:color="auto" w:fill="auto"/>
            <w:vAlign w:val="center"/>
          </w:tcPr>
          <w:p>
            <w:pPr>
              <w:spacing w:line="240" w:lineRule="exact"/>
              <w:ind w:left="-42" w:leftChars="-20"/>
              <w:jc w:val="center"/>
              <w:rPr>
                <w:b/>
                <w:sz w:val="18"/>
                <w:szCs w:val="18"/>
              </w:rPr>
            </w:pPr>
            <w:r>
              <w:rPr>
                <w:b/>
                <w:kern w:val="0"/>
                <w:sz w:val="18"/>
                <w:szCs w:val="18"/>
              </w:rPr>
              <w:t>mg/L</w:t>
            </w:r>
          </w:p>
        </w:tc>
        <w:tc>
          <w:tcPr>
            <w:tcW w:w="916" w:type="dxa"/>
            <w:shd w:val="clear" w:color="auto" w:fill="auto"/>
            <w:vAlign w:val="center"/>
          </w:tcPr>
          <w:p>
            <w:pPr>
              <w:spacing w:line="240" w:lineRule="exact"/>
              <w:ind w:left="-42" w:leftChars="-20"/>
              <w:jc w:val="center"/>
              <w:rPr>
                <w:b/>
                <w:kern w:val="0"/>
                <w:sz w:val="18"/>
                <w:szCs w:val="18"/>
              </w:rPr>
            </w:pPr>
            <w:r>
              <w:rPr>
                <w:b/>
                <w:kern w:val="0"/>
                <w:sz w:val="18"/>
                <w:szCs w:val="18"/>
              </w:rPr>
              <w:t>&lt;0.002</w:t>
            </w:r>
          </w:p>
        </w:tc>
        <w:tc>
          <w:tcPr>
            <w:tcW w:w="916" w:type="dxa"/>
            <w:shd w:val="clear" w:color="auto" w:fill="auto"/>
            <w:vAlign w:val="center"/>
          </w:tcPr>
          <w:p>
            <w:pPr>
              <w:spacing w:line="240" w:lineRule="exact"/>
              <w:ind w:left="-42" w:leftChars="-20"/>
              <w:jc w:val="center"/>
              <w:rPr>
                <w:b/>
                <w:kern w:val="0"/>
                <w:sz w:val="18"/>
                <w:szCs w:val="18"/>
              </w:rPr>
            </w:pPr>
            <w:r>
              <w:rPr>
                <w:b/>
                <w:kern w:val="0"/>
                <w:sz w:val="18"/>
                <w:szCs w:val="18"/>
              </w:rPr>
              <w:t>&lt;0.002</w:t>
            </w:r>
          </w:p>
        </w:tc>
        <w:tc>
          <w:tcPr>
            <w:tcW w:w="916" w:type="dxa"/>
            <w:vAlign w:val="center"/>
          </w:tcPr>
          <w:p>
            <w:pPr>
              <w:spacing w:line="240" w:lineRule="exact"/>
              <w:ind w:left="-42" w:leftChars="-20"/>
              <w:jc w:val="center"/>
              <w:rPr>
                <w:b/>
                <w:sz w:val="18"/>
                <w:szCs w:val="18"/>
              </w:rPr>
            </w:pPr>
            <w:r>
              <w:rPr>
                <w:b/>
                <w:kern w:val="0"/>
                <w:sz w:val="18"/>
                <w:szCs w:val="18"/>
              </w:rPr>
              <w:t>&lt;0.002</w:t>
            </w:r>
          </w:p>
        </w:tc>
        <w:tc>
          <w:tcPr>
            <w:tcW w:w="916" w:type="dxa"/>
            <w:vAlign w:val="center"/>
          </w:tcPr>
          <w:p>
            <w:pPr>
              <w:spacing w:line="240" w:lineRule="exact"/>
              <w:ind w:left="-42" w:leftChars="-20"/>
              <w:jc w:val="center"/>
              <w:rPr>
                <w:b/>
                <w:sz w:val="18"/>
                <w:szCs w:val="18"/>
              </w:rPr>
            </w:pPr>
            <w:r>
              <w:rPr>
                <w:b/>
                <w:kern w:val="0"/>
                <w:sz w:val="18"/>
                <w:szCs w:val="18"/>
              </w:rPr>
              <w:t>&lt;0.002</w:t>
            </w:r>
          </w:p>
        </w:tc>
        <w:tc>
          <w:tcPr>
            <w:tcW w:w="1181" w:type="dxa"/>
            <w:vAlign w:val="center"/>
          </w:tcPr>
          <w:p>
            <w:pPr>
              <w:spacing w:line="240" w:lineRule="exact"/>
              <w:ind w:left="-42" w:leftChars="-20"/>
              <w:jc w:val="center"/>
              <w:rPr>
                <w:b/>
                <w:sz w:val="18"/>
                <w:szCs w:val="18"/>
              </w:rPr>
            </w:pPr>
            <w:r>
              <w:rPr>
                <w:b/>
                <w:kern w:val="0"/>
                <w:sz w:val="18"/>
                <w:szCs w:val="18"/>
              </w:rPr>
              <w:t>&lt;0.002</w:t>
            </w:r>
          </w:p>
        </w:tc>
        <w:tc>
          <w:tcPr>
            <w:tcW w:w="945" w:type="dxa"/>
            <w:tcBorders>
              <w:right w:val="single" w:color="auto" w:sz="4" w:space="0"/>
            </w:tcBorders>
            <w:vAlign w:val="center"/>
          </w:tcPr>
          <w:p>
            <w:pPr>
              <w:spacing w:line="240" w:lineRule="exact"/>
              <w:ind w:left="-42" w:leftChars="-20"/>
              <w:jc w:val="center"/>
              <w:rPr>
                <w:b/>
                <w:spacing w:val="-10"/>
                <w:sz w:val="18"/>
                <w:szCs w:val="18"/>
              </w:rPr>
            </w:pPr>
            <w:r>
              <w:rPr>
                <w:b/>
                <w:sz w:val="18"/>
                <w:szCs w:val="18"/>
              </w:rPr>
              <w:t>0.05</w:t>
            </w:r>
          </w:p>
        </w:tc>
        <w:tc>
          <w:tcPr>
            <w:tcW w:w="473" w:type="dxa"/>
            <w:tcBorders>
              <w:left w:val="single" w:color="auto" w:sz="4" w:space="0"/>
              <w:right w:val="single" w:color="auto" w:sz="4" w:space="0"/>
            </w:tcBorders>
            <w:vAlign w:val="center"/>
          </w:tcPr>
          <w:p>
            <w:pPr>
              <w:spacing w:line="240" w:lineRule="exact"/>
              <w:ind w:left="-42" w:leftChars="-20"/>
              <w:jc w:val="center"/>
              <w:rPr>
                <w:b/>
                <w:spacing w:val="-10"/>
                <w:sz w:val="18"/>
                <w:szCs w:val="18"/>
              </w:rPr>
            </w:pPr>
            <w:r>
              <w:rPr>
                <w:b/>
                <w:spacing w:val="-10"/>
                <w:sz w:val="18"/>
                <w:szCs w:val="18"/>
              </w:rPr>
              <w:t>0</w:t>
            </w:r>
          </w:p>
        </w:tc>
        <w:tc>
          <w:tcPr>
            <w:tcW w:w="493" w:type="dxa"/>
            <w:tcBorders>
              <w:left w:val="single" w:color="auto" w:sz="4" w:space="0"/>
            </w:tcBorders>
            <w:vAlign w:val="center"/>
          </w:tcPr>
          <w:p>
            <w:pPr>
              <w:spacing w:line="240" w:lineRule="exact"/>
              <w:ind w:left="-42" w:leftChars="-20"/>
              <w:jc w:val="center"/>
              <w:rPr>
                <w:b/>
                <w:kern w:val="0"/>
                <w:sz w:val="18"/>
                <w:szCs w:val="18"/>
              </w:rPr>
            </w:pPr>
            <w:r>
              <w:rPr>
                <w:b/>
                <w:kern w:val="0"/>
                <w:sz w:val="18"/>
                <w:szCs w:val="18"/>
              </w:rPr>
              <w:t>/</w:t>
            </w:r>
          </w:p>
        </w:tc>
      </w:tr>
    </w:tbl>
    <w:p>
      <w:pPr>
        <w:spacing w:beforeLines="50" w:line="360" w:lineRule="auto"/>
        <w:ind w:firstLine="482" w:firstLineChars="200"/>
        <w:rPr>
          <w:b/>
          <w:sz w:val="24"/>
          <w:u w:val="single"/>
        </w:rPr>
      </w:pPr>
      <w:r>
        <w:rPr>
          <w:b/>
          <w:sz w:val="24"/>
          <w:u w:val="single"/>
        </w:rPr>
        <w:t>根据</w:t>
      </w:r>
      <w:r>
        <w:rPr>
          <w:rFonts w:hint="eastAsia"/>
          <w:b/>
          <w:sz w:val="24"/>
          <w:u w:val="single"/>
        </w:rPr>
        <w:t>表5.3-4及表5.3-5结果对比情况来看</w:t>
      </w:r>
      <w:r>
        <w:rPr>
          <w:b/>
          <w:sz w:val="24"/>
          <w:u w:val="single"/>
        </w:rPr>
        <w:t xml:space="preserve">，调查区域地下水监测点位各项监测指标均满足《地下水质量标准》（GB/T14848-93）Ⅲ标准要求。与环评阶段对比，各项监测指标变化不大。 </w:t>
      </w:r>
    </w:p>
    <w:p>
      <w:pPr>
        <w:pStyle w:val="3"/>
        <w:spacing w:before="0" w:after="0"/>
        <w:rPr>
          <w:rFonts w:ascii="Times New Roman" w:hAnsi="Times New Roman"/>
        </w:rPr>
      </w:pPr>
      <w:bookmarkStart w:id="554" w:name="_Toc406504223"/>
      <w:bookmarkStart w:id="555" w:name="_Toc407153505"/>
      <w:bookmarkStart w:id="556" w:name="_Toc370112133"/>
      <w:bookmarkStart w:id="557" w:name="_Toc407217371"/>
      <w:bookmarkStart w:id="558" w:name="_Toc420663693"/>
      <w:bookmarkStart w:id="559" w:name="_Toc470358694"/>
      <w:bookmarkStart w:id="560" w:name="_Toc488578916"/>
      <w:r>
        <w:rPr>
          <w:rFonts w:ascii="Times New Roman" w:hAnsi="Times New Roman"/>
        </w:rPr>
        <w:t>5.4 大气环境影响调查</w:t>
      </w:r>
      <w:bookmarkEnd w:id="551"/>
      <w:bookmarkEnd w:id="552"/>
      <w:bookmarkEnd w:id="554"/>
      <w:bookmarkEnd w:id="555"/>
      <w:bookmarkEnd w:id="556"/>
      <w:bookmarkEnd w:id="557"/>
      <w:bookmarkEnd w:id="558"/>
      <w:bookmarkEnd w:id="559"/>
      <w:bookmarkEnd w:id="560"/>
    </w:p>
    <w:p>
      <w:pPr>
        <w:pStyle w:val="10"/>
        <w:spacing w:line="360" w:lineRule="auto"/>
        <w:rPr>
          <w:rFonts w:ascii="Times New Roman" w:hAnsi="Times New Roman"/>
        </w:rPr>
      </w:pPr>
      <w:r>
        <w:rPr>
          <w:rFonts w:ascii="Times New Roman" w:hAnsi="Times New Roman"/>
        </w:rPr>
        <w:t>5.4.1矿山大气环境影响调查</w:t>
      </w:r>
    </w:p>
    <w:p>
      <w:pPr>
        <w:spacing w:line="360" w:lineRule="auto"/>
        <w:ind w:firstLine="488" w:firstLineChars="200"/>
        <w:rPr>
          <w:sz w:val="24"/>
        </w:rPr>
      </w:pPr>
      <w:r>
        <w:rPr>
          <w:spacing w:val="2"/>
          <w:sz w:val="24"/>
        </w:rPr>
        <w:t>本项目采矿生产过程中对环境空气形成的污染主要分为以下几类：一是</w:t>
      </w:r>
      <w:r>
        <w:rPr>
          <w:sz w:val="24"/>
          <w:lang w:val="zh-CN"/>
        </w:rPr>
        <w:t>井下凿岩时产生的废气</w:t>
      </w:r>
      <w:r>
        <w:rPr>
          <w:spacing w:val="2"/>
          <w:sz w:val="24"/>
        </w:rPr>
        <w:t>；二是采矿废石场、工业场地（含矿石中转场等固定污染源的风蚀扬尘；三是矿石运输动力扬尘。</w:t>
      </w:r>
    </w:p>
    <w:p>
      <w:pPr>
        <w:spacing w:line="360" w:lineRule="auto"/>
        <w:ind w:firstLine="480" w:firstLineChars="200"/>
        <w:rPr>
          <w:sz w:val="24"/>
        </w:rPr>
      </w:pPr>
      <w:bookmarkStart w:id="561" w:name="_Toc406504226"/>
      <w:bookmarkStart w:id="562" w:name="_Toc407217374"/>
      <w:bookmarkStart w:id="563" w:name="_Toc407153508"/>
      <w:r>
        <w:rPr>
          <w:sz w:val="24"/>
        </w:rPr>
        <w:t>1）监测点位及监测因子</w:t>
      </w:r>
    </w:p>
    <w:p>
      <w:pPr>
        <w:spacing w:line="360" w:lineRule="auto"/>
        <w:ind w:firstLine="480" w:firstLineChars="200"/>
        <w:rPr>
          <w:sz w:val="24"/>
        </w:rPr>
      </w:pPr>
      <w:r>
        <w:rPr>
          <w:sz w:val="24"/>
        </w:rPr>
        <w:t>在新建废石场上风向10m设置一个参照点，下风向10m处设置3个高浓度监测点；工业场地上风向10m设置一个参照点，下风向10m处设置3个高浓度监测点监测因子为颗粒物。</w:t>
      </w:r>
    </w:p>
    <w:p>
      <w:pPr>
        <w:spacing w:line="360" w:lineRule="auto"/>
        <w:ind w:firstLine="480" w:firstLineChars="200"/>
        <w:rPr>
          <w:sz w:val="24"/>
        </w:rPr>
      </w:pPr>
      <w:r>
        <w:rPr>
          <w:sz w:val="24"/>
        </w:rPr>
        <w:t>2）监测时间、频率及分析方法</w:t>
      </w:r>
    </w:p>
    <w:p>
      <w:pPr>
        <w:spacing w:line="360" w:lineRule="auto"/>
        <w:ind w:firstLine="480" w:firstLineChars="200"/>
        <w:rPr>
          <w:sz w:val="24"/>
        </w:rPr>
      </w:pPr>
      <w:r>
        <w:rPr>
          <w:sz w:val="24"/>
        </w:rPr>
        <w:t>灵宝市环境监测站于2016年8月25日～8月26日对废石场连续监测2天，每天4次，每次连续采样1小时。监测分析方法按照《环境监测技术方法》中规定进行。</w:t>
      </w:r>
    </w:p>
    <w:p>
      <w:pPr>
        <w:spacing w:line="360" w:lineRule="auto"/>
        <w:ind w:firstLine="480" w:firstLineChars="200"/>
        <w:rPr>
          <w:sz w:val="24"/>
        </w:rPr>
      </w:pPr>
      <w:r>
        <w:rPr>
          <w:sz w:val="24"/>
        </w:rPr>
        <w:t>3）监测结果分析</w:t>
      </w:r>
    </w:p>
    <w:p>
      <w:pPr>
        <w:spacing w:line="360" w:lineRule="auto"/>
        <w:ind w:firstLine="480" w:firstLineChars="200"/>
        <w:rPr>
          <w:rFonts w:eastAsia="黑体"/>
          <w:sz w:val="24"/>
        </w:rPr>
      </w:pPr>
      <w:r>
        <w:rPr>
          <w:sz w:val="24"/>
        </w:rPr>
        <w:t>验收监测结果见表5.4-1。</w:t>
      </w:r>
    </w:p>
    <w:p>
      <w:pPr>
        <w:spacing w:line="520" w:lineRule="exact"/>
        <w:rPr>
          <w:rFonts w:eastAsia="黑体"/>
          <w:sz w:val="24"/>
        </w:rPr>
      </w:pPr>
      <w:r>
        <w:rPr>
          <w:rFonts w:eastAsia="黑体"/>
          <w:sz w:val="24"/>
        </w:rPr>
        <w:t xml:space="preserve">    表5.4-1            废石场无组织排放监测结果一览表</w:t>
      </w:r>
    </w:p>
    <w:tbl>
      <w:tblPr>
        <w:tblStyle w:val="54"/>
        <w:tblW w:w="83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2410"/>
        <w:gridCol w:w="1276"/>
        <w:gridCol w:w="2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951" w:type="dxa"/>
            <w:gridSpan w:val="2"/>
            <w:vMerge w:val="restart"/>
            <w:tcBorders>
              <w:top w:val="single" w:color="auto" w:sz="12" w:space="0"/>
              <w:left w:val="single" w:color="auto" w:sz="12" w:space="0"/>
              <w:bottom w:val="single" w:color="auto" w:sz="4" w:space="0"/>
            </w:tcBorders>
            <w:vAlign w:val="center"/>
          </w:tcPr>
          <w:p>
            <w:pPr>
              <w:jc w:val="center"/>
              <w:rPr>
                <w:sz w:val="20"/>
                <w:szCs w:val="20"/>
              </w:rPr>
            </w:pPr>
            <w:r>
              <w:rPr>
                <w:sz w:val="20"/>
                <w:szCs w:val="20"/>
              </w:rPr>
              <w:t>日期</w:t>
            </w:r>
          </w:p>
        </w:tc>
        <w:tc>
          <w:tcPr>
            <w:tcW w:w="3686" w:type="dxa"/>
            <w:gridSpan w:val="2"/>
            <w:vMerge w:val="restart"/>
            <w:tcBorders>
              <w:top w:val="single" w:color="auto" w:sz="12" w:space="0"/>
              <w:bottom w:val="single" w:color="auto" w:sz="4" w:space="0"/>
            </w:tcBorders>
            <w:vAlign w:val="center"/>
          </w:tcPr>
          <w:p>
            <w:pPr>
              <w:jc w:val="center"/>
              <w:rPr>
                <w:sz w:val="20"/>
                <w:szCs w:val="20"/>
              </w:rPr>
            </w:pPr>
            <w:r>
              <w:rPr>
                <w:sz w:val="20"/>
                <w:szCs w:val="20"/>
              </w:rPr>
              <w:t>监测项目</w:t>
            </w:r>
          </w:p>
          <w:p>
            <w:pPr>
              <w:jc w:val="center"/>
              <w:rPr>
                <w:sz w:val="20"/>
                <w:szCs w:val="20"/>
              </w:rPr>
            </w:pPr>
            <w:r>
              <w:rPr>
                <w:sz w:val="20"/>
                <w:szCs w:val="20"/>
              </w:rPr>
              <w:t>标准限值（差值）</w:t>
            </w:r>
          </w:p>
        </w:tc>
        <w:tc>
          <w:tcPr>
            <w:tcW w:w="2693" w:type="dxa"/>
            <w:tcBorders>
              <w:top w:val="single" w:color="auto" w:sz="12" w:space="0"/>
              <w:bottom w:val="single" w:color="auto" w:sz="4" w:space="0"/>
              <w:right w:val="single" w:color="auto" w:sz="12" w:space="0"/>
            </w:tcBorders>
            <w:vAlign w:val="center"/>
          </w:tcPr>
          <w:p>
            <w:pPr>
              <w:jc w:val="center"/>
              <w:rPr>
                <w:sz w:val="20"/>
                <w:szCs w:val="20"/>
              </w:rPr>
            </w:pPr>
            <w:r>
              <w:rPr>
                <w:sz w:val="20"/>
                <w:szCs w:val="20"/>
              </w:rPr>
              <w:t>颗粒物（mg/m</w:t>
            </w:r>
            <w:r>
              <w:rPr>
                <w:sz w:val="20"/>
                <w:szCs w:val="20"/>
                <w:vertAlign w:val="superscript"/>
              </w:rPr>
              <w:t>3</w:t>
            </w:r>
            <w:r>
              <w:rPr>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951" w:type="dxa"/>
            <w:gridSpan w:val="2"/>
            <w:vMerge w:val="continue"/>
            <w:tcBorders>
              <w:top w:val="single" w:color="auto" w:sz="4" w:space="0"/>
              <w:left w:val="single" w:color="auto" w:sz="12" w:space="0"/>
              <w:bottom w:val="single" w:color="auto" w:sz="4" w:space="0"/>
            </w:tcBorders>
            <w:vAlign w:val="center"/>
          </w:tcPr>
          <w:p>
            <w:pPr>
              <w:jc w:val="center"/>
              <w:rPr>
                <w:sz w:val="20"/>
                <w:szCs w:val="20"/>
              </w:rPr>
            </w:pPr>
          </w:p>
        </w:tc>
        <w:tc>
          <w:tcPr>
            <w:tcW w:w="3686" w:type="dxa"/>
            <w:gridSpan w:val="2"/>
            <w:vMerge w:val="continue"/>
            <w:tcBorders>
              <w:top w:val="single" w:color="auto" w:sz="4" w:space="0"/>
              <w:bottom w:val="single" w:color="auto" w:sz="4" w:space="0"/>
            </w:tcBorders>
            <w:vAlign w:val="center"/>
          </w:tcPr>
          <w:p>
            <w:pPr>
              <w:jc w:val="center"/>
              <w:rPr>
                <w:sz w:val="20"/>
                <w:szCs w:val="20"/>
              </w:rPr>
            </w:pPr>
          </w:p>
        </w:tc>
        <w:tc>
          <w:tcPr>
            <w:tcW w:w="2693" w:type="dxa"/>
            <w:tcBorders>
              <w:top w:val="single" w:color="auto" w:sz="4" w:space="0"/>
              <w:bottom w:val="single" w:color="auto" w:sz="4" w:space="0"/>
              <w:right w:val="single" w:color="auto" w:sz="12" w:space="0"/>
            </w:tcBorders>
            <w:vAlign w:val="center"/>
          </w:tcPr>
          <w:p>
            <w:pPr>
              <w:jc w:val="center"/>
              <w:rPr>
                <w:sz w:val="20"/>
                <w:szCs w:val="20"/>
              </w:rPr>
            </w:pPr>
            <w:r>
              <w:rPr>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trPr>
        <w:tc>
          <w:tcPr>
            <w:tcW w:w="1101" w:type="dxa"/>
            <w:vMerge w:val="restart"/>
            <w:tcBorders>
              <w:top w:val="single" w:color="auto" w:sz="4" w:space="0"/>
              <w:left w:val="single" w:color="auto" w:sz="12" w:space="0"/>
              <w:bottom w:val="single" w:color="auto" w:sz="4" w:space="0"/>
              <w:right w:val="single" w:color="auto" w:sz="6" w:space="0"/>
            </w:tcBorders>
            <w:vAlign w:val="center"/>
          </w:tcPr>
          <w:p>
            <w:pPr>
              <w:jc w:val="center"/>
              <w:rPr>
                <w:sz w:val="20"/>
                <w:szCs w:val="20"/>
              </w:rPr>
            </w:pPr>
            <w:r>
              <w:rPr>
                <w:sz w:val="20"/>
                <w:szCs w:val="20"/>
              </w:rPr>
              <w:t>废石场</w:t>
            </w:r>
          </w:p>
        </w:tc>
        <w:tc>
          <w:tcPr>
            <w:tcW w:w="850"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8.25</w:t>
            </w:r>
          </w:p>
        </w:tc>
        <w:tc>
          <w:tcPr>
            <w:tcW w:w="2410" w:type="dxa"/>
            <w:tcBorders>
              <w:top w:val="single" w:color="auto" w:sz="4" w:space="0"/>
              <w:bottom w:val="single" w:color="auto" w:sz="4" w:space="0"/>
            </w:tcBorders>
            <w:vAlign w:val="center"/>
          </w:tcPr>
          <w:p>
            <w:pPr>
              <w:jc w:val="center"/>
              <w:rPr>
                <w:sz w:val="20"/>
                <w:szCs w:val="20"/>
              </w:rPr>
            </w:pPr>
            <w:r>
              <w:rPr>
                <w:sz w:val="20"/>
                <w:szCs w:val="20"/>
              </w:rPr>
              <w:t>废石场下风向10m处</w:t>
            </w:r>
          </w:p>
        </w:tc>
        <w:tc>
          <w:tcPr>
            <w:tcW w:w="1276" w:type="dxa"/>
            <w:tcBorders>
              <w:top w:val="single" w:color="auto" w:sz="4" w:space="0"/>
              <w:bottom w:val="single" w:color="auto" w:sz="4" w:space="0"/>
            </w:tcBorders>
            <w:vAlign w:val="center"/>
          </w:tcPr>
          <w:p>
            <w:pPr>
              <w:jc w:val="center"/>
              <w:rPr>
                <w:sz w:val="20"/>
                <w:szCs w:val="20"/>
              </w:rPr>
            </w:pPr>
            <w:r>
              <w:rPr>
                <w:sz w:val="20"/>
                <w:szCs w:val="20"/>
              </w:rPr>
              <w:t>监测结果</w:t>
            </w:r>
          </w:p>
        </w:tc>
        <w:tc>
          <w:tcPr>
            <w:tcW w:w="2693" w:type="dxa"/>
            <w:tcBorders>
              <w:top w:val="single" w:color="auto" w:sz="4" w:space="0"/>
              <w:bottom w:val="single" w:color="auto" w:sz="4" w:space="0"/>
              <w:right w:val="single" w:color="auto" w:sz="12" w:space="0"/>
            </w:tcBorders>
            <w:vAlign w:val="center"/>
          </w:tcPr>
          <w:p>
            <w:pPr>
              <w:jc w:val="center"/>
              <w:rPr>
                <w:sz w:val="20"/>
                <w:szCs w:val="20"/>
              </w:rPr>
            </w:pPr>
            <w:r>
              <w:rPr>
                <w:sz w:val="20"/>
                <w:szCs w:val="20"/>
              </w:rPr>
              <w:t>-0.09～0.113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1" w:type="dxa"/>
            <w:vMerge w:val="continue"/>
            <w:tcBorders>
              <w:top w:val="single" w:color="auto" w:sz="4" w:space="0"/>
              <w:left w:val="single" w:color="auto" w:sz="12" w:space="0"/>
              <w:bottom w:val="single" w:color="auto" w:sz="4" w:space="0"/>
              <w:right w:val="single" w:color="auto" w:sz="6" w:space="0"/>
            </w:tcBorders>
            <w:vAlign w:val="center"/>
          </w:tcPr>
          <w:p>
            <w:pPr>
              <w:jc w:val="center"/>
              <w:rPr>
                <w:sz w:val="20"/>
                <w:szCs w:val="20"/>
              </w:rPr>
            </w:pPr>
          </w:p>
        </w:tc>
        <w:tc>
          <w:tcPr>
            <w:tcW w:w="850"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8.26</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sz w:val="20"/>
                <w:szCs w:val="20"/>
              </w:rPr>
              <w:t>废石场下风向10m处</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sz w:val="20"/>
                <w:szCs w:val="20"/>
              </w:rPr>
              <w:t>监测结果</w:t>
            </w:r>
          </w:p>
        </w:tc>
        <w:tc>
          <w:tcPr>
            <w:tcW w:w="2693" w:type="dxa"/>
            <w:tcBorders>
              <w:top w:val="single" w:color="auto" w:sz="4" w:space="0"/>
              <w:left w:val="single" w:color="auto" w:sz="4" w:space="0"/>
              <w:bottom w:val="single" w:color="auto" w:sz="4" w:space="0"/>
              <w:right w:val="single" w:color="auto" w:sz="12" w:space="0"/>
            </w:tcBorders>
            <w:vAlign w:val="center"/>
          </w:tcPr>
          <w:p>
            <w:pPr>
              <w:jc w:val="center"/>
              <w:rPr>
                <w:sz w:val="20"/>
                <w:szCs w:val="20"/>
              </w:rPr>
            </w:pPr>
            <w:r>
              <w:rPr>
                <w:sz w:val="20"/>
                <w:szCs w:val="20"/>
              </w:rPr>
              <w:t>0.026～0.134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1" w:type="dxa"/>
            <w:vMerge w:val="restart"/>
            <w:tcBorders>
              <w:top w:val="single" w:color="auto" w:sz="4" w:space="0"/>
              <w:left w:val="single" w:color="auto" w:sz="12" w:space="0"/>
              <w:bottom w:val="single" w:color="auto" w:sz="4" w:space="0"/>
              <w:right w:val="single" w:color="auto" w:sz="6" w:space="0"/>
            </w:tcBorders>
            <w:vAlign w:val="center"/>
          </w:tcPr>
          <w:p>
            <w:pPr>
              <w:jc w:val="center"/>
              <w:rPr>
                <w:sz w:val="20"/>
                <w:szCs w:val="20"/>
              </w:rPr>
            </w:pPr>
            <w:r>
              <w:rPr>
                <w:sz w:val="20"/>
                <w:szCs w:val="20"/>
              </w:rPr>
              <w:t>工业场地</w:t>
            </w:r>
          </w:p>
        </w:tc>
        <w:tc>
          <w:tcPr>
            <w:tcW w:w="850" w:type="dxa"/>
            <w:tcBorders>
              <w:top w:val="single" w:color="auto" w:sz="4" w:space="0"/>
              <w:left w:val="single" w:color="auto" w:sz="6" w:space="0"/>
              <w:bottom w:val="single" w:color="auto" w:sz="4" w:space="0"/>
            </w:tcBorders>
            <w:vAlign w:val="center"/>
          </w:tcPr>
          <w:p>
            <w:pPr>
              <w:jc w:val="center"/>
              <w:rPr>
                <w:sz w:val="20"/>
                <w:szCs w:val="20"/>
              </w:rPr>
            </w:pPr>
            <w:r>
              <w:rPr>
                <w:sz w:val="20"/>
                <w:szCs w:val="20"/>
              </w:rPr>
              <w:t>8.25</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sz w:val="20"/>
                <w:szCs w:val="20"/>
              </w:rPr>
              <w:t>废石场下风向10m处</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sz w:val="20"/>
                <w:szCs w:val="20"/>
              </w:rPr>
              <w:t>监测结果</w:t>
            </w:r>
          </w:p>
        </w:tc>
        <w:tc>
          <w:tcPr>
            <w:tcW w:w="2693" w:type="dxa"/>
            <w:tcBorders>
              <w:top w:val="single" w:color="auto" w:sz="4" w:space="0"/>
              <w:left w:val="single" w:color="auto" w:sz="4" w:space="0"/>
              <w:bottom w:val="single" w:color="auto" w:sz="4" w:space="0"/>
              <w:right w:val="single" w:color="auto" w:sz="12" w:space="0"/>
            </w:tcBorders>
            <w:vAlign w:val="center"/>
          </w:tcPr>
          <w:p>
            <w:pPr>
              <w:jc w:val="center"/>
              <w:rPr>
                <w:sz w:val="20"/>
                <w:szCs w:val="20"/>
              </w:rPr>
            </w:pPr>
            <w:r>
              <w:rPr>
                <w:sz w:val="20"/>
                <w:szCs w:val="20"/>
              </w:rPr>
              <w:t>0.021～0.147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1" w:type="dxa"/>
            <w:vMerge w:val="continue"/>
            <w:tcBorders>
              <w:top w:val="single" w:color="auto" w:sz="4" w:space="0"/>
              <w:left w:val="single" w:color="auto" w:sz="12" w:space="0"/>
              <w:bottom w:val="single" w:color="auto" w:sz="12" w:space="0"/>
              <w:right w:val="single" w:color="auto" w:sz="6" w:space="0"/>
            </w:tcBorders>
            <w:vAlign w:val="center"/>
          </w:tcPr>
          <w:p>
            <w:pPr>
              <w:jc w:val="center"/>
              <w:rPr>
                <w:sz w:val="20"/>
                <w:szCs w:val="20"/>
              </w:rPr>
            </w:pPr>
          </w:p>
        </w:tc>
        <w:tc>
          <w:tcPr>
            <w:tcW w:w="850" w:type="dxa"/>
            <w:tcBorders>
              <w:top w:val="single" w:color="auto" w:sz="4" w:space="0"/>
              <w:left w:val="single" w:color="auto" w:sz="6" w:space="0"/>
              <w:bottom w:val="single" w:color="auto" w:sz="12" w:space="0"/>
            </w:tcBorders>
            <w:vAlign w:val="center"/>
          </w:tcPr>
          <w:p>
            <w:pPr>
              <w:jc w:val="center"/>
              <w:rPr>
                <w:sz w:val="20"/>
                <w:szCs w:val="20"/>
              </w:rPr>
            </w:pPr>
            <w:r>
              <w:rPr>
                <w:sz w:val="20"/>
                <w:szCs w:val="20"/>
              </w:rPr>
              <w:t>8.26</w:t>
            </w:r>
          </w:p>
        </w:tc>
        <w:tc>
          <w:tcPr>
            <w:tcW w:w="2410" w:type="dxa"/>
            <w:tcBorders>
              <w:top w:val="single" w:color="auto" w:sz="4" w:space="0"/>
              <w:left w:val="single" w:color="auto" w:sz="4" w:space="0"/>
              <w:bottom w:val="single" w:color="auto" w:sz="12" w:space="0"/>
              <w:right w:val="single" w:color="auto" w:sz="4" w:space="0"/>
            </w:tcBorders>
            <w:vAlign w:val="center"/>
          </w:tcPr>
          <w:p>
            <w:pPr>
              <w:jc w:val="center"/>
              <w:rPr>
                <w:sz w:val="20"/>
                <w:szCs w:val="20"/>
              </w:rPr>
            </w:pPr>
            <w:r>
              <w:rPr>
                <w:sz w:val="20"/>
                <w:szCs w:val="20"/>
              </w:rPr>
              <w:t>废石场下风向10m处</w:t>
            </w:r>
          </w:p>
        </w:tc>
        <w:tc>
          <w:tcPr>
            <w:tcW w:w="1276" w:type="dxa"/>
            <w:tcBorders>
              <w:top w:val="single" w:color="auto" w:sz="4" w:space="0"/>
              <w:left w:val="single" w:color="auto" w:sz="4" w:space="0"/>
              <w:bottom w:val="single" w:color="auto" w:sz="12" w:space="0"/>
              <w:right w:val="single" w:color="auto" w:sz="4" w:space="0"/>
            </w:tcBorders>
            <w:vAlign w:val="center"/>
          </w:tcPr>
          <w:p>
            <w:pPr>
              <w:jc w:val="center"/>
              <w:rPr>
                <w:sz w:val="20"/>
                <w:szCs w:val="20"/>
              </w:rPr>
            </w:pPr>
            <w:r>
              <w:rPr>
                <w:sz w:val="20"/>
                <w:szCs w:val="20"/>
              </w:rPr>
              <w:t>监测结果</w:t>
            </w:r>
          </w:p>
        </w:tc>
        <w:tc>
          <w:tcPr>
            <w:tcW w:w="2693" w:type="dxa"/>
            <w:tcBorders>
              <w:top w:val="single" w:color="auto" w:sz="4" w:space="0"/>
              <w:left w:val="single" w:color="auto" w:sz="4" w:space="0"/>
              <w:bottom w:val="single" w:color="auto" w:sz="12" w:space="0"/>
              <w:right w:val="single" w:color="auto" w:sz="12" w:space="0"/>
            </w:tcBorders>
            <w:vAlign w:val="center"/>
          </w:tcPr>
          <w:p>
            <w:pPr>
              <w:jc w:val="center"/>
              <w:rPr>
                <w:sz w:val="20"/>
                <w:szCs w:val="20"/>
              </w:rPr>
            </w:pPr>
            <w:r>
              <w:rPr>
                <w:sz w:val="20"/>
                <w:szCs w:val="20"/>
              </w:rPr>
              <w:t>0.024～0.113</w:t>
            </w:r>
          </w:p>
        </w:tc>
      </w:tr>
    </w:tbl>
    <w:p>
      <w:pPr>
        <w:spacing w:beforeLines="50" w:line="360" w:lineRule="auto"/>
        <w:ind w:firstLine="480" w:firstLineChars="200"/>
        <w:rPr>
          <w:sz w:val="24"/>
        </w:rPr>
      </w:pPr>
      <w:r>
        <w:rPr>
          <w:sz w:val="24"/>
        </w:rPr>
        <w:t>由表5.4-1可以看出，废石场及工业场地无组织排放颗粒物排放监测浓度最大值为0.147mg/m</w:t>
      </w:r>
      <w:r>
        <w:rPr>
          <w:sz w:val="24"/>
          <w:vertAlign w:val="superscript"/>
        </w:rPr>
        <w:t>3</w:t>
      </w:r>
      <w:r>
        <w:rPr>
          <w:sz w:val="24"/>
        </w:rPr>
        <w:t>，废石场无组织颗粒物浓度能够满足</w:t>
      </w:r>
      <w:r>
        <w:rPr>
          <w:spacing w:val="2"/>
          <w:sz w:val="24"/>
        </w:rPr>
        <w:t>《大气污染物综合排放标准》（GB16297－1996）表2中无组织排放监控浓度限值</w:t>
      </w:r>
      <w:r>
        <w:rPr>
          <w:sz w:val="24"/>
        </w:rPr>
        <w:t>的要求。</w:t>
      </w:r>
    </w:p>
    <w:p>
      <w:pPr>
        <w:pStyle w:val="10"/>
        <w:spacing w:line="360" w:lineRule="auto"/>
        <w:rPr>
          <w:rFonts w:ascii="Times New Roman" w:hAnsi="Times New Roman"/>
        </w:rPr>
      </w:pPr>
      <w:r>
        <w:rPr>
          <w:rFonts w:ascii="Times New Roman" w:hAnsi="Times New Roman"/>
        </w:rPr>
        <w:t>5.4.2选厂及尾矿库大气环境影响</w:t>
      </w:r>
    </w:p>
    <w:p>
      <w:pPr>
        <w:spacing w:line="360" w:lineRule="auto"/>
        <w:ind w:firstLine="488" w:firstLineChars="200"/>
        <w:rPr>
          <w:spacing w:val="2"/>
          <w:sz w:val="24"/>
        </w:rPr>
      </w:pPr>
      <w:r>
        <w:rPr>
          <w:spacing w:val="2"/>
          <w:sz w:val="24"/>
        </w:rPr>
        <w:t>本项目选矿生产过程中对环境空气形成的污染主要分为以下几类：一是选矿工艺流程中破碎车间排放的粉尘；二是原料堆场、尾矿库等固定污染源的风蚀扬尘。</w:t>
      </w:r>
    </w:p>
    <w:p>
      <w:pPr>
        <w:pStyle w:val="5"/>
      </w:pPr>
      <w:r>
        <w:t>5.4.2.1破碎车间粉尘</w:t>
      </w:r>
    </w:p>
    <w:p>
      <w:pPr>
        <w:pStyle w:val="107"/>
        <w:ind w:firstLine="480" w:firstLineChars="200"/>
      </w:pPr>
      <w:r>
        <w:rPr>
          <w:rFonts w:eastAsia="宋体"/>
        </w:rPr>
        <w:t>（</w:t>
      </w:r>
      <w:r>
        <w:t>1</w:t>
      </w:r>
      <w:r>
        <w:rPr>
          <w:rFonts w:eastAsia="宋体"/>
        </w:rPr>
        <w:t>）监测点位及监测因子</w:t>
      </w:r>
    </w:p>
    <w:p>
      <w:pPr>
        <w:pStyle w:val="107"/>
        <w:ind w:firstLine="480" w:firstLineChars="200"/>
      </w:pPr>
      <w:r>
        <w:rPr>
          <w:rFonts w:eastAsia="宋体"/>
          <w:kern w:val="0"/>
        </w:rPr>
        <w:t>按《固定源废气监测技术规范》（</w:t>
      </w:r>
      <w:r>
        <w:rPr>
          <w:kern w:val="0"/>
        </w:rPr>
        <w:t>HJ/T397-2007</w:t>
      </w:r>
      <w:r>
        <w:rPr>
          <w:rFonts w:eastAsia="宋体"/>
          <w:kern w:val="0"/>
        </w:rPr>
        <w:t>）中规定的监测、分析方法进行，并实施相应的质量控制措施，</w:t>
      </w:r>
      <w:r>
        <w:rPr>
          <w:rFonts w:eastAsia="宋体"/>
        </w:rPr>
        <w:t>监测因子为废气量、烟尘，选矿厂破碎筛分车间粉尘采用布袋除尘器除尘。</w:t>
      </w:r>
    </w:p>
    <w:p>
      <w:pPr>
        <w:pStyle w:val="107"/>
        <w:ind w:firstLine="480" w:firstLineChars="200"/>
      </w:pPr>
      <w:r>
        <w:rPr>
          <w:rFonts w:eastAsia="宋体"/>
        </w:rPr>
        <w:t>（</w:t>
      </w:r>
      <w:r>
        <w:t>2</w:t>
      </w:r>
      <w:r>
        <w:rPr>
          <w:rFonts w:eastAsia="宋体"/>
        </w:rPr>
        <w:t>）监测时间、频率</w:t>
      </w:r>
    </w:p>
    <w:p>
      <w:pPr>
        <w:pStyle w:val="107"/>
        <w:ind w:firstLine="480" w:firstLineChars="200"/>
      </w:pPr>
      <w:r>
        <w:rPr>
          <w:rFonts w:eastAsia="宋体"/>
        </w:rPr>
        <w:t>灵宝市环境监测站</w:t>
      </w:r>
      <w:r>
        <w:t>2016</w:t>
      </w:r>
      <w:r>
        <w:rPr>
          <w:rFonts w:eastAsia="宋体"/>
        </w:rPr>
        <w:t>年</w:t>
      </w:r>
      <w:r>
        <w:t>8</w:t>
      </w:r>
      <w:r>
        <w:rPr>
          <w:rFonts w:eastAsia="宋体"/>
        </w:rPr>
        <w:t>月</w:t>
      </w:r>
      <w:r>
        <w:t>25~26</w:t>
      </w:r>
      <w:r>
        <w:rPr>
          <w:rFonts w:eastAsia="宋体"/>
        </w:rPr>
        <w:t>日对选厂破碎、筛分车间的布袋除尘器进行了监测，监测分析方法按照《环境监测技术方法》中规定进行。</w:t>
      </w:r>
    </w:p>
    <w:p>
      <w:pPr>
        <w:pStyle w:val="107"/>
        <w:ind w:firstLine="480" w:firstLineChars="200"/>
      </w:pPr>
      <w:r>
        <w:rPr>
          <w:rFonts w:eastAsia="宋体"/>
        </w:rPr>
        <w:t>（</w:t>
      </w:r>
      <w:r>
        <w:t>3</w:t>
      </w:r>
      <w:r>
        <w:rPr>
          <w:rFonts w:eastAsia="宋体"/>
        </w:rPr>
        <w:t>）监测结果分析</w:t>
      </w:r>
    </w:p>
    <w:p>
      <w:pPr>
        <w:pStyle w:val="107"/>
        <w:ind w:firstLine="480" w:firstLineChars="200"/>
        <w:rPr>
          <w:rFonts w:eastAsia="宋体"/>
        </w:rPr>
      </w:pPr>
      <w:r>
        <w:rPr>
          <w:rFonts w:eastAsia="宋体"/>
        </w:rPr>
        <w:t>验收监测结果见表</w:t>
      </w:r>
      <w:r>
        <w:t>5.4-2</w:t>
      </w:r>
      <w:r>
        <w:rPr>
          <w:rFonts w:eastAsia="宋体"/>
        </w:rPr>
        <w:t>。</w:t>
      </w:r>
    </w:p>
    <w:p>
      <w:pPr>
        <w:pStyle w:val="107"/>
        <w:adjustRightInd w:val="0"/>
        <w:snapToGrid w:val="0"/>
        <w:spacing w:line="240" w:lineRule="auto"/>
        <w:rPr>
          <w:rFonts w:eastAsia="黑体"/>
          <w:sz w:val="22"/>
          <w:szCs w:val="22"/>
        </w:rPr>
      </w:pPr>
      <w:r>
        <w:rPr>
          <w:rFonts w:eastAsia="黑体"/>
        </w:rPr>
        <w:t xml:space="preserve">    </w:t>
      </w:r>
      <w:r>
        <w:rPr>
          <w:rFonts w:eastAsia="黑体"/>
          <w:sz w:val="22"/>
          <w:szCs w:val="22"/>
        </w:rPr>
        <w:t>表5.4-2               500t/d选厂破碎车间粉尘排放监测结果</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
      <w:tblGrid>
        <w:gridCol w:w="1106"/>
        <w:gridCol w:w="1700"/>
        <w:gridCol w:w="1984"/>
        <w:gridCol w:w="1840"/>
        <w:gridCol w:w="189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311" w:hRule="atLeast"/>
        </w:trPr>
        <w:tc>
          <w:tcPr>
            <w:tcW w:w="1106" w:type="dxa"/>
            <w:vMerge w:val="restart"/>
            <w:vAlign w:val="center"/>
          </w:tcPr>
          <w:p>
            <w:pPr>
              <w:widowControl/>
              <w:adjustRightInd w:val="0"/>
              <w:snapToGrid w:val="0"/>
              <w:jc w:val="center"/>
              <w:rPr>
                <w:kern w:val="0"/>
                <w:sz w:val="20"/>
                <w:szCs w:val="20"/>
              </w:rPr>
            </w:pPr>
            <w:r>
              <w:rPr>
                <w:kern w:val="0"/>
                <w:sz w:val="20"/>
                <w:szCs w:val="20"/>
              </w:rPr>
              <w:t xml:space="preserve">监测点位 </w:t>
            </w:r>
          </w:p>
        </w:tc>
        <w:tc>
          <w:tcPr>
            <w:tcW w:w="1700" w:type="dxa"/>
            <w:vMerge w:val="restart"/>
            <w:vAlign w:val="center"/>
          </w:tcPr>
          <w:p>
            <w:pPr>
              <w:widowControl/>
              <w:adjustRightInd w:val="0"/>
              <w:snapToGrid w:val="0"/>
              <w:jc w:val="center"/>
              <w:rPr>
                <w:kern w:val="0"/>
                <w:sz w:val="20"/>
                <w:szCs w:val="20"/>
              </w:rPr>
            </w:pPr>
            <w:r>
              <w:rPr>
                <w:kern w:val="0"/>
                <w:sz w:val="20"/>
                <w:szCs w:val="20"/>
              </w:rPr>
              <w:t>采样时间</w:t>
            </w:r>
          </w:p>
        </w:tc>
        <w:tc>
          <w:tcPr>
            <w:tcW w:w="1984" w:type="dxa"/>
            <w:vMerge w:val="restart"/>
            <w:vAlign w:val="center"/>
          </w:tcPr>
          <w:p>
            <w:pPr>
              <w:widowControl/>
              <w:adjustRightInd w:val="0"/>
              <w:snapToGrid w:val="0"/>
              <w:jc w:val="center"/>
              <w:rPr>
                <w:kern w:val="0"/>
                <w:sz w:val="20"/>
                <w:szCs w:val="20"/>
              </w:rPr>
            </w:pPr>
            <w:r>
              <w:rPr>
                <w:kern w:val="0"/>
                <w:sz w:val="20"/>
                <w:szCs w:val="20"/>
              </w:rPr>
              <w:t>标干流量            （Nm</w:t>
            </w:r>
            <w:r>
              <w:rPr>
                <w:kern w:val="0"/>
                <w:sz w:val="20"/>
                <w:szCs w:val="20"/>
                <w:vertAlign w:val="superscript"/>
              </w:rPr>
              <w:t>3</w:t>
            </w:r>
            <w:r>
              <w:rPr>
                <w:kern w:val="0"/>
                <w:sz w:val="20"/>
                <w:szCs w:val="20"/>
              </w:rPr>
              <w:t>/h)</w:t>
            </w:r>
          </w:p>
        </w:tc>
        <w:tc>
          <w:tcPr>
            <w:tcW w:w="1840" w:type="dxa"/>
            <w:vMerge w:val="restart"/>
            <w:vAlign w:val="center"/>
          </w:tcPr>
          <w:p>
            <w:pPr>
              <w:widowControl/>
              <w:adjustRightInd w:val="0"/>
              <w:snapToGrid w:val="0"/>
              <w:jc w:val="center"/>
              <w:rPr>
                <w:kern w:val="0"/>
                <w:sz w:val="20"/>
                <w:szCs w:val="20"/>
              </w:rPr>
            </w:pPr>
            <w:r>
              <w:rPr>
                <w:kern w:val="0"/>
                <w:sz w:val="20"/>
                <w:szCs w:val="20"/>
              </w:rPr>
              <w:t>颗粒物排放浓度     (mg/m</w:t>
            </w:r>
            <w:r>
              <w:rPr>
                <w:kern w:val="0"/>
                <w:sz w:val="20"/>
                <w:szCs w:val="20"/>
                <w:vertAlign w:val="superscript"/>
              </w:rPr>
              <w:t>3</w:t>
            </w:r>
            <w:r>
              <w:rPr>
                <w:kern w:val="0"/>
                <w:sz w:val="20"/>
                <w:szCs w:val="20"/>
              </w:rPr>
              <w:t>)</w:t>
            </w:r>
          </w:p>
        </w:tc>
        <w:tc>
          <w:tcPr>
            <w:tcW w:w="1898" w:type="dxa"/>
            <w:vMerge w:val="restart"/>
            <w:vAlign w:val="center"/>
          </w:tcPr>
          <w:p>
            <w:pPr>
              <w:widowControl/>
              <w:adjustRightInd w:val="0"/>
              <w:snapToGrid w:val="0"/>
              <w:jc w:val="center"/>
              <w:rPr>
                <w:kern w:val="0"/>
                <w:sz w:val="20"/>
                <w:szCs w:val="20"/>
              </w:rPr>
            </w:pPr>
            <w:r>
              <w:rPr>
                <w:kern w:val="0"/>
                <w:sz w:val="20"/>
                <w:szCs w:val="20"/>
              </w:rPr>
              <w:t>颗粒物排放速率    (kg/h)</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311" w:hRule="atLeas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Merge w:val="continue"/>
            <w:vAlign w:val="center"/>
          </w:tcPr>
          <w:p>
            <w:pPr>
              <w:widowControl/>
              <w:adjustRightInd w:val="0"/>
              <w:snapToGrid w:val="0"/>
              <w:jc w:val="left"/>
              <w:rPr>
                <w:kern w:val="0"/>
                <w:sz w:val="20"/>
                <w:szCs w:val="20"/>
              </w:rPr>
            </w:pPr>
          </w:p>
        </w:tc>
        <w:tc>
          <w:tcPr>
            <w:tcW w:w="1840" w:type="dxa"/>
            <w:vMerge w:val="continue"/>
            <w:vAlign w:val="center"/>
          </w:tcPr>
          <w:p>
            <w:pPr>
              <w:widowControl/>
              <w:adjustRightInd w:val="0"/>
              <w:snapToGrid w:val="0"/>
              <w:jc w:val="left"/>
              <w:rPr>
                <w:kern w:val="0"/>
                <w:sz w:val="20"/>
                <w:szCs w:val="20"/>
              </w:rPr>
            </w:pPr>
          </w:p>
        </w:tc>
        <w:tc>
          <w:tcPr>
            <w:tcW w:w="1898" w:type="dxa"/>
            <w:vMerge w:val="continue"/>
            <w:vAlign w:val="center"/>
          </w:tcPr>
          <w:p>
            <w:pPr>
              <w:widowControl/>
              <w:adjustRightInd w:val="0"/>
              <w:snapToGrid w:val="0"/>
              <w:jc w:val="left"/>
              <w:rPr>
                <w:kern w:val="0"/>
                <w:sz w:val="20"/>
                <w:szCs w:val="20"/>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59" w:hRule="atLeas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Merge w:val="continue"/>
            <w:vAlign w:val="center"/>
          </w:tcPr>
          <w:p>
            <w:pPr>
              <w:widowControl/>
              <w:adjustRightInd w:val="0"/>
              <w:snapToGrid w:val="0"/>
              <w:jc w:val="left"/>
              <w:rPr>
                <w:kern w:val="0"/>
                <w:sz w:val="20"/>
                <w:szCs w:val="20"/>
              </w:rPr>
            </w:pPr>
          </w:p>
        </w:tc>
        <w:tc>
          <w:tcPr>
            <w:tcW w:w="1840" w:type="dxa"/>
            <w:vMerge w:val="continue"/>
            <w:vAlign w:val="center"/>
          </w:tcPr>
          <w:p>
            <w:pPr>
              <w:widowControl/>
              <w:adjustRightInd w:val="0"/>
              <w:snapToGrid w:val="0"/>
              <w:jc w:val="left"/>
              <w:rPr>
                <w:kern w:val="0"/>
                <w:sz w:val="20"/>
                <w:szCs w:val="20"/>
              </w:rPr>
            </w:pPr>
          </w:p>
        </w:tc>
        <w:tc>
          <w:tcPr>
            <w:tcW w:w="1898" w:type="dxa"/>
            <w:vMerge w:val="continue"/>
            <w:vAlign w:val="center"/>
          </w:tcPr>
          <w:p>
            <w:pPr>
              <w:widowControl/>
              <w:adjustRightInd w:val="0"/>
              <w:snapToGrid w:val="0"/>
              <w:jc w:val="left"/>
              <w:rPr>
                <w:kern w:val="0"/>
                <w:sz w:val="20"/>
                <w:szCs w:val="20"/>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restart"/>
            <w:vAlign w:val="center"/>
          </w:tcPr>
          <w:p>
            <w:pPr>
              <w:widowControl/>
              <w:adjustRightInd w:val="0"/>
              <w:snapToGrid w:val="0"/>
              <w:jc w:val="center"/>
              <w:rPr>
                <w:kern w:val="0"/>
                <w:sz w:val="20"/>
                <w:szCs w:val="20"/>
              </w:rPr>
            </w:pPr>
            <w:r>
              <w:rPr>
                <w:kern w:val="0"/>
                <w:sz w:val="20"/>
                <w:szCs w:val="20"/>
              </w:rPr>
              <w:t>破碎工段除尘器进口（1）</w:t>
            </w:r>
          </w:p>
        </w:tc>
        <w:tc>
          <w:tcPr>
            <w:tcW w:w="1700" w:type="dxa"/>
            <w:vMerge w:val="restart"/>
            <w:vAlign w:val="center"/>
          </w:tcPr>
          <w:p>
            <w:pPr>
              <w:widowControl/>
              <w:adjustRightInd w:val="0"/>
              <w:snapToGrid w:val="0"/>
              <w:jc w:val="center"/>
              <w:rPr>
                <w:kern w:val="0"/>
                <w:sz w:val="20"/>
                <w:szCs w:val="20"/>
              </w:rPr>
            </w:pPr>
            <w:r>
              <w:rPr>
                <w:kern w:val="0"/>
                <w:sz w:val="20"/>
                <w:szCs w:val="20"/>
              </w:rPr>
              <w:t>2016年8月26日</w:t>
            </w:r>
          </w:p>
        </w:tc>
        <w:tc>
          <w:tcPr>
            <w:tcW w:w="1984" w:type="dxa"/>
            <w:vAlign w:val="center"/>
          </w:tcPr>
          <w:p>
            <w:pPr>
              <w:widowControl/>
              <w:adjustRightInd w:val="0"/>
              <w:snapToGrid w:val="0"/>
              <w:jc w:val="center"/>
              <w:rPr>
                <w:kern w:val="0"/>
                <w:sz w:val="20"/>
                <w:szCs w:val="20"/>
              </w:rPr>
            </w:pPr>
            <w:r>
              <w:rPr>
                <w:kern w:val="0"/>
                <w:sz w:val="20"/>
                <w:szCs w:val="20"/>
              </w:rPr>
              <w:t>1.46×10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875 </w:t>
            </w:r>
          </w:p>
        </w:tc>
        <w:tc>
          <w:tcPr>
            <w:tcW w:w="1898" w:type="dxa"/>
            <w:vAlign w:val="center"/>
          </w:tcPr>
          <w:p>
            <w:pPr>
              <w:widowControl/>
              <w:adjustRightInd w:val="0"/>
              <w:snapToGrid w:val="0"/>
              <w:jc w:val="center"/>
              <w:rPr>
                <w:kern w:val="0"/>
                <w:sz w:val="20"/>
                <w:szCs w:val="20"/>
              </w:rPr>
            </w:pPr>
            <w:r>
              <w:rPr>
                <w:kern w:val="0"/>
                <w:sz w:val="20"/>
                <w:szCs w:val="20"/>
              </w:rPr>
              <w:t xml:space="preserve">1.28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1.46×10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920 </w:t>
            </w:r>
          </w:p>
        </w:tc>
        <w:tc>
          <w:tcPr>
            <w:tcW w:w="1898" w:type="dxa"/>
            <w:vAlign w:val="center"/>
          </w:tcPr>
          <w:p>
            <w:pPr>
              <w:widowControl/>
              <w:adjustRightInd w:val="0"/>
              <w:snapToGrid w:val="0"/>
              <w:jc w:val="center"/>
              <w:rPr>
                <w:kern w:val="0"/>
                <w:sz w:val="20"/>
                <w:szCs w:val="20"/>
              </w:rPr>
            </w:pPr>
            <w:r>
              <w:rPr>
                <w:kern w:val="0"/>
                <w:sz w:val="20"/>
                <w:szCs w:val="20"/>
              </w:rPr>
              <w:t xml:space="preserve">1.34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1.46×10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892 </w:t>
            </w:r>
          </w:p>
        </w:tc>
        <w:tc>
          <w:tcPr>
            <w:tcW w:w="1898" w:type="dxa"/>
            <w:vAlign w:val="center"/>
          </w:tcPr>
          <w:p>
            <w:pPr>
              <w:widowControl/>
              <w:adjustRightInd w:val="0"/>
              <w:snapToGrid w:val="0"/>
              <w:jc w:val="center"/>
              <w:rPr>
                <w:kern w:val="0"/>
                <w:sz w:val="20"/>
                <w:szCs w:val="20"/>
              </w:rPr>
            </w:pPr>
            <w:r>
              <w:rPr>
                <w:kern w:val="0"/>
                <w:sz w:val="20"/>
                <w:szCs w:val="20"/>
              </w:rPr>
              <w:t xml:space="preserve">1.30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1.46×10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896 </w:t>
            </w:r>
          </w:p>
        </w:tc>
        <w:tc>
          <w:tcPr>
            <w:tcW w:w="1898" w:type="dxa"/>
            <w:vAlign w:val="center"/>
          </w:tcPr>
          <w:p>
            <w:pPr>
              <w:widowControl/>
              <w:adjustRightInd w:val="0"/>
              <w:snapToGrid w:val="0"/>
              <w:jc w:val="center"/>
              <w:rPr>
                <w:kern w:val="0"/>
                <w:sz w:val="20"/>
                <w:szCs w:val="20"/>
              </w:rPr>
            </w:pPr>
            <w:r>
              <w:rPr>
                <w:kern w:val="0"/>
                <w:sz w:val="20"/>
                <w:szCs w:val="20"/>
              </w:rPr>
              <w:t xml:space="preserve">1.31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restart"/>
            <w:vAlign w:val="center"/>
          </w:tcPr>
          <w:p>
            <w:pPr>
              <w:widowControl/>
              <w:adjustRightInd w:val="0"/>
              <w:snapToGrid w:val="0"/>
              <w:jc w:val="center"/>
              <w:rPr>
                <w:kern w:val="0"/>
                <w:sz w:val="20"/>
                <w:szCs w:val="20"/>
              </w:rPr>
            </w:pPr>
            <w:r>
              <w:rPr>
                <w:kern w:val="0"/>
                <w:sz w:val="20"/>
                <w:szCs w:val="20"/>
              </w:rPr>
              <w:t>2016年8月27日</w:t>
            </w:r>
          </w:p>
        </w:tc>
        <w:tc>
          <w:tcPr>
            <w:tcW w:w="1984" w:type="dxa"/>
            <w:vAlign w:val="center"/>
          </w:tcPr>
          <w:p>
            <w:pPr>
              <w:widowControl/>
              <w:adjustRightInd w:val="0"/>
              <w:snapToGrid w:val="0"/>
              <w:jc w:val="center"/>
              <w:rPr>
                <w:kern w:val="0"/>
                <w:sz w:val="20"/>
                <w:szCs w:val="20"/>
              </w:rPr>
            </w:pPr>
            <w:r>
              <w:rPr>
                <w:kern w:val="0"/>
                <w:sz w:val="20"/>
                <w:szCs w:val="20"/>
              </w:rPr>
              <w:t>1.46×10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917 </w:t>
            </w:r>
          </w:p>
        </w:tc>
        <w:tc>
          <w:tcPr>
            <w:tcW w:w="1898" w:type="dxa"/>
            <w:vAlign w:val="center"/>
          </w:tcPr>
          <w:p>
            <w:pPr>
              <w:widowControl/>
              <w:adjustRightInd w:val="0"/>
              <w:snapToGrid w:val="0"/>
              <w:jc w:val="center"/>
              <w:rPr>
                <w:kern w:val="0"/>
                <w:sz w:val="20"/>
                <w:szCs w:val="20"/>
              </w:rPr>
            </w:pPr>
            <w:r>
              <w:rPr>
                <w:kern w:val="0"/>
                <w:sz w:val="20"/>
                <w:szCs w:val="20"/>
              </w:rPr>
              <w:t xml:space="preserve">1.34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1.46×10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894 </w:t>
            </w:r>
          </w:p>
        </w:tc>
        <w:tc>
          <w:tcPr>
            <w:tcW w:w="1898" w:type="dxa"/>
            <w:vAlign w:val="center"/>
          </w:tcPr>
          <w:p>
            <w:pPr>
              <w:widowControl/>
              <w:adjustRightInd w:val="0"/>
              <w:snapToGrid w:val="0"/>
              <w:jc w:val="center"/>
              <w:rPr>
                <w:kern w:val="0"/>
                <w:sz w:val="20"/>
                <w:szCs w:val="20"/>
              </w:rPr>
            </w:pPr>
            <w:r>
              <w:rPr>
                <w:kern w:val="0"/>
                <w:sz w:val="20"/>
                <w:szCs w:val="20"/>
              </w:rPr>
              <w:t xml:space="preserve">1.30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1.46×10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906 </w:t>
            </w:r>
          </w:p>
        </w:tc>
        <w:tc>
          <w:tcPr>
            <w:tcW w:w="1898" w:type="dxa"/>
            <w:vAlign w:val="center"/>
          </w:tcPr>
          <w:p>
            <w:pPr>
              <w:widowControl/>
              <w:adjustRightInd w:val="0"/>
              <w:snapToGrid w:val="0"/>
              <w:jc w:val="center"/>
              <w:rPr>
                <w:kern w:val="0"/>
                <w:sz w:val="20"/>
                <w:szCs w:val="20"/>
              </w:rPr>
            </w:pPr>
            <w:r>
              <w:rPr>
                <w:kern w:val="0"/>
                <w:sz w:val="20"/>
                <w:szCs w:val="20"/>
              </w:rPr>
              <w:t xml:space="preserve">1.32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1.46×10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906 </w:t>
            </w:r>
          </w:p>
        </w:tc>
        <w:tc>
          <w:tcPr>
            <w:tcW w:w="1898" w:type="dxa"/>
            <w:vAlign w:val="center"/>
          </w:tcPr>
          <w:p>
            <w:pPr>
              <w:widowControl/>
              <w:adjustRightInd w:val="0"/>
              <w:snapToGrid w:val="0"/>
              <w:jc w:val="center"/>
              <w:rPr>
                <w:kern w:val="0"/>
                <w:sz w:val="20"/>
                <w:szCs w:val="20"/>
              </w:rPr>
            </w:pPr>
            <w:r>
              <w:rPr>
                <w:kern w:val="0"/>
                <w:sz w:val="20"/>
                <w:szCs w:val="20"/>
              </w:rPr>
              <w:t xml:space="preserve">1.32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restart"/>
            <w:vAlign w:val="center"/>
          </w:tcPr>
          <w:p>
            <w:pPr>
              <w:widowControl/>
              <w:adjustRightInd w:val="0"/>
              <w:snapToGrid w:val="0"/>
              <w:jc w:val="center"/>
              <w:rPr>
                <w:kern w:val="0"/>
                <w:sz w:val="20"/>
                <w:szCs w:val="20"/>
              </w:rPr>
            </w:pPr>
            <w:r>
              <w:rPr>
                <w:kern w:val="0"/>
                <w:sz w:val="20"/>
                <w:szCs w:val="20"/>
              </w:rPr>
              <w:t>破碎工段除尘器进口（2）</w:t>
            </w:r>
          </w:p>
        </w:tc>
        <w:tc>
          <w:tcPr>
            <w:tcW w:w="1700" w:type="dxa"/>
            <w:vMerge w:val="restart"/>
            <w:vAlign w:val="center"/>
          </w:tcPr>
          <w:p>
            <w:pPr>
              <w:widowControl/>
              <w:adjustRightInd w:val="0"/>
              <w:snapToGrid w:val="0"/>
              <w:jc w:val="center"/>
              <w:rPr>
                <w:kern w:val="0"/>
                <w:sz w:val="20"/>
                <w:szCs w:val="20"/>
              </w:rPr>
            </w:pPr>
            <w:r>
              <w:rPr>
                <w:kern w:val="0"/>
                <w:sz w:val="20"/>
                <w:szCs w:val="20"/>
              </w:rPr>
              <w:t>2016年8月26日</w:t>
            </w:r>
          </w:p>
        </w:tc>
        <w:tc>
          <w:tcPr>
            <w:tcW w:w="1984" w:type="dxa"/>
            <w:vAlign w:val="center"/>
          </w:tcPr>
          <w:p>
            <w:pPr>
              <w:widowControl/>
              <w:adjustRightInd w:val="0"/>
              <w:snapToGrid w:val="0"/>
              <w:jc w:val="center"/>
              <w:rPr>
                <w:kern w:val="0"/>
                <w:sz w:val="20"/>
                <w:szCs w:val="20"/>
              </w:rPr>
            </w:pPr>
            <w:r>
              <w:rPr>
                <w:kern w:val="0"/>
                <w:sz w:val="20"/>
                <w:szCs w:val="20"/>
              </w:rPr>
              <w:t xml:space="preserve">540 </w:t>
            </w:r>
          </w:p>
        </w:tc>
        <w:tc>
          <w:tcPr>
            <w:tcW w:w="1840" w:type="dxa"/>
            <w:vAlign w:val="center"/>
          </w:tcPr>
          <w:p>
            <w:pPr>
              <w:widowControl/>
              <w:adjustRightInd w:val="0"/>
              <w:snapToGrid w:val="0"/>
              <w:jc w:val="center"/>
              <w:rPr>
                <w:kern w:val="0"/>
                <w:sz w:val="20"/>
                <w:szCs w:val="20"/>
              </w:rPr>
            </w:pPr>
            <w:r>
              <w:rPr>
                <w:kern w:val="0"/>
                <w:sz w:val="20"/>
                <w:szCs w:val="20"/>
              </w:rPr>
              <w:t xml:space="preserve">462 </w:t>
            </w:r>
          </w:p>
        </w:tc>
        <w:tc>
          <w:tcPr>
            <w:tcW w:w="1898" w:type="dxa"/>
            <w:vAlign w:val="center"/>
          </w:tcPr>
          <w:p>
            <w:pPr>
              <w:widowControl/>
              <w:adjustRightInd w:val="0"/>
              <w:snapToGrid w:val="0"/>
              <w:jc w:val="center"/>
              <w:rPr>
                <w:kern w:val="0"/>
                <w:sz w:val="20"/>
                <w:szCs w:val="20"/>
              </w:rPr>
            </w:pPr>
            <w:r>
              <w:rPr>
                <w:kern w:val="0"/>
                <w:sz w:val="20"/>
                <w:szCs w:val="20"/>
              </w:rPr>
              <w:t xml:space="preserve">0.25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519 </w:t>
            </w:r>
          </w:p>
        </w:tc>
        <w:tc>
          <w:tcPr>
            <w:tcW w:w="1840" w:type="dxa"/>
            <w:vAlign w:val="center"/>
          </w:tcPr>
          <w:p>
            <w:pPr>
              <w:widowControl/>
              <w:adjustRightInd w:val="0"/>
              <w:snapToGrid w:val="0"/>
              <w:jc w:val="center"/>
              <w:rPr>
                <w:kern w:val="0"/>
                <w:sz w:val="20"/>
                <w:szCs w:val="20"/>
              </w:rPr>
            </w:pPr>
            <w:r>
              <w:rPr>
                <w:kern w:val="0"/>
                <w:sz w:val="20"/>
                <w:szCs w:val="20"/>
              </w:rPr>
              <w:t xml:space="preserve">462 </w:t>
            </w:r>
          </w:p>
        </w:tc>
        <w:tc>
          <w:tcPr>
            <w:tcW w:w="1898" w:type="dxa"/>
            <w:vAlign w:val="center"/>
          </w:tcPr>
          <w:p>
            <w:pPr>
              <w:widowControl/>
              <w:adjustRightInd w:val="0"/>
              <w:snapToGrid w:val="0"/>
              <w:jc w:val="center"/>
              <w:rPr>
                <w:kern w:val="0"/>
                <w:sz w:val="20"/>
                <w:szCs w:val="20"/>
              </w:rPr>
            </w:pPr>
            <w:r>
              <w:rPr>
                <w:kern w:val="0"/>
                <w:sz w:val="20"/>
                <w:szCs w:val="20"/>
              </w:rPr>
              <w:t xml:space="preserve">0.24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552 </w:t>
            </w:r>
          </w:p>
        </w:tc>
        <w:tc>
          <w:tcPr>
            <w:tcW w:w="1840" w:type="dxa"/>
            <w:vAlign w:val="center"/>
          </w:tcPr>
          <w:p>
            <w:pPr>
              <w:widowControl/>
              <w:adjustRightInd w:val="0"/>
              <w:snapToGrid w:val="0"/>
              <w:jc w:val="center"/>
              <w:rPr>
                <w:kern w:val="0"/>
                <w:sz w:val="20"/>
                <w:szCs w:val="20"/>
              </w:rPr>
            </w:pPr>
            <w:r>
              <w:rPr>
                <w:kern w:val="0"/>
                <w:sz w:val="20"/>
                <w:szCs w:val="20"/>
              </w:rPr>
              <w:t xml:space="preserve">507 </w:t>
            </w:r>
          </w:p>
        </w:tc>
        <w:tc>
          <w:tcPr>
            <w:tcW w:w="1898" w:type="dxa"/>
            <w:vAlign w:val="center"/>
          </w:tcPr>
          <w:p>
            <w:pPr>
              <w:widowControl/>
              <w:adjustRightInd w:val="0"/>
              <w:snapToGrid w:val="0"/>
              <w:jc w:val="center"/>
              <w:rPr>
                <w:kern w:val="0"/>
                <w:sz w:val="20"/>
                <w:szCs w:val="20"/>
              </w:rPr>
            </w:pPr>
            <w:r>
              <w:rPr>
                <w:kern w:val="0"/>
                <w:sz w:val="20"/>
                <w:szCs w:val="20"/>
              </w:rPr>
              <w:t xml:space="preserve">0.28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 xml:space="preserve">537 </w:t>
            </w:r>
          </w:p>
        </w:tc>
        <w:tc>
          <w:tcPr>
            <w:tcW w:w="1840" w:type="dxa"/>
            <w:vAlign w:val="center"/>
          </w:tcPr>
          <w:p>
            <w:pPr>
              <w:widowControl/>
              <w:adjustRightInd w:val="0"/>
              <w:snapToGrid w:val="0"/>
              <w:jc w:val="center"/>
              <w:rPr>
                <w:kern w:val="0"/>
                <w:sz w:val="20"/>
                <w:szCs w:val="20"/>
              </w:rPr>
            </w:pPr>
            <w:r>
              <w:rPr>
                <w:kern w:val="0"/>
                <w:sz w:val="20"/>
                <w:szCs w:val="20"/>
              </w:rPr>
              <w:t xml:space="preserve">477 </w:t>
            </w:r>
          </w:p>
        </w:tc>
        <w:tc>
          <w:tcPr>
            <w:tcW w:w="1898" w:type="dxa"/>
            <w:vAlign w:val="center"/>
          </w:tcPr>
          <w:p>
            <w:pPr>
              <w:widowControl/>
              <w:adjustRightInd w:val="0"/>
              <w:snapToGrid w:val="0"/>
              <w:jc w:val="center"/>
              <w:rPr>
                <w:kern w:val="0"/>
                <w:sz w:val="20"/>
                <w:szCs w:val="20"/>
              </w:rPr>
            </w:pPr>
            <w:r>
              <w:rPr>
                <w:kern w:val="0"/>
                <w:sz w:val="20"/>
                <w:szCs w:val="20"/>
              </w:rPr>
              <w:t xml:space="preserve">0.26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restart"/>
            <w:vAlign w:val="center"/>
          </w:tcPr>
          <w:p>
            <w:pPr>
              <w:widowControl/>
              <w:adjustRightInd w:val="0"/>
              <w:snapToGrid w:val="0"/>
              <w:jc w:val="center"/>
              <w:rPr>
                <w:kern w:val="0"/>
                <w:sz w:val="20"/>
                <w:szCs w:val="20"/>
              </w:rPr>
            </w:pPr>
            <w:r>
              <w:rPr>
                <w:kern w:val="0"/>
                <w:sz w:val="20"/>
                <w:szCs w:val="20"/>
              </w:rPr>
              <w:t>2016年8月27日</w:t>
            </w:r>
          </w:p>
        </w:tc>
        <w:tc>
          <w:tcPr>
            <w:tcW w:w="1984" w:type="dxa"/>
            <w:vAlign w:val="center"/>
          </w:tcPr>
          <w:p>
            <w:pPr>
              <w:widowControl/>
              <w:adjustRightInd w:val="0"/>
              <w:snapToGrid w:val="0"/>
              <w:jc w:val="center"/>
              <w:rPr>
                <w:kern w:val="0"/>
                <w:sz w:val="20"/>
                <w:szCs w:val="20"/>
              </w:rPr>
            </w:pPr>
            <w:r>
              <w:rPr>
                <w:kern w:val="0"/>
                <w:sz w:val="20"/>
                <w:szCs w:val="20"/>
              </w:rPr>
              <w:t xml:space="preserve">558 </w:t>
            </w:r>
          </w:p>
        </w:tc>
        <w:tc>
          <w:tcPr>
            <w:tcW w:w="1840" w:type="dxa"/>
            <w:vAlign w:val="center"/>
          </w:tcPr>
          <w:p>
            <w:pPr>
              <w:widowControl/>
              <w:adjustRightInd w:val="0"/>
              <w:snapToGrid w:val="0"/>
              <w:jc w:val="center"/>
              <w:rPr>
                <w:kern w:val="0"/>
                <w:sz w:val="20"/>
                <w:szCs w:val="20"/>
              </w:rPr>
            </w:pPr>
            <w:r>
              <w:rPr>
                <w:kern w:val="0"/>
                <w:sz w:val="20"/>
                <w:szCs w:val="20"/>
              </w:rPr>
              <w:t xml:space="preserve">484 </w:t>
            </w:r>
          </w:p>
        </w:tc>
        <w:tc>
          <w:tcPr>
            <w:tcW w:w="1898" w:type="dxa"/>
            <w:vAlign w:val="center"/>
          </w:tcPr>
          <w:p>
            <w:pPr>
              <w:widowControl/>
              <w:adjustRightInd w:val="0"/>
              <w:snapToGrid w:val="0"/>
              <w:jc w:val="center"/>
              <w:rPr>
                <w:kern w:val="0"/>
                <w:sz w:val="20"/>
                <w:szCs w:val="20"/>
              </w:rPr>
            </w:pPr>
            <w:r>
              <w:rPr>
                <w:kern w:val="0"/>
                <w:sz w:val="20"/>
                <w:szCs w:val="20"/>
              </w:rPr>
              <w:t xml:space="preserve">0.27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509 </w:t>
            </w:r>
          </w:p>
        </w:tc>
        <w:tc>
          <w:tcPr>
            <w:tcW w:w="1840" w:type="dxa"/>
            <w:vAlign w:val="center"/>
          </w:tcPr>
          <w:p>
            <w:pPr>
              <w:widowControl/>
              <w:adjustRightInd w:val="0"/>
              <w:snapToGrid w:val="0"/>
              <w:jc w:val="center"/>
              <w:rPr>
                <w:kern w:val="0"/>
                <w:sz w:val="20"/>
                <w:szCs w:val="20"/>
              </w:rPr>
            </w:pPr>
            <w:r>
              <w:rPr>
                <w:kern w:val="0"/>
                <w:sz w:val="20"/>
                <w:szCs w:val="20"/>
              </w:rPr>
              <w:t xml:space="preserve">490 </w:t>
            </w:r>
          </w:p>
        </w:tc>
        <w:tc>
          <w:tcPr>
            <w:tcW w:w="1898" w:type="dxa"/>
            <w:vAlign w:val="center"/>
          </w:tcPr>
          <w:p>
            <w:pPr>
              <w:widowControl/>
              <w:adjustRightInd w:val="0"/>
              <w:snapToGrid w:val="0"/>
              <w:jc w:val="center"/>
              <w:rPr>
                <w:kern w:val="0"/>
                <w:sz w:val="20"/>
                <w:szCs w:val="20"/>
              </w:rPr>
            </w:pPr>
            <w:r>
              <w:rPr>
                <w:kern w:val="0"/>
                <w:sz w:val="20"/>
                <w:szCs w:val="20"/>
              </w:rPr>
              <w:t xml:space="preserve">0.25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497 </w:t>
            </w:r>
          </w:p>
        </w:tc>
        <w:tc>
          <w:tcPr>
            <w:tcW w:w="1840" w:type="dxa"/>
            <w:vAlign w:val="center"/>
          </w:tcPr>
          <w:p>
            <w:pPr>
              <w:widowControl/>
              <w:adjustRightInd w:val="0"/>
              <w:snapToGrid w:val="0"/>
              <w:jc w:val="center"/>
              <w:rPr>
                <w:kern w:val="0"/>
                <w:sz w:val="20"/>
                <w:szCs w:val="20"/>
              </w:rPr>
            </w:pPr>
            <w:r>
              <w:rPr>
                <w:kern w:val="0"/>
                <w:sz w:val="20"/>
                <w:szCs w:val="20"/>
              </w:rPr>
              <w:t xml:space="preserve">482 </w:t>
            </w:r>
          </w:p>
        </w:tc>
        <w:tc>
          <w:tcPr>
            <w:tcW w:w="1898" w:type="dxa"/>
            <w:vAlign w:val="center"/>
          </w:tcPr>
          <w:p>
            <w:pPr>
              <w:widowControl/>
              <w:adjustRightInd w:val="0"/>
              <w:snapToGrid w:val="0"/>
              <w:jc w:val="center"/>
              <w:rPr>
                <w:kern w:val="0"/>
                <w:sz w:val="20"/>
                <w:szCs w:val="20"/>
              </w:rPr>
            </w:pPr>
            <w:r>
              <w:rPr>
                <w:kern w:val="0"/>
                <w:sz w:val="20"/>
                <w:szCs w:val="20"/>
              </w:rPr>
              <w:t xml:space="preserve">0.24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 xml:space="preserve">521 </w:t>
            </w:r>
          </w:p>
        </w:tc>
        <w:tc>
          <w:tcPr>
            <w:tcW w:w="1840" w:type="dxa"/>
            <w:vAlign w:val="center"/>
          </w:tcPr>
          <w:p>
            <w:pPr>
              <w:widowControl/>
              <w:adjustRightInd w:val="0"/>
              <w:snapToGrid w:val="0"/>
              <w:jc w:val="center"/>
              <w:rPr>
                <w:kern w:val="0"/>
                <w:sz w:val="20"/>
                <w:szCs w:val="20"/>
              </w:rPr>
            </w:pPr>
            <w:r>
              <w:rPr>
                <w:kern w:val="0"/>
                <w:sz w:val="20"/>
                <w:szCs w:val="20"/>
              </w:rPr>
              <w:t xml:space="preserve">485 </w:t>
            </w:r>
          </w:p>
        </w:tc>
        <w:tc>
          <w:tcPr>
            <w:tcW w:w="1898" w:type="dxa"/>
            <w:vAlign w:val="center"/>
          </w:tcPr>
          <w:p>
            <w:pPr>
              <w:widowControl/>
              <w:adjustRightInd w:val="0"/>
              <w:snapToGrid w:val="0"/>
              <w:jc w:val="center"/>
              <w:rPr>
                <w:kern w:val="0"/>
                <w:sz w:val="20"/>
                <w:szCs w:val="20"/>
              </w:rPr>
            </w:pPr>
            <w:r>
              <w:rPr>
                <w:kern w:val="0"/>
                <w:sz w:val="20"/>
                <w:szCs w:val="20"/>
              </w:rPr>
              <w:t xml:space="preserve">0.25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restart"/>
            <w:vAlign w:val="center"/>
          </w:tcPr>
          <w:p>
            <w:pPr>
              <w:widowControl/>
              <w:adjustRightInd w:val="0"/>
              <w:snapToGrid w:val="0"/>
              <w:jc w:val="center"/>
              <w:rPr>
                <w:kern w:val="0"/>
                <w:sz w:val="20"/>
                <w:szCs w:val="20"/>
              </w:rPr>
            </w:pPr>
            <w:r>
              <w:rPr>
                <w:kern w:val="0"/>
                <w:sz w:val="20"/>
                <w:szCs w:val="20"/>
              </w:rPr>
              <w:t>破碎工段除尘器出口</w:t>
            </w:r>
          </w:p>
        </w:tc>
        <w:tc>
          <w:tcPr>
            <w:tcW w:w="1700" w:type="dxa"/>
            <w:vMerge w:val="restart"/>
            <w:vAlign w:val="center"/>
          </w:tcPr>
          <w:p>
            <w:pPr>
              <w:widowControl/>
              <w:adjustRightInd w:val="0"/>
              <w:snapToGrid w:val="0"/>
              <w:jc w:val="center"/>
              <w:rPr>
                <w:kern w:val="0"/>
                <w:sz w:val="20"/>
                <w:szCs w:val="20"/>
              </w:rPr>
            </w:pPr>
            <w:r>
              <w:rPr>
                <w:kern w:val="0"/>
                <w:sz w:val="20"/>
                <w:szCs w:val="20"/>
              </w:rPr>
              <w:t>2016年8月26日</w:t>
            </w:r>
          </w:p>
        </w:tc>
        <w:tc>
          <w:tcPr>
            <w:tcW w:w="1984" w:type="dxa"/>
            <w:vAlign w:val="center"/>
          </w:tcPr>
          <w:p>
            <w:pPr>
              <w:widowControl/>
              <w:adjustRightInd w:val="0"/>
              <w:snapToGrid w:val="0"/>
              <w:jc w:val="center"/>
              <w:rPr>
                <w:kern w:val="0"/>
                <w:sz w:val="20"/>
                <w:szCs w:val="20"/>
              </w:rPr>
            </w:pPr>
            <w:r>
              <w:rPr>
                <w:kern w:val="0"/>
                <w:sz w:val="20"/>
                <w:szCs w:val="20"/>
              </w:rPr>
              <w:t>2.13×10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14 </w:t>
            </w:r>
          </w:p>
        </w:tc>
        <w:tc>
          <w:tcPr>
            <w:tcW w:w="1898" w:type="dxa"/>
            <w:vAlign w:val="center"/>
          </w:tcPr>
          <w:p>
            <w:pPr>
              <w:widowControl/>
              <w:adjustRightInd w:val="0"/>
              <w:snapToGrid w:val="0"/>
              <w:jc w:val="center"/>
              <w:rPr>
                <w:kern w:val="0"/>
                <w:sz w:val="20"/>
                <w:szCs w:val="20"/>
              </w:rPr>
            </w:pPr>
            <w:r>
              <w:rPr>
                <w:kern w:val="0"/>
                <w:sz w:val="20"/>
                <w:szCs w:val="20"/>
              </w:rPr>
              <w:t xml:space="preserve">0.03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2.04×10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16 </w:t>
            </w:r>
          </w:p>
        </w:tc>
        <w:tc>
          <w:tcPr>
            <w:tcW w:w="1898" w:type="dxa"/>
            <w:vAlign w:val="center"/>
          </w:tcPr>
          <w:p>
            <w:pPr>
              <w:widowControl/>
              <w:adjustRightInd w:val="0"/>
              <w:snapToGrid w:val="0"/>
              <w:jc w:val="center"/>
              <w:rPr>
                <w:kern w:val="0"/>
                <w:sz w:val="20"/>
                <w:szCs w:val="20"/>
              </w:rPr>
            </w:pPr>
            <w:r>
              <w:rPr>
                <w:kern w:val="0"/>
                <w:sz w:val="20"/>
                <w:szCs w:val="20"/>
              </w:rPr>
              <w:t xml:space="preserve">0.03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2.05×10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16 </w:t>
            </w:r>
          </w:p>
        </w:tc>
        <w:tc>
          <w:tcPr>
            <w:tcW w:w="1898" w:type="dxa"/>
            <w:vAlign w:val="center"/>
          </w:tcPr>
          <w:p>
            <w:pPr>
              <w:widowControl/>
              <w:adjustRightInd w:val="0"/>
              <w:snapToGrid w:val="0"/>
              <w:jc w:val="center"/>
              <w:rPr>
                <w:kern w:val="0"/>
                <w:sz w:val="20"/>
                <w:szCs w:val="20"/>
              </w:rPr>
            </w:pPr>
            <w:r>
              <w:rPr>
                <w:kern w:val="0"/>
                <w:sz w:val="20"/>
                <w:szCs w:val="20"/>
              </w:rPr>
              <w:t xml:space="preserve">0.03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2.07×10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15 </w:t>
            </w:r>
          </w:p>
        </w:tc>
        <w:tc>
          <w:tcPr>
            <w:tcW w:w="1898" w:type="dxa"/>
            <w:vAlign w:val="center"/>
          </w:tcPr>
          <w:p>
            <w:pPr>
              <w:widowControl/>
              <w:adjustRightInd w:val="0"/>
              <w:snapToGrid w:val="0"/>
              <w:jc w:val="center"/>
              <w:rPr>
                <w:kern w:val="0"/>
                <w:sz w:val="20"/>
                <w:szCs w:val="20"/>
              </w:rPr>
            </w:pPr>
            <w:r>
              <w:rPr>
                <w:kern w:val="0"/>
                <w:sz w:val="20"/>
                <w:szCs w:val="20"/>
              </w:rPr>
              <w:t xml:space="preserve">0.03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restart"/>
            <w:vAlign w:val="center"/>
          </w:tcPr>
          <w:p>
            <w:pPr>
              <w:widowControl/>
              <w:adjustRightInd w:val="0"/>
              <w:snapToGrid w:val="0"/>
              <w:jc w:val="center"/>
              <w:rPr>
                <w:kern w:val="0"/>
                <w:sz w:val="20"/>
                <w:szCs w:val="20"/>
              </w:rPr>
            </w:pPr>
            <w:r>
              <w:rPr>
                <w:kern w:val="0"/>
                <w:sz w:val="20"/>
                <w:szCs w:val="20"/>
              </w:rPr>
              <w:t>2016年8月27日</w:t>
            </w:r>
          </w:p>
        </w:tc>
        <w:tc>
          <w:tcPr>
            <w:tcW w:w="1984" w:type="dxa"/>
            <w:vAlign w:val="center"/>
          </w:tcPr>
          <w:p>
            <w:pPr>
              <w:widowControl/>
              <w:adjustRightInd w:val="0"/>
              <w:snapToGrid w:val="0"/>
              <w:jc w:val="center"/>
              <w:rPr>
                <w:kern w:val="0"/>
                <w:sz w:val="20"/>
                <w:szCs w:val="20"/>
              </w:rPr>
            </w:pPr>
            <w:r>
              <w:rPr>
                <w:kern w:val="0"/>
                <w:sz w:val="20"/>
                <w:szCs w:val="20"/>
              </w:rPr>
              <w:t>2.14×10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16 </w:t>
            </w:r>
          </w:p>
        </w:tc>
        <w:tc>
          <w:tcPr>
            <w:tcW w:w="1898" w:type="dxa"/>
            <w:vAlign w:val="center"/>
          </w:tcPr>
          <w:p>
            <w:pPr>
              <w:widowControl/>
              <w:adjustRightInd w:val="0"/>
              <w:snapToGrid w:val="0"/>
              <w:jc w:val="center"/>
              <w:rPr>
                <w:kern w:val="0"/>
                <w:sz w:val="20"/>
                <w:szCs w:val="20"/>
              </w:rPr>
            </w:pPr>
            <w:r>
              <w:rPr>
                <w:kern w:val="0"/>
                <w:sz w:val="20"/>
                <w:szCs w:val="20"/>
              </w:rPr>
              <w:t xml:space="preserve">0.03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2.17×10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13 </w:t>
            </w:r>
          </w:p>
        </w:tc>
        <w:tc>
          <w:tcPr>
            <w:tcW w:w="1898" w:type="dxa"/>
            <w:vAlign w:val="center"/>
          </w:tcPr>
          <w:p>
            <w:pPr>
              <w:widowControl/>
              <w:adjustRightInd w:val="0"/>
              <w:snapToGrid w:val="0"/>
              <w:jc w:val="center"/>
              <w:rPr>
                <w:kern w:val="0"/>
                <w:sz w:val="20"/>
                <w:szCs w:val="20"/>
              </w:rPr>
            </w:pPr>
            <w:r>
              <w:rPr>
                <w:kern w:val="0"/>
                <w:sz w:val="20"/>
                <w:szCs w:val="20"/>
              </w:rPr>
              <w:t xml:space="preserve">0.03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2.18×10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15 </w:t>
            </w:r>
          </w:p>
        </w:tc>
        <w:tc>
          <w:tcPr>
            <w:tcW w:w="1898" w:type="dxa"/>
            <w:vAlign w:val="center"/>
          </w:tcPr>
          <w:p>
            <w:pPr>
              <w:widowControl/>
              <w:adjustRightInd w:val="0"/>
              <w:snapToGrid w:val="0"/>
              <w:jc w:val="center"/>
              <w:rPr>
                <w:kern w:val="0"/>
                <w:sz w:val="20"/>
                <w:szCs w:val="20"/>
              </w:rPr>
            </w:pPr>
            <w:r>
              <w:rPr>
                <w:kern w:val="0"/>
                <w:sz w:val="20"/>
                <w:szCs w:val="20"/>
              </w:rPr>
              <w:t xml:space="preserve">0.03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106" w:type="dxa"/>
            <w:vMerge w:val="continue"/>
            <w:vAlign w:val="center"/>
          </w:tcPr>
          <w:p>
            <w:pPr>
              <w:widowControl/>
              <w:adjustRightInd w:val="0"/>
              <w:snapToGrid w:val="0"/>
              <w:jc w:val="left"/>
              <w:rPr>
                <w:kern w:val="0"/>
                <w:sz w:val="20"/>
                <w:szCs w:val="20"/>
              </w:rPr>
            </w:pPr>
          </w:p>
        </w:tc>
        <w:tc>
          <w:tcPr>
            <w:tcW w:w="1700"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2.16×10</w:t>
            </w:r>
            <w:r>
              <w:rPr>
                <w:kern w:val="0"/>
                <w:sz w:val="20"/>
                <w:szCs w:val="20"/>
                <w:vertAlign w:val="superscript"/>
              </w:rPr>
              <w:t>3</w:t>
            </w:r>
          </w:p>
        </w:tc>
        <w:tc>
          <w:tcPr>
            <w:tcW w:w="1840" w:type="dxa"/>
            <w:vAlign w:val="center"/>
          </w:tcPr>
          <w:p>
            <w:pPr>
              <w:widowControl/>
              <w:adjustRightInd w:val="0"/>
              <w:snapToGrid w:val="0"/>
              <w:jc w:val="center"/>
              <w:rPr>
                <w:kern w:val="0"/>
                <w:sz w:val="20"/>
                <w:szCs w:val="20"/>
              </w:rPr>
            </w:pPr>
            <w:r>
              <w:rPr>
                <w:kern w:val="0"/>
                <w:sz w:val="20"/>
                <w:szCs w:val="20"/>
              </w:rPr>
              <w:t xml:space="preserve">15 </w:t>
            </w:r>
          </w:p>
        </w:tc>
        <w:tc>
          <w:tcPr>
            <w:tcW w:w="1898" w:type="dxa"/>
            <w:vAlign w:val="center"/>
          </w:tcPr>
          <w:p>
            <w:pPr>
              <w:widowControl/>
              <w:adjustRightInd w:val="0"/>
              <w:snapToGrid w:val="0"/>
              <w:jc w:val="center"/>
              <w:rPr>
                <w:kern w:val="0"/>
                <w:sz w:val="20"/>
                <w:szCs w:val="20"/>
              </w:rPr>
            </w:pPr>
            <w:r>
              <w:rPr>
                <w:kern w:val="0"/>
                <w:sz w:val="20"/>
                <w:szCs w:val="20"/>
              </w:rPr>
              <w:t xml:space="preserve">0.03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300" w:hRule="atLeast"/>
        </w:trPr>
        <w:tc>
          <w:tcPr>
            <w:tcW w:w="8528" w:type="dxa"/>
            <w:gridSpan w:val="5"/>
            <w:vAlign w:val="center"/>
          </w:tcPr>
          <w:p>
            <w:pPr>
              <w:widowControl/>
              <w:adjustRightInd w:val="0"/>
              <w:snapToGrid w:val="0"/>
              <w:jc w:val="center"/>
              <w:rPr>
                <w:kern w:val="0"/>
                <w:sz w:val="20"/>
                <w:szCs w:val="20"/>
              </w:rPr>
            </w:pPr>
            <w:r>
              <w:rPr>
                <w:kern w:val="0"/>
                <w:sz w:val="20"/>
                <w:szCs w:val="20"/>
              </w:rPr>
              <w:t>2016年8月26日除尘效率为98.1%；2016年8月27日除尘效率为98.1%。</w:t>
            </w:r>
          </w:p>
        </w:tc>
      </w:tr>
    </w:tbl>
    <w:p>
      <w:pPr>
        <w:spacing w:beforeLines="50" w:line="360" w:lineRule="auto"/>
        <w:ind w:firstLine="480" w:firstLineChars="200"/>
        <w:rPr>
          <w:sz w:val="24"/>
        </w:rPr>
      </w:pPr>
      <w:r>
        <w:rPr>
          <w:sz w:val="24"/>
        </w:rPr>
        <w:t>根据表5.4-2中的监测结果可知，破碎车间除尘器除尘效率为98.1%，排气筒排放浓度为15mg/m</w:t>
      </w:r>
      <w:r>
        <w:rPr>
          <w:sz w:val="24"/>
          <w:vertAlign w:val="superscript"/>
        </w:rPr>
        <w:t>3</w:t>
      </w:r>
      <w:r>
        <w:rPr>
          <w:sz w:val="24"/>
        </w:rPr>
        <w:t>，最终经15m高排气筒排放，能够满足《大气污染物综合排放标准》（GB16297-1996）表2中二级标准限值要求。</w:t>
      </w:r>
    </w:p>
    <w:p>
      <w:pPr>
        <w:pStyle w:val="107"/>
        <w:adjustRightInd w:val="0"/>
        <w:snapToGrid w:val="0"/>
        <w:spacing w:line="240" w:lineRule="auto"/>
        <w:rPr>
          <w:rFonts w:eastAsia="黑体"/>
          <w:sz w:val="22"/>
          <w:szCs w:val="22"/>
        </w:rPr>
      </w:pPr>
      <w:r>
        <w:rPr>
          <w:rFonts w:eastAsia="黑体"/>
          <w:sz w:val="22"/>
          <w:szCs w:val="22"/>
        </w:rPr>
        <w:t xml:space="preserve">    表5.4-2               500t/d筛分车间粉尘排放监测结果</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
      <w:tblGrid>
        <w:gridCol w:w="1241"/>
        <w:gridCol w:w="1561"/>
        <w:gridCol w:w="1984"/>
        <w:gridCol w:w="1844"/>
        <w:gridCol w:w="189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375" w:hRule="atLeast"/>
        </w:trPr>
        <w:tc>
          <w:tcPr>
            <w:tcW w:w="1241" w:type="dxa"/>
            <w:vMerge w:val="restart"/>
            <w:vAlign w:val="center"/>
          </w:tcPr>
          <w:p>
            <w:pPr>
              <w:widowControl/>
              <w:adjustRightInd w:val="0"/>
              <w:snapToGrid w:val="0"/>
              <w:jc w:val="center"/>
              <w:rPr>
                <w:kern w:val="0"/>
                <w:sz w:val="20"/>
                <w:szCs w:val="20"/>
              </w:rPr>
            </w:pPr>
            <w:r>
              <w:rPr>
                <w:kern w:val="0"/>
                <w:sz w:val="20"/>
                <w:szCs w:val="20"/>
              </w:rPr>
              <w:t xml:space="preserve">监测点位 </w:t>
            </w:r>
          </w:p>
        </w:tc>
        <w:tc>
          <w:tcPr>
            <w:tcW w:w="1561" w:type="dxa"/>
            <w:vMerge w:val="restart"/>
            <w:vAlign w:val="center"/>
          </w:tcPr>
          <w:p>
            <w:pPr>
              <w:widowControl/>
              <w:adjustRightInd w:val="0"/>
              <w:snapToGrid w:val="0"/>
              <w:jc w:val="center"/>
              <w:rPr>
                <w:kern w:val="0"/>
                <w:sz w:val="20"/>
                <w:szCs w:val="20"/>
              </w:rPr>
            </w:pPr>
            <w:r>
              <w:rPr>
                <w:kern w:val="0"/>
                <w:sz w:val="20"/>
                <w:szCs w:val="20"/>
              </w:rPr>
              <w:t>采样时间</w:t>
            </w:r>
          </w:p>
        </w:tc>
        <w:tc>
          <w:tcPr>
            <w:tcW w:w="1984" w:type="dxa"/>
            <w:vMerge w:val="restart"/>
            <w:vAlign w:val="center"/>
          </w:tcPr>
          <w:p>
            <w:pPr>
              <w:widowControl/>
              <w:adjustRightInd w:val="0"/>
              <w:snapToGrid w:val="0"/>
              <w:jc w:val="center"/>
              <w:rPr>
                <w:kern w:val="0"/>
                <w:sz w:val="20"/>
                <w:szCs w:val="20"/>
              </w:rPr>
            </w:pPr>
            <w:r>
              <w:rPr>
                <w:kern w:val="0"/>
                <w:sz w:val="20"/>
                <w:szCs w:val="20"/>
              </w:rPr>
              <w:t>标干流量            （×10</w:t>
            </w:r>
            <w:r>
              <w:rPr>
                <w:kern w:val="0"/>
                <w:sz w:val="20"/>
                <w:szCs w:val="20"/>
                <w:vertAlign w:val="superscript"/>
              </w:rPr>
              <w:t>3</w:t>
            </w:r>
            <w:r>
              <w:rPr>
                <w:kern w:val="0"/>
                <w:sz w:val="20"/>
                <w:szCs w:val="20"/>
              </w:rPr>
              <w:t>Nm</w:t>
            </w:r>
            <w:r>
              <w:rPr>
                <w:kern w:val="0"/>
                <w:sz w:val="20"/>
                <w:szCs w:val="20"/>
                <w:vertAlign w:val="superscript"/>
              </w:rPr>
              <w:t>3</w:t>
            </w:r>
            <w:r>
              <w:rPr>
                <w:kern w:val="0"/>
                <w:sz w:val="20"/>
                <w:szCs w:val="20"/>
              </w:rPr>
              <w:t>/h)</w:t>
            </w:r>
          </w:p>
        </w:tc>
        <w:tc>
          <w:tcPr>
            <w:tcW w:w="1844" w:type="dxa"/>
            <w:vMerge w:val="restart"/>
            <w:vAlign w:val="center"/>
          </w:tcPr>
          <w:p>
            <w:pPr>
              <w:widowControl/>
              <w:adjustRightInd w:val="0"/>
              <w:snapToGrid w:val="0"/>
              <w:jc w:val="center"/>
              <w:rPr>
                <w:kern w:val="0"/>
                <w:sz w:val="20"/>
                <w:szCs w:val="20"/>
              </w:rPr>
            </w:pPr>
            <w:r>
              <w:rPr>
                <w:kern w:val="0"/>
                <w:sz w:val="20"/>
                <w:szCs w:val="20"/>
              </w:rPr>
              <w:t>颗粒物排放浓度     (mg/m</w:t>
            </w:r>
            <w:r>
              <w:rPr>
                <w:kern w:val="0"/>
                <w:sz w:val="20"/>
                <w:szCs w:val="20"/>
                <w:vertAlign w:val="superscript"/>
              </w:rPr>
              <w:t>3</w:t>
            </w:r>
            <w:r>
              <w:rPr>
                <w:kern w:val="0"/>
                <w:sz w:val="20"/>
                <w:szCs w:val="20"/>
              </w:rPr>
              <w:t>)</w:t>
            </w:r>
          </w:p>
        </w:tc>
        <w:tc>
          <w:tcPr>
            <w:tcW w:w="1898" w:type="dxa"/>
            <w:vMerge w:val="restart"/>
            <w:vAlign w:val="center"/>
          </w:tcPr>
          <w:p>
            <w:pPr>
              <w:widowControl/>
              <w:adjustRightInd w:val="0"/>
              <w:snapToGrid w:val="0"/>
              <w:jc w:val="center"/>
              <w:rPr>
                <w:kern w:val="0"/>
                <w:sz w:val="20"/>
                <w:szCs w:val="20"/>
              </w:rPr>
            </w:pPr>
            <w:r>
              <w:rPr>
                <w:kern w:val="0"/>
                <w:sz w:val="20"/>
                <w:szCs w:val="20"/>
              </w:rPr>
              <w:t>颗粒物排放速率    (kg/h)</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375" w:hRule="atLeas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Merge w:val="continue"/>
            <w:vAlign w:val="center"/>
          </w:tcPr>
          <w:p>
            <w:pPr>
              <w:widowControl/>
              <w:adjustRightInd w:val="0"/>
              <w:snapToGrid w:val="0"/>
              <w:jc w:val="left"/>
              <w:rPr>
                <w:kern w:val="0"/>
                <w:sz w:val="20"/>
                <w:szCs w:val="20"/>
              </w:rPr>
            </w:pPr>
          </w:p>
        </w:tc>
        <w:tc>
          <w:tcPr>
            <w:tcW w:w="1844" w:type="dxa"/>
            <w:vMerge w:val="continue"/>
            <w:vAlign w:val="center"/>
          </w:tcPr>
          <w:p>
            <w:pPr>
              <w:widowControl/>
              <w:adjustRightInd w:val="0"/>
              <w:snapToGrid w:val="0"/>
              <w:jc w:val="left"/>
              <w:rPr>
                <w:kern w:val="0"/>
                <w:sz w:val="20"/>
                <w:szCs w:val="20"/>
              </w:rPr>
            </w:pPr>
          </w:p>
        </w:tc>
        <w:tc>
          <w:tcPr>
            <w:tcW w:w="1898" w:type="dxa"/>
            <w:vMerge w:val="continue"/>
            <w:vAlign w:val="center"/>
          </w:tcPr>
          <w:p>
            <w:pPr>
              <w:widowControl/>
              <w:adjustRightInd w:val="0"/>
              <w:snapToGrid w:val="0"/>
              <w:jc w:val="left"/>
              <w:rPr>
                <w:kern w:val="0"/>
                <w:sz w:val="20"/>
                <w:szCs w:val="20"/>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59" w:hRule="atLeas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Merge w:val="continue"/>
            <w:vAlign w:val="center"/>
          </w:tcPr>
          <w:p>
            <w:pPr>
              <w:widowControl/>
              <w:adjustRightInd w:val="0"/>
              <w:snapToGrid w:val="0"/>
              <w:jc w:val="left"/>
              <w:rPr>
                <w:kern w:val="0"/>
                <w:sz w:val="20"/>
                <w:szCs w:val="20"/>
              </w:rPr>
            </w:pPr>
          </w:p>
        </w:tc>
        <w:tc>
          <w:tcPr>
            <w:tcW w:w="1844" w:type="dxa"/>
            <w:vMerge w:val="continue"/>
            <w:vAlign w:val="center"/>
          </w:tcPr>
          <w:p>
            <w:pPr>
              <w:widowControl/>
              <w:adjustRightInd w:val="0"/>
              <w:snapToGrid w:val="0"/>
              <w:jc w:val="left"/>
              <w:rPr>
                <w:kern w:val="0"/>
                <w:sz w:val="20"/>
                <w:szCs w:val="20"/>
              </w:rPr>
            </w:pPr>
          </w:p>
        </w:tc>
        <w:tc>
          <w:tcPr>
            <w:tcW w:w="1898" w:type="dxa"/>
            <w:vMerge w:val="continue"/>
            <w:vAlign w:val="center"/>
          </w:tcPr>
          <w:p>
            <w:pPr>
              <w:widowControl/>
              <w:adjustRightInd w:val="0"/>
              <w:snapToGrid w:val="0"/>
              <w:jc w:val="left"/>
              <w:rPr>
                <w:kern w:val="0"/>
                <w:sz w:val="20"/>
                <w:szCs w:val="20"/>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restart"/>
            <w:vAlign w:val="center"/>
          </w:tcPr>
          <w:p>
            <w:pPr>
              <w:widowControl/>
              <w:adjustRightInd w:val="0"/>
              <w:snapToGrid w:val="0"/>
              <w:jc w:val="center"/>
              <w:rPr>
                <w:kern w:val="0"/>
                <w:sz w:val="20"/>
                <w:szCs w:val="20"/>
              </w:rPr>
            </w:pPr>
            <w:r>
              <w:rPr>
                <w:kern w:val="0"/>
                <w:sz w:val="20"/>
                <w:szCs w:val="20"/>
              </w:rPr>
              <w:t>筛分工段除尘器进口</w:t>
            </w:r>
          </w:p>
        </w:tc>
        <w:tc>
          <w:tcPr>
            <w:tcW w:w="1561" w:type="dxa"/>
            <w:vMerge w:val="restart"/>
            <w:vAlign w:val="center"/>
          </w:tcPr>
          <w:p>
            <w:pPr>
              <w:widowControl/>
              <w:adjustRightInd w:val="0"/>
              <w:snapToGrid w:val="0"/>
              <w:jc w:val="center"/>
              <w:rPr>
                <w:kern w:val="0"/>
                <w:sz w:val="20"/>
                <w:szCs w:val="20"/>
              </w:rPr>
            </w:pPr>
            <w:r>
              <w:rPr>
                <w:kern w:val="0"/>
                <w:sz w:val="20"/>
                <w:szCs w:val="20"/>
              </w:rPr>
              <w:t>2016年8月26日</w:t>
            </w:r>
          </w:p>
        </w:tc>
        <w:tc>
          <w:tcPr>
            <w:tcW w:w="1984" w:type="dxa"/>
            <w:vAlign w:val="center"/>
          </w:tcPr>
          <w:p>
            <w:pPr>
              <w:widowControl/>
              <w:adjustRightInd w:val="0"/>
              <w:snapToGrid w:val="0"/>
              <w:jc w:val="center"/>
              <w:rPr>
                <w:kern w:val="0"/>
                <w:sz w:val="20"/>
                <w:szCs w:val="20"/>
              </w:rPr>
            </w:pPr>
            <w:r>
              <w:rPr>
                <w:kern w:val="0"/>
                <w:sz w:val="20"/>
                <w:szCs w:val="20"/>
              </w:rPr>
              <w:t xml:space="preserve">2.36 </w:t>
            </w:r>
          </w:p>
        </w:tc>
        <w:tc>
          <w:tcPr>
            <w:tcW w:w="1844" w:type="dxa"/>
            <w:vAlign w:val="center"/>
          </w:tcPr>
          <w:p>
            <w:pPr>
              <w:widowControl/>
              <w:adjustRightInd w:val="0"/>
              <w:snapToGrid w:val="0"/>
              <w:jc w:val="center"/>
              <w:rPr>
                <w:kern w:val="0"/>
                <w:sz w:val="20"/>
                <w:szCs w:val="20"/>
              </w:rPr>
            </w:pPr>
            <w:r>
              <w:rPr>
                <w:kern w:val="0"/>
                <w:sz w:val="20"/>
                <w:szCs w:val="20"/>
              </w:rPr>
              <w:t xml:space="preserve">867 </w:t>
            </w:r>
          </w:p>
        </w:tc>
        <w:tc>
          <w:tcPr>
            <w:tcW w:w="1898" w:type="dxa"/>
            <w:vAlign w:val="center"/>
          </w:tcPr>
          <w:p>
            <w:pPr>
              <w:widowControl/>
              <w:adjustRightInd w:val="0"/>
              <w:snapToGrid w:val="0"/>
              <w:jc w:val="center"/>
              <w:rPr>
                <w:kern w:val="0"/>
                <w:sz w:val="20"/>
                <w:szCs w:val="20"/>
              </w:rPr>
            </w:pPr>
            <w:r>
              <w:rPr>
                <w:kern w:val="0"/>
                <w:sz w:val="20"/>
                <w:szCs w:val="20"/>
              </w:rPr>
              <w:t xml:space="preserve">2.05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2.19 </w:t>
            </w:r>
          </w:p>
        </w:tc>
        <w:tc>
          <w:tcPr>
            <w:tcW w:w="1844" w:type="dxa"/>
            <w:vAlign w:val="center"/>
          </w:tcPr>
          <w:p>
            <w:pPr>
              <w:widowControl/>
              <w:adjustRightInd w:val="0"/>
              <w:snapToGrid w:val="0"/>
              <w:jc w:val="center"/>
              <w:rPr>
                <w:kern w:val="0"/>
                <w:sz w:val="20"/>
                <w:szCs w:val="20"/>
              </w:rPr>
            </w:pPr>
            <w:r>
              <w:rPr>
                <w:kern w:val="0"/>
                <w:sz w:val="20"/>
                <w:szCs w:val="20"/>
              </w:rPr>
              <w:t xml:space="preserve">859 </w:t>
            </w:r>
          </w:p>
        </w:tc>
        <w:tc>
          <w:tcPr>
            <w:tcW w:w="1898" w:type="dxa"/>
            <w:vAlign w:val="center"/>
          </w:tcPr>
          <w:p>
            <w:pPr>
              <w:widowControl/>
              <w:adjustRightInd w:val="0"/>
              <w:snapToGrid w:val="0"/>
              <w:jc w:val="center"/>
              <w:rPr>
                <w:kern w:val="0"/>
                <w:sz w:val="20"/>
                <w:szCs w:val="20"/>
              </w:rPr>
            </w:pPr>
            <w:r>
              <w:rPr>
                <w:kern w:val="0"/>
                <w:sz w:val="20"/>
                <w:szCs w:val="20"/>
              </w:rPr>
              <w:t xml:space="preserve">1.88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2.04 </w:t>
            </w:r>
          </w:p>
        </w:tc>
        <w:tc>
          <w:tcPr>
            <w:tcW w:w="1844" w:type="dxa"/>
            <w:vAlign w:val="center"/>
          </w:tcPr>
          <w:p>
            <w:pPr>
              <w:widowControl/>
              <w:adjustRightInd w:val="0"/>
              <w:snapToGrid w:val="0"/>
              <w:jc w:val="center"/>
              <w:rPr>
                <w:kern w:val="0"/>
                <w:sz w:val="20"/>
                <w:szCs w:val="20"/>
              </w:rPr>
            </w:pPr>
            <w:r>
              <w:rPr>
                <w:kern w:val="0"/>
                <w:sz w:val="20"/>
                <w:szCs w:val="20"/>
              </w:rPr>
              <w:t xml:space="preserve">854 </w:t>
            </w:r>
          </w:p>
        </w:tc>
        <w:tc>
          <w:tcPr>
            <w:tcW w:w="1898" w:type="dxa"/>
            <w:vAlign w:val="center"/>
          </w:tcPr>
          <w:p>
            <w:pPr>
              <w:widowControl/>
              <w:adjustRightInd w:val="0"/>
              <w:snapToGrid w:val="0"/>
              <w:jc w:val="center"/>
              <w:rPr>
                <w:kern w:val="0"/>
                <w:sz w:val="20"/>
                <w:szCs w:val="20"/>
              </w:rPr>
            </w:pPr>
            <w:r>
              <w:rPr>
                <w:kern w:val="0"/>
                <w:sz w:val="20"/>
                <w:szCs w:val="20"/>
              </w:rPr>
              <w:t xml:space="preserve">1.74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 xml:space="preserve">2.20 </w:t>
            </w:r>
          </w:p>
        </w:tc>
        <w:tc>
          <w:tcPr>
            <w:tcW w:w="1844" w:type="dxa"/>
            <w:vAlign w:val="center"/>
          </w:tcPr>
          <w:p>
            <w:pPr>
              <w:widowControl/>
              <w:adjustRightInd w:val="0"/>
              <w:snapToGrid w:val="0"/>
              <w:jc w:val="center"/>
              <w:rPr>
                <w:kern w:val="0"/>
                <w:sz w:val="20"/>
                <w:szCs w:val="20"/>
              </w:rPr>
            </w:pPr>
            <w:r>
              <w:rPr>
                <w:kern w:val="0"/>
                <w:sz w:val="20"/>
                <w:szCs w:val="20"/>
              </w:rPr>
              <w:t xml:space="preserve">860 </w:t>
            </w:r>
          </w:p>
        </w:tc>
        <w:tc>
          <w:tcPr>
            <w:tcW w:w="1898" w:type="dxa"/>
            <w:vAlign w:val="center"/>
          </w:tcPr>
          <w:p>
            <w:pPr>
              <w:widowControl/>
              <w:adjustRightInd w:val="0"/>
              <w:snapToGrid w:val="0"/>
              <w:jc w:val="center"/>
              <w:rPr>
                <w:bCs/>
                <w:kern w:val="0"/>
                <w:sz w:val="20"/>
                <w:szCs w:val="20"/>
              </w:rPr>
            </w:pPr>
            <w:r>
              <w:rPr>
                <w:bCs/>
                <w:kern w:val="0"/>
                <w:sz w:val="20"/>
                <w:szCs w:val="20"/>
              </w:rPr>
              <w:t xml:space="preserve">1.89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restart"/>
            <w:vAlign w:val="center"/>
          </w:tcPr>
          <w:p>
            <w:pPr>
              <w:widowControl/>
              <w:adjustRightInd w:val="0"/>
              <w:snapToGrid w:val="0"/>
              <w:jc w:val="center"/>
              <w:rPr>
                <w:kern w:val="0"/>
                <w:sz w:val="20"/>
                <w:szCs w:val="20"/>
              </w:rPr>
            </w:pPr>
            <w:r>
              <w:rPr>
                <w:kern w:val="0"/>
                <w:sz w:val="20"/>
                <w:szCs w:val="20"/>
              </w:rPr>
              <w:t>2016年8月27日</w:t>
            </w:r>
          </w:p>
        </w:tc>
        <w:tc>
          <w:tcPr>
            <w:tcW w:w="1984" w:type="dxa"/>
            <w:vAlign w:val="center"/>
          </w:tcPr>
          <w:p>
            <w:pPr>
              <w:widowControl/>
              <w:adjustRightInd w:val="0"/>
              <w:snapToGrid w:val="0"/>
              <w:jc w:val="center"/>
              <w:rPr>
                <w:kern w:val="0"/>
                <w:sz w:val="20"/>
                <w:szCs w:val="20"/>
              </w:rPr>
            </w:pPr>
            <w:r>
              <w:rPr>
                <w:kern w:val="0"/>
                <w:sz w:val="20"/>
                <w:szCs w:val="20"/>
              </w:rPr>
              <w:t xml:space="preserve">2.46 </w:t>
            </w:r>
          </w:p>
        </w:tc>
        <w:tc>
          <w:tcPr>
            <w:tcW w:w="1844" w:type="dxa"/>
            <w:vAlign w:val="center"/>
          </w:tcPr>
          <w:p>
            <w:pPr>
              <w:widowControl/>
              <w:adjustRightInd w:val="0"/>
              <w:snapToGrid w:val="0"/>
              <w:jc w:val="center"/>
              <w:rPr>
                <w:kern w:val="0"/>
                <w:sz w:val="20"/>
                <w:szCs w:val="20"/>
              </w:rPr>
            </w:pPr>
            <w:r>
              <w:rPr>
                <w:kern w:val="0"/>
                <w:sz w:val="20"/>
                <w:szCs w:val="20"/>
              </w:rPr>
              <w:t xml:space="preserve">868 </w:t>
            </w:r>
          </w:p>
        </w:tc>
        <w:tc>
          <w:tcPr>
            <w:tcW w:w="1898" w:type="dxa"/>
            <w:vAlign w:val="center"/>
          </w:tcPr>
          <w:p>
            <w:pPr>
              <w:widowControl/>
              <w:adjustRightInd w:val="0"/>
              <w:snapToGrid w:val="0"/>
              <w:jc w:val="center"/>
              <w:rPr>
                <w:kern w:val="0"/>
                <w:sz w:val="20"/>
                <w:szCs w:val="20"/>
              </w:rPr>
            </w:pPr>
            <w:r>
              <w:rPr>
                <w:kern w:val="0"/>
                <w:sz w:val="20"/>
                <w:szCs w:val="20"/>
              </w:rPr>
              <w:t xml:space="preserve">2.14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2.46 </w:t>
            </w:r>
          </w:p>
        </w:tc>
        <w:tc>
          <w:tcPr>
            <w:tcW w:w="1844" w:type="dxa"/>
            <w:vAlign w:val="center"/>
          </w:tcPr>
          <w:p>
            <w:pPr>
              <w:widowControl/>
              <w:adjustRightInd w:val="0"/>
              <w:snapToGrid w:val="0"/>
              <w:jc w:val="center"/>
              <w:rPr>
                <w:kern w:val="0"/>
                <w:sz w:val="20"/>
                <w:szCs w:val="20"/>
              </w:rPr>
            </w:pPr>
            <w:r>
              <w:rPr>
                <w:kern w:val="0"/>
                <w:sz w:val="20"/>
                <w:szCs w:val="20"/>
              </w:rPr>
              <w:t xml:space="preserve">865 </w:t>
            </w:r>
          </w:p>
        </w:tc>
        <w:tc>
          <w:tcPr>
            <w:tcW w:w="1898" w:type="dxa"/>
            <w:vAlign w:val="center"/>
          </w:tcPr>
          <w:p>
            <w:pPr>
              <w:widowControl/>
              <w:adjustRightInd w:val="0"/>
              <w:snapToGrid w:val="0"/>
              <w:jc w:val="center"/>
              <w:rPr>
                <w:kern w:val="0"/>
                <w:sz w:val="20"/>
                <w:szCs w:val="20"/>
              </w:rPr>
            </w:pPr>
            <w:r>
              <w:rPr>
                <w:kern w:val="0"/>
                <w:sz w:val="20"/>
                <w:szCs w:val="20"/>
              </w:rPr>
              <w:t xml:space="preserve">2.13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2.41 </w:t>
            </w:r>
          </w:p>
        </w:tc>
        <w:tc>
          <w:tcPr>
            <w:tcW w:w="1844" w:type="dxa"/>
            <w:vAlign w:val="center"/>
          </w:tcPr>
          <w:p>
            <w:pPr>
              <w:widowControl/>
              <w:adjustRightInd w:val="0"/>
              <w:snapToGrid w:val="0"/>
              <w:jc w:val="center"/>
              <w:rPr>
                <w:kern w:val="0"/>
                <w:sz w:val="20"/>
                <w:szCs w:val="20"/>
              </w:rPr>
            </w:pPr>
            <w:r>
              <w:rPr>
                <w:kern w:val="0"/>
                <w:sz w:val="20"/>
                <w:szCs w:val="20"/>
              </w:rPr>
              <w:t xml:space="preserve">864 </w:t>
            </w:r>
          </w:p>
        </w:tc>
        <w:tc>
          <w:tcPr>
            <w:tcW w:w="1898" w:type="dxa"/>
            <w:vAlign w:val="center"/>
          </w:tcPr>
          <w:p>
            <w:pPr>
              <w:widowControl/>
              <w:adjustRightInd w:val="0"/>
              <w:snapToGrid w:val="0"/>
              <w:jc w:val="center"/>
              <w:rPr>
                <w:kern w:val="0"/>
                <w:sz w:val="20"/>
                <w:szCs w:val="20"/>
              </w:rPr>
            </w:pPr>
            <w:r>
              <w:rPr>
                <w:kern w:val="0"/>
                <w:sz w:val="20"/>
                <w:szCs w:val="20"/>
              </w:rPr>
              <w:t xml:space="preserve">2.08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 xml:space="preserve">2.44 </w:t>
            </w:r>
          </w:p>
        </w:tc>
        <w:tc>
          <w:tcPr>
            <w:tcW w:w="1844" w:type="dxa"/>
            <w:vAlign w:val="center"/>
          </w:tcPr>
          <w:p>
            <w:pPr>
              <w:widowControl/>
              <w:adjustRightInd w:val="0"/>
              <w:snapToGrid w:val="0"/>
              <w:jc w:val="center"/>
              <w:rPr>
                <w:kern w:val="0"/>
                <w:sz w:val="20"/>
                <w:szCs w:val="20"/>
              </w:rPr>
            </w:pPr>
            <w:r>
              <w:rPr>
                <w:kern w:val="0"/>
                <w:sz w:val="20"/>
                <w:szCs w:val="20"/>
              </w:rPr>
              <w:t xml:space="preserve">866 </w:t>
            </w:r>
          </w:p>
        </w:tc>
        <w:tc>
          <w:tcPr>
            <w:tcW w:w="1898" w:type="dxa"/>
            <w:vAlign w:val="center"/>
          </w:tcPr>
          <w:p>
            <w:pPr>
              <w:widowControl/>
              <w:adjustRightInd w:val="0"/>
              <w:snapToGrid w:val="0"/>
              <w:jc w:val="center"/>
              <w:rPr>
                <w:bCs/>
                <w:kern w:val="0"/>
                <w:sz w:val="20"/>
                <w:szCs w:val="20"/>
              </w:rPr>
            </w:pPr>
            <w:r>
              <w:rPr>
                <w:bCs/>
                <w:kern w:val="0"/>
                <w:sz w:val="20"/>
                <w:szCs w:val="20"/>
              </w:rPr>
              <w:t xml:space="preserve">2.12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restart"/>
            <w:vAlign w:val="center"/>
          </w:tcPr>
          <w:p>
            <w:pPr>
              <w:widowControl/>
              <w:adjustRightInd w:val="0"/>
              <w:snapToGrid w:val="0"/>
              <w:jc w:val="center"/>
              <w:rPr>
                <w:kern w:val="0"/>
                <w:sz w:val="20"/>
                <w:szCs w:val="20"/>
              </w:rPr>
            </w:pPr>
            <w:r>
              <w:rPr>
                <w:kern w:val="0"/>
                <w:sz w:val="20"/>
                <w:szCs w:val="20"/>
              </w:rPr>
              <w:t>筛分工段除尘器出口</w:t>
            </w:r>
          </w:p>
        </w:tc>
        <w:tc>
          <w:tcPr>
            <w:tcW w:w="1561" w:type="dxa"/>
            <w:vMerge w:val="restart"/>
            <w:vAlign w:val="center"/>
          </w:tcPr>
          <w:p>
            <w:pPr>
              <w:widowControl/>
              <w:adjustRightInd w:val="0"/>
              <w:snapToGrid w:val="0"/>
              <w:jc w:val="center"/>
              <w:rPr>
                <w:kern w:val="0"/>
                <w:sz w:val="20"/>
                <w:szCs w:val="20"/>
              </w:rPr>
            </w:pPr>
            <w:r>
              <w:rPr>
                <w:kern w:val="0"/>
                <w:sz w:val="20"/>
                <w:szCs w:val="20"/>
              </w:rPr>
              <w:t>2016年8月26日</w:t>
            </w:r>
          </w:p>
        </w:tc>
        <w:tc>
          <w:tcPr>
            <w:tcW w:w="1984" w:type="dxa"/>
            <w:vAlign w:val="center"/>
          </w:tcPr>
          <w:p>
            <w:pPr>
              <w:widowControl/>
              <w:adjustRightInd w:val="0"/>
              <w:snapToGrid w:val="0"/>
              <w:jc w:val="center"/>
              <w:rPr>
                <w:kern w:val="0"/>
                <w:sz w:val="20"/>
                <w:szCs w:val="20"/>
              </w:rPr>
            </w:pPr>
            <w:r>
              <w:rPr>
                <w:kern w:val="0"/>
                <w:sz w:val="20"/>
                <w:szCs w:val="20"/>
              </w:rPr>
              <w:t xml:space="preserve">2.51 </w:t>
            </w:r>
          </w:p>
        </w:tc>
        <w:tc>
          <w:tcPr>
            <w:tcW w:w="1844" w:type="dxa"/>
            <w:vAlign w:val="center"/>
          </w:tcPr>
          <w:p>
            <w:pPr>
              <w:widowControl/>
              <w:adjustRightInd w:val="0"/>
              <w:snapToGrid w:val="0"/>
              <w:jc w:val="center"/>
              <w:rPr>
                <w:kern w:val="0"/>
                <w:sz w:val="20"/>
                <w:szCs w:val="20"/>
              </w:rPr>
            </w:pPr>
            <w:r>
              <w:rPr>
                <w:kern w:val="0"/>
                <w:sz w:val="20"/>
                <w:szCs w:val="20"/>
              </w:rPr>
              <w:t xml:space="preserve">17 </w:t>
            </w:r>
          </w:p>
        </w:tc>
        <w:tc>
          <w:tcPr>
            <w:tcW w:w="1898" w:type="dxa"/>
            <w:vAlign w:val="center"/>
          </w:tcPr>
          <w:p>
            <w:pPr>
              <w:widowControl/>
              <w:adjustRightInd w:val="0"/>
              <w:snapToGrid w:val="0"/>
              <w:jc w:val="center"/>
              <w:rPr>
                <w:kern w:val="0"/>
                <w:sz w:val="20"/>
                <w:szCs w:val="20"/>
              </w:rPr>
            </w:pPr>
            <w:r>
              <w:rPr>
                <w:kern w:val="0"/>
                <w:sz w:val="20"/>
                <w:szCs w:val="20"/>
              </w:rPr>
              <w:t xml:space="preserve">0.04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2.41 </w:t>
            </w:r>
          </w:p>
        </w:tc>
        <w:tc>
          <w:tcPr>
            <w:tcW w:w="1844" w:type="dxa"/>
            <w:vAlign w:val="center"/>
          </w:tcPr>
          <w:p>
            <w:pPr>
              <w:widowControl/>
              <w:adjustRightInd w:val="0"/>
              <w:snapToGrid w:val="0"/>
              <w:jc w:val="center"/>
              <w:rPr>
                <w:kern w:val="0"/>
                <w:sz w:val="20"/>
                <w:szCs w:val="20"/>
              </w:rPr>
            </w:pPr>
            <w:r>
              <w:rPr>
                <w:kern w:val="0"/>
                <w:sz w:val="20"/>
                <w:szCs w:val="20"/>
              </w:rPr>
              <w:t xml:space="preserve">18 </w:t>
            </w:r>
          </w:p>
        </w:tc>
        <w:tc>
          <w:tcPr>
            <w:tcW w:w="1898" w:type="dxa"/>
            <w:vAlign w:val="center"/>
          </w:tcPr>
          <w:p>
            <w:pPr>
              <w:widowControl/>
              <w:adjustRightInd w:val="0"/>
              <w:snapToGrid w:val="0"/>
              <w:jc w:val="center"/>
              <w:rPr>
                <w:kern w:val="0"/>
                <w:sz w:val="20"/>
                <w:szCs w:val="20"/>
              </w:rPr>
            </w:pPr>
            <w:r>
              <w:rPr>
                <w:kern w:val="0"/>
                <w:sz w:val="20"/>
                <w:szCs w:val="20"/>
              </w:rPr>
              <w:t xml:space="preserve">0.04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2.42 </w:t>
            </w:r>
          </w:p>
        </w:tc>
        <w:tc>
          <w:tcPr>
            <w:tcW w:w="1844" w:type="dxa"/>
            <w:vAlign w:val="center"/>
          </w:tcPr>
          <w:p>
            <w:pPr>
              <w:widowControl/>
              <w:adjustRightInd w:val="0"/>
              <w:snapToGrid w:val="0"/>
              <w:jc w:val="center"/>
              <w:rPr>
                <w:kern w:val="0"/>
                <w:sz w:val="20"/>
                <w:szCs w:val="20"/>
              </w:rPr>
            </w:pPr>
            <w:r>
              <w:rPr>
                <w:kern w:val="0"/>
                <w:sz w:val="20"/>
                <w:szCs w:val="20"/>
              </w:rPr>
              <w:t xml:space="preserve">16 </w:t>
            </w:r>
          </w:p>
        </w:tc>
        <w:tc>
          <w:tcPr>
            <w:tcW w:w="1898" w:type="dxa"/>
            <w:vAlign w:val="center"/>
          </w:tcPr>
          <w:p>
            <w:pPr>
              <w:widowControl/>
              <w:adjustRightInd w:val="0"/>
              <w:snapToGrid w:val="0"/>
              <w:jc w:val="center"/>
              <w:rPr>
                <w:kern w:val="0"/>
                <w:sz w:val="20"/>
                <w:szCs w:val="20"/>
              </w:rPr>
            </w:pPr>
            <w:r>
              <w:rPr>
                <w:kern w:val="0"/>
                <w:sz w:val="20"/>
                <w:szCs w:val="20"/>
              </w:rPr>
              <w:t xml:space="preserve">0.04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 xml:space="preserve">2.45 </w:t>
            </w:r>
          </w:p>
        </w:tc>
        <w:tc>
          <w:tcPr>
            <w:tcW w:w="1844" w:type="dxa"/>
            <w:vAlign w:val="center"/>
          </w:tcPr>
          <w:p>
            <w:pPr>
              <w:widowControl/>
              <w:adjustRightInd w:val="0"/>
              <w:snapToGrid w:val="0"/>
              <w:jc w:val="center"/>
              <w:rPr>
                <w:kern w:val="0"/>
                <w:sz w:val="20"/>
                <w:szCs w:val="20"/>
              </w:rPr>
            </w:pPr>
            <w:r>
              <w:rPr>
                <w:kern w:val="0"/>
                <w:sz w:val="20"/>
                <w:szCs w:val="20"/>
              </w:rPr>
              <w:t xml:space="preserve">17 </w:t>
            </w:r>
          </w:p>
        </w:tc>
        <w:tc>
          <w:tcPr>
            <w:tcW w:w="1898" w:type="dxa"/>
            <w:vAlign w:val="center"/>
          </w:tcPr>
          <w:p>
            <w:pPr>
              <w:widowControl/>
              <w:adjustRightInd w:val="0"/>
              <w:snapToGrid w:val="0"/>
              <w:jc w:val="center"/>
              <w:rPr>
                <w:bCs/>
                <w:kern w:val="0"/>
                <w:sz w:val="20"/>
                <w:szCs w:val="20"/>
              </w:rPr>
            </w:pPr>
            <w:r>
              <w:rPr>
                <w:bCs/>
                <w:kern w:val="0"/>
                <w:sz w:val="20"/>
                <w:szCs w:val="20"/>
              </w:rPr>
              <w:t xml:space="preserve">0.04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restart"/>
            <w:vAlign w:val="center"/>
          </w:tcPr>
          <w:p>
            <w:pPr>
              <w:widowControl/>
              <w:adjustRightInd w:val="0"/>
              <w:snapToGrid w:val="0"/>
              <w:jc w:val="center"/>
              <w:rPr>
                <w:kern w:val="0"/>
                <w:sz w:val="20"/>
                <w:szCs w:val="20"/>
              </w:rPr>
            </w:pPr>
            <w:r>
              <w:rPr>
                <w:kern w:val="0"/>
                <w:sz w:val="20"/>
                <w:szCs w:val="20"/>
              </w:rPr>
              <w:t>2016年8月27日</w:t>
            </w:r>
          </w:p>
        </w:tc>
        <w:tc>
          <w:tcPr>
            <w:tcW w:w="1984" w:type="dxa"/>
            <w:vAlign w:val="center"/>
          </w:tcPr>
          <w:p>
            <w:pPr>
              <w:widowControl/>
              <w:adjustRightInd w:val="0"/>
              <w:snapToGrid w:val="0"/>
              <w:jc w:val="center"/>
              <w:rPr>
                <w:kern w:val="0"/>
                <w:sz w:val="20"/>
                <w:szCs w:val="20"/>
              </w:rPr>
            </w:pPr>
            <w:r>
              <w:rPr>
                <w:kern w:val="0"/>
                <w:sz w:val="20"/>
                <w:szCs w:val="20"/>
              </w:rPr>
              <w:t xml:space="preserve">2.48 </w:t>
            </w:r>
          </w:p>
        </w:tc>
        <w:tc>
          <w:tcPr>
            <w:tcW w:w="1844" w:type="dxa"/>
            <w:vAlign w:val="center"/>
          </w:tcPr>
          <w:p>
            <w:pPr>
              <w:widowControl/>
              <w:adjustRightInd w:val="0"/>
              <w:snapToGrid w:val="0"/>
              <w:jc w:val="center"/>
              <w:rPr>
                <w:kern w:val="0"/>
                <w:sz w:val="20"/>
                <w:szCs w:val="20"/>
              </w:rPr>
            </w:pPr>
            <w:r>
              <w:rPr>
                <w:kern w:val="0"/>
                <w:sz w:val="20"/>
                <w:szCs w:val="20"/>
              </w:rPr>
              <w:t xml:space="preserve">17 </w:t>
            </w:r>
          </w:p>
        </w:tc>
        <w:tc>
          <w:tcPr>
            <w:tcW w:w="1898" w:type="dxa"/>
            <w:vAlign w:val="center"/>
          </w:tcPr>
          <w:p>
            <w:pPr>
              <w:widowControl/>
              <w:adjustRightInd w:val="0"/>
              <w:snapToGrid w:val="0"/>
              <w:jc w:val="center"/>
              <w:rPr>
                <w:kern w:val="0"/>
                <w:sz w:val="20"/>
                <w:szCs w:val="20"/>
              </w:rPr>
            </w:pPr>
            <w:r>
              <w:rPr>
                <w:kern w:val="0"/>
                <w:sz w:val="20"/>
                <w:szCs w:val="20"/>
              </w:rPr>
              <w:t xml:space="preserve">0.04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2.47 </w:t>
            </w:r>
          </w:p>
        </w:tc>
        <w:tc>
          <w:tcPr>
            <w:tcW w:w="1844" w:type="dxa"/>
            <w:vAlign w:val="center"/>
          </w:tcPr>
          <w:p>
            <w:pPr>
              <w:widowControl/>
              <w:adjustRightInd w:val="0"/>
              <w:snapToGrid w:val="0"/>
              <w:jc w:val="center"/>
              <w:rPr>
                <w:kern w:val="0"/>
                <w:sz w:val="20"/>
                <w:szCs w:val="20"/>
              </w:rPr>
            </w:pPr>
            <w:r>
              <w:rPr>
                <w:kern w:val="0"/>
                <w:sz w:val="20"/>
                <w:szCs w:val="20"/>
              </w:rPr>
              <w:t xml:space="preserve">16 </w:t>
            </w:r>
          </w:p>
        </w:tc>
        <w:tc>
          <w:tcPr>
            <w:tcW w:w="1898" w:type="dxa"/>
            <w:vAlign w:val="center"/>
          </w:tcPr>
          <w:p>
            <w:pPr>
              <w:widowControl/>
              <w:adjustRightInd w:val="0"/>
              <w:snapToGrid w:val="0"/>
              <w:jc w:val="center"/>
              <w:rPr>
                <w:kern w:val="0"/>
                <w:sz w:val="20"/>
                <w:szCs w:val="20"/>
              </w:rPr>
            </w:pPr>
            <w:r>
              <w:rPr>
                <w:kern w:val="0"/>
                <w:sz w:val="20"/>
                <w:szCs w:val="20"/>
              </w:rPr>
              <w:t xml:space="preserve">0.04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Merge w:val="continue"/>
            <w:vAlign w:val="center"/>
          </w:tcPr>
          <w:p>
            <w:pPr>
              <w:widowControl/>
              <w:adjustRightInd w:val="0"/>
              <w:snapToGrid w:val="0"/>
              <w:jc w:val="left"/>
              <w:rPr>
                <w:kern w:val="0"/>
                <w:sz w:val="20"/>
                <w:szCs w:val="20"/>
              </w:rPr>
            </w:pPr>
          </w:p>
        </w:tc>
        <w:tc>
          <w:tcPr>
            <w:tcW w:w="1984" w:type="dxa"/>
            <w:vAlign w:val="center"/>
          </w:tcPr>
          <w:p>
            <w:pPr>
              <w:widowControl/>
              <w:adjustRightInd w:val="0"/>
              <w:snapToGrid w:val="0"/>
              <w:jc w:val="center"/>
              <w:rPr>
                <w:kern w:val="0"/>
                <w:sz w:val="20"/>
                <w:szCs w:val="20"/>
              </w:rPr>
            </w:pPr>
            <w:r>
              <w:rPr>
                <w:kern w:val="0"/>
                <w:sz w:val="20"/>
                <w:szCs w:val="20"/>
              </w:rPr>
              <w:t xml:space="preserve">2.54 </w:t>
            </w:r>
          </w:p>
        </w:tc>
        <w:tc>
          <w:tcPr>
            <w:tcW w:w="1844" w:type="dxa"/>
            <w:vAlign w:val="center"/>
          </w:tcPr>
          <w:p>
            <w:pPr>
              <w:widowControl/>
              <w:adjustRightInd w:val="0"/>
              <w:snapToGrid w:val="0"/>
              <w:jc w:val="center"/>
              <w:rPr>
                <w:kern w:val="0"/>
                <w:sz w:val="20"/>
                <w:szCs w:val="20"/>
              </w:rPr>
            </w:pPr>
            <w:r>
              <w:rPr>
                <w:kern w:val="0"/>
                <w:sz w:val="20"/>
                <w:szCs w:val="20"/>
              </w:rPr>
              <w:t xml:space="preserve">17 </w:t>
            </w:r>
          </w:p>
        </w:tc>
        <w:tc>
          <w:tcPr>
            <w:tcW w:w="1898" w:type="dxa"/>
            <w:vAlign w:val="center"/>
          </w:tcPr>
          <w:p>
            <w:pPr>
              <w:widowControl/>
              <w:adjustRightInd w:val="0"/>
              <w:snapToGrid w:val="0"/>
              <w:jc w:val="center"/>
              <w:rPr>
                <w:kern w:val="0"/>
                <w:sz w:val="20"/>
                <w:szCs w:val="20"/>
              </w:rPr>
            </w:pPr>
            <w:r>
              <w:rPr>
                <w:kern w:val="0"/>
                <w:sz w:val="20"/>
                <w:szCs w:val="20"/>
              </w:rPr>
              <w:t xml:space="preserve">0.04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284" w:hRule="exact"/>
        </w:trPr>
        <w:tc>
          <w:tcPr>
            <w:tcW w:w="1241" w:type="dxa"/>
            <w:vMerge w:val="continue"/>
            <w:vAlign w:val="center"/>
          </w:tcPr>
          <w:p>
            <w:pPr>
              <w:widowControl/>
              <w:adjustRightInd w:val="0"/>
              <w:snapToGrid w:val="0"/>
              <w:jc w:val="left"/>
              <w:rPr>
                <w:kern w:val="0"/>
                <w:sz w:val="20"/>
                <w:szCs w:val="20"/>
              </w:rPr>
            </w:pPr>
          </w:p>
        </w:tc>
        <w:tc>
          <w:tcPr>
            <w:tcW w:w="1561" w:type="dxa"/>
            <w:vAlign w:val="center"/>
          </w:tcPr>
          <w:p>
            <w:pPr>
              <w:widowControl/>
              <w:adjustRightInd w:val="0"/>
              <w:snapToGrid w:val="0"/>
              <w:jc w:val="center"/>
              <w:rPr>
                <w:kern w:val="0"/>
                <w:sz w:val="20"/>
                <w:szCs w:val="20"/>
              </w:rPr>
            </w:pPr>
            <w:r>
              <w:rPr>
                <w:kern w:val="0"/>
                <w:sz w:val="20"/>
                <w:szCs w:val="20"/>
              </w:rPr>
              <w:t>平均值</w:t>
            </w:r>
          </w:p>
        </w:tc>
        <w:tc>
          <w:tcPr>
            <w:tcW w:w="1984" w:type="dxa"/>
            <w:vAlign w:val="center"/>
          </w:tcPr>
          <w:p>
            <w:pPr>
              <w:widowControl/>
              <w:adjustRightInd w:val="0"/>
              <w:snapToGrid w:val="0"/>
              <w:jc w:val="center"/>
              <w:rPr>
                <w:kern w:val="0"/>
                <w:sz w:val="20"/>
                <w:szCs w:val="20"/>
              </w:rPr>
            </w:pPr>
            <w:r>
              <w:rPr>
                <w:kern w:val="0"/>
                <w:sz w:val="20"/>
                <w:szCs w:val="20"/>
              </w:rPr>
              <w:t xml:space="preserve">2.50 </w:t>
            </w:r>
          </w:p>
        </w:tc>
        <w:tc>
          <w:tcPr>
            <w:tcW w:w="1844" w:type="dxa"/>
            <w:vAlign w:val="center"/>
          </w:tcPr>
          <w:p>
            <w:pPr>
              <w:widowControl/>
              <w:adjustRightInd w:val="0"/>
              <w:snapToGrid w:val="0"/>
              <w:jc w:val="center"/>
              <w:rPr>
                <w:kern w:val="0"/>
                <w:sz w:val="20"/>
                <w:szCs w:val="20"/>
              </w:rPr>
            </w:pPr>
            <w:r>
              <w:rPr>
                <w:kern w:val="0"/>
                <w:sz w:val="20"/>
                <w:szCs w:val="20"/>
              </w:rPr>
              <w:t xml:space="preserve">17 </w:t>
            </w:r>
          </w:p>
        </w:tc>
        <w:tc>
          <w:tcPr>
            <w:tcW w:w="1898" w:type="dxa"/>
            <w:vAlign w:val="center"/>
          </w:tcPr>
          <w:p>
            <w:pPr>
              <w:widowControl/>
              <w:adjustRightInd w:val="0"/>
              <w:snapToGrid w:val="0"/>
              <w:jc w:val="center"/>
              <w:rPr>
                <w:bCs/>
                <w:kern w:val="0"/>
                <w:sz w:val="20"/>
                <w:szCs w:val="20"/>
              </w:rPr>
            </w:pPr>
            <w:r>
              <w:rPr>
                <w:bCs/>
                <w:kern w:val="0"/>
                <w:sz w:val="20"/>
                <w:szCs w:val="20"/>
              </w:rPr>
              <w:t xml:space="preserve">0.04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08" w:type="dxa"/>
            <w:bottom w:w="15" w:type="dxa"/>
            <w:right w:w="108" w:type="dxa"/>
          </w:tblCellMar>
        </w:tblPrEx>
        <w:trPr>
          <w:trHeight w:val="375" w:hRule="atLeast"/>
        </w:trPr>
        <w:tc>
          <w:tcPr>
            <w:tcW w:w="8528" w:type="dxa"/>
            <w:gridSpan w:val="5"/>
            <w:vAlign w:val="center"/>
          </w:tcPr>
          <w:p>
            <w:pPr>
              <w:widowControl/>
              <w:adjustRightInd w:val="0"/>
              <w:snapToGrid w:val="0"/>
              <w:jc w:val="left"/>
              <w:rPr>
                <w:kern w:val="0"/>
                <w:sz w:val="20"/>
                <w:szCs w:val="20"/>
              </w:rPr>
            </w:pPr>
            <w:r>
              <w:rPr>
                <w:kern w:val="0"/>
                <w:sz w:val="20"/>
                <w:szCs w:val="20"/>
              </w:rPr>
              <w:t>2016年8月26日除尘效率为97.4%；2016年8月27日除尘效率为98.1%。</w:t>
            </w:r>
          </w:p>
        </w:tc>
      </w:tr>
    </w:tbl>
    <w:p>
      <w:pPr>
        <w:spacing w:beforeLines="50" w:line="360" w:lineRule="auto"/>
        <w:ind w:firstLine="480" w:firstLineChars="200"/>
        <w:rPr>
          <w:sz w:val="24"/>
        </w:rPr>
      </w:pPr>
      <w:r>
        <w:rPr>
          <w:sz w:val="24"/>
        </w:rPr>
        <w:t>根据表5.4-1中的监测结果可知，筛分系统除尘器除尘效率为97.4～98.1%，排气筒排放浓度为17 mg/m</w:t>
      </w:r>
      <w:r>
        <w:rPr>
          <w:sz w:val="24"/>
          <w:vertAlign w:val="superscript"/>
        </w:rPr>
        <w:t>3</w:t>
      </w:r>
      <w:r>
        <w:rPr>
          <w:sz w:val="24"/>
        </w:rPr>
        <w:t>，最终经15m高排气筒排放，能够满足《大气污染物综合排放标准》（GB16297-1996）表2中二级标准限值要求。</w:t>
      </w:r>
    </w:p>
    <w:p>
      <w:pPr>
        <w:pStyle w:val="10"/>
        <w:spacing w:line="360" w:lineRule="auto"/>
        <w:rPr>
          <w:rFonts w:ascii="Times New Roman" w:hAnsi="Times New Roman"/>
        </w:rPr>
      </w:pPr>
      <w:r>
        <w:rPr>
          <w:rFonts w:ascii="Times New Roman" w:hAnsi="Times New Roman"/>
        </w:rPr>
        <w:t>5.4.2.2 无组织排放</w:t>
      </w:r>
    </w:p>
    <w:p>
      <w:pPr>
        <w:pStyle w:val="107"/>
        <w:ind w:firstLine="480" w:firstLineChars="200"/>
      </w:pPr>
      <w:r>
        <w:rPr>
          <w:rFonts w:eastAsia="宋体"/>
        </w:rPr>
        <w:t>（</w:t>
      </w:r>
      <w:r>
        <w:t>1</w:t>
      </w:r>
      <w:r>
        <w:rPr>
          <w:rFonts w:eastAsia="宋体"/>
        </w:rPr>
        <w:t>）监测点位及监测因子</w:t>
      </w:r>
    </w:p>
    <w:p>
      <w:pPr>
        <w:pStyle w:val="107"/>
        <w:ind w:firstLine="480" w:firstLineChars="200"/>
        <w:rPr>
          <w:rFonts w:eastAsia="宋体"/>
        </w:rPr>
      </w:pPr>
      <w:r>
        <w:rPr>
          <w:rFonts w:eastAsia="宋体"/>
        </w:rPr>
        <w:t>在选厂原料堆场</w:t>
      </w:r>
      <w:r>
        <w:t>上风向10m设置一个参照点，下风向10m处设置3个高浓度监控点</w:t>
      </w:r>
      <w:r>
        <w:rPr>
          <w:rFonts w:eastAsia="宋体"/>
        </w:rPr>
        <w:t>，监测因子为颗粒物。</w:t>
      </w:r>
    </w:p>
    <w:p>
      <w:pPr>
        <w:pStyle w:val="107"/>
        <w:ind w:firstLine="480" w:firstLineChars="200"/>
      </w:pPr>
      <w:r>
        <w:rPr>
          <w:rFonts w:eastAsia="宋体"/>
        </w:rPr>
        <w:t>在尾矿库</w:t>
      </w:r>
      <w:r>
        <w:t>上风向10m设置一个参照点，下风向10m处设置3个高浓度监控点</w:t>
      </w:r>
      <w:r>
        <w:rPr>
          <w:rFonts w:eastAsia="宋体"/>
        </w:rPr>
        <w:t>，监测因子为颗粒物。</w:t>
      </w:r>
    </w:p>
    <w:p>
      <w:pPr>
        <w:pStyle w:val="107"/>
        <w:ind w:firstLine="480" w:firstLineChars="200"/>
      </w:pPr>
      <w:r>
        <w:rPr>
          <w:rFonts w:eastAsia="宋体"/>
        </w:rPr>
        <w:t>（</w:t>
      </w:r>
      <w:r>
        <w:t>2</w:t>
      </w:r>
      <w:r>
        <w:rPr>
          <w:rFonts w:eastAsia="宋体"/>
        </w:rPr>
        <w:t>）监测时间、频率及分析方法</w:t>
      </w:r>
    </w:p>
    <w:p>
      <w:pPr>
        <w:pStyle w:val="107"/>
        <w:ind w:firstLine="480" w:firstLineChars="200"/>
      </w:pPr>
      <w:r>
        <w:rPr>
          <w:rFonts w:eastAsia="宋体"/>
        </w:rPr>
        <w:t>灵宝市环境监测站</w:t>
      </w:r>
      <w:r>
        <w:t>2016</w:t>
      </w:r>
      <w:r>
        <w:rPr>
          <w:rFonts w:eastAsia="宋体"/>
        </w:rPr>
        <w:t>年</w:t>
      </w:r>
      <w:r>
        <w:t>8</w:t>
      </w:r>
      <w:r>
        <w:rPr>
          <w:rFonts w:eastAsia="宋体"/>
        </w:rPr>
        <w:t>月</w:t>
      </w:r>
      <w:r>
        <w:t>25~26</w:t>
      </w:r>
      <w:r>
        <w:rPr>
          <w:rFonts w:eastAsia="宋体"/>
        </w:rPr>
        <w:t>日对选矿厂原料堆场及尾矿库无组织排放污染情况连续监测</w:t>
      </w:r>
      <w:r>
        <w:t>2</w:t>
      </w:r>
      <w:r>
        <w:rPr>
          <w:rFonts w:eastAsia="宋体"/>
        </w:rPr>
        <w:t>天，每天</w:t>
      </w:r>
      <w:r>
        <w:t>4</w:t>
      </w:r>
      <w:r>
        <w:rPr>
          <w:rFonts w:eastAsia="宋体"/>
        </w:rPr>
        <w:t>次，每次连续采样</w:t>
      </w:r>
      <w:r>
        <w:t>1</w:t>
      </w:r>
      <w:r>
        <w:rPr>
          <w:rFonts w:eastAsia="宋体"/>
        </w:rPr>
        <w:t>小时。监测分析方法按照《环境监测技术方法》中规定进行。</w:t>
      </w:r>
    </w:p>
    <w:p>
      <w:pPr>
        <w:pStyle w:val="107"/>
        <w:ind w:firstLine="480" w:firstLineChars="200"/>
      </w:pPr>
      <w:r>
        <w:rPr>
          <w:rFonts w:eastAsia="宋体"/>
        </w:rPr>
        <w:t>（</w:t>
      </w:r>
      <w:r>
        <w:t>3</w:t>
      </w:r>
      <w:r>
        <w:rPr>
          <w:rFonts w:eastAsia="宋体"/>
        </w:rPr>
        <w:t>）监测结果分析</w:t>
      </w:r>
    </w:p>
    <w:p>
      <w:pPr>
        <w:pStyle w:val="107"/>
        <w:ind w:firstLine="480" w:firstLineChars="200"/>
        <w:rPr>
          <w:rFonts w:eastAsia="宋体"/>
        </w:rPr>
      </w:pPr>
      <w:r>
        <w:rPr>
          <w:rFonts w:eastAsia="宋体"/>
        </w:rPr>
        <w:t>验收监测结果见表</w:t>
      </w:r>
      <w:r>
        <w:t>5.4-3</w:t>
      </w:r>
      <w:r>
        <w:rPr>
          <w:rFonts w:eastAsia="宋体"/>
        </w:rPr>
        <w:t>。</w:t>
      </w:r>
    </w:p>
    <w:p>
      <w:pPr>
        <w:rPr>
          <w:rFonts w:eastAsia="黑体"/>
          <w:sz w:val="22"/>
          <w:szCs w:val="22"/>
        </w:rPr>
      </w:pPr>
      <w:r>
        <w:rPr>
          <w:rFonts w:eastAsia="黑体"/>
          <w:sz w:val="24"/>
        </w:rPr>
        <w:t xml:space="preserve">    </w:t>
      </w:r>
      <w:r>
        <w:rPr>
          <w:rFonts w:eastAsia="黑体"/>
          <w:sz w:val="22"/>
          <w:szCs w:val="22"/>
        </w:rPr>
        <w:t>表5.4-3         选矿厂及尾矿库无组织排放监测结果一览表</w:t>
      </w:r>
    </w:p>
    <w:tbl>
      <w:tblPr>
        <w:tblStyle w:val="54"/>
        <w:tblW w:w="83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268"/>
        <w:gridCol w:w="1843"/>
        <w:gridCol w:w="2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84" w:type="dxa"/>
            <w:vMerge w:val="restart"/>
            <w:tcBorders>
              <w:top w:val="single" w:color="auto" w:sz="12" w:space="0"/>
              <w:left w:val="single" w:color="auto" w:sz="12" w:space="0"/>
              <w:bottom w:val="single" w:color="auto" w:sz="4" w:space="0"/>
            </w:tcBorders>
            <w:vAlign w:val="center"/>
          </w:tcPr>
          <w:p>
            <w:pPr>
              <w:jc w:val="center"/>
              <w:rPr>
                <w:szCs w:val="21"/>
              </w:rPr>
            </w:pPr>
            <w:r>
              <w:rPr>
                <w:szCs w:val="21"/>
              </w:rPr>
              <w:t>日期</w:t>
            </w:r>
          </w:p>
        </w:tc>
        <w:tc>
          <w:tcPr>
            <w:tcW w:w="4111" w:type="dxa"/>
            <w:gridSpan w:val="2"/>
            <w:vMerge w:val="restart"/>
            <w:tcBorders>
              <w:top w:val="single" w:color="auto" w:sz="12" w:space="0"/>
              <w:bottom w:val="single" w:color="auto" w:sz="4" w:space="0"/>
            </w:tcBorders>
            <w:vAlign w:val="center"/>
          </w:tcPr>
          <w:p>
            <w:pPr>
              <w:jc w:val="center"/>
              <w:rPr>
                <w:szCs w:val="21"/>
              </w:rPr>
            </w:pPr>
            <w:r>
              <w:rPr>
                <w:szCs w:val="21"/>
              </w:rPr>
              <w:t>监测项目</w:t>
            </w:r>
          </w:p>
          <w:p>
            <w:pPr>
              <w:jc w:val="center"/>
              <w:rPr>
                <w:szCs w:val="21"/>
              </w:rPr>
            </w:pPr>
            <w:r>
              <w:rPr>
                <w:szCs w:val="21"/>
              </w:rPr>
              <w:t>标准限值（差值）</w:t>
            </w:r>
          </w:p>
        </w:tc>
        <w:tc>
          <w:tcPr>
            <w:tcW w:w="2835" w:type="dxa"/>
            <w:tcBorders>
              <w:top w:val="single" w:color="auto" w:sz="12" w:space="0"/>
              <w:bottom w:val="single" w:color="auto" w:sz="4" w:space="0"/>
              <w:right w:val="single" w:color="auto" w:sz="12" w:space="0"/>
            </w:tcBorders>
            <w:vAlign w:val="center"/>
          </w:tcPr>
          <w:p>
            <w:pPr>
              <w:jc w:val="center"/>
              <w:rPr>
                <w:szCs w:val="21"/>
              </w:rPr>
            </w:pPr>
            <w:r>
              <w:rPr>
                <w:szCs w:val="21"/>
              </w:rPr>
              <w:t>颗粒物（mg/m</w:t>
            </w:r>
            <w:r>
              <w:rPr>
                <w:szCs w:val="21"/>
                <w:vertAlign w:val="superscript"/>
              </w:rPr>
              <w:t>3</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84" w:type="dxa"/>
            <w:vMerge w:val="continue"/>
            <w:tcBorders>
              <w:top w:val="single" w:color="auto" w:sz="4" w:space="0"/>
              <w:left w:val="single" w:color="auto" w:sz="12" w:space="0"/>
              <w:bottom w:val="single" w:color="auto" w:sz="4" w:space="0"/>
            </w:tcBorders>
            <w:vAlign w:val="center"/>
          </w:tcPr>
          <w:p>
            <w:pPr>
              <w:jc w:val="center"/>
              <w:rPr>
                <w:szCs w:val="21"/>
              </w:rPr>
            </w:pPr>
          </w:p>
        </w:tc>
        <w:tc>
          <w:tcPr>
            <w:tcW w:w="4111" w:type="dxa"/>
            <w:gridSpan w:val="2"/>
            <w:vMerge w:val="continue"/>
            <w:tcBorders>
              <w:top w:val="single" w:color="auto" w:sz="4" w:space="0"/>
              <w:bottom w:val="single" w:color="auto" w:sz="4" w:space="0"/>
            </w:tcBorders>
            <w:vAlign w:val="center"/>
          </w:tcPr>
          <w:p>
            <w:pPr>
              <w:jc w:val="center"/>
              <w:rPr>
                <w:szCs w:val="21"/>
              </w:rPr>
            </w:pPr>
          </w:p>
        </w:tc>
        <w:tc>
          <w:tcPr>
            <w:tcW w:w="2835" w:type="dxa"/>
            <w:tcBorders>
              <w:top w:val="single" w:color="auto" w:sz="4" w:space="0"/>
              <w:bottom w:val="single" w:color="auto" w:sz="4" w:space="0"/>
              <w:right w:val="single" w:color="auto" w:sz="12" w:space="0"/>
            </w:tcBorders>
            <w:vAlign w:val="center"/>
          </w:tcPr>
          <w:p>
            <w:pPr>
              <w:jc w:val="center"/>
              <w:rPr>
                <w:szCs w:val="21"/>
              </w:rPr>
            </w:pPr>
            <w:r>
              <w:rPr>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82" w:hRule="atLeast"/>
        </w:trPr>
        <w:tc>
          <w:tcPr>
            <w:tcW w:w="1384" w:type="dxa"/>
            <w:tcBorders>
              <w:top w:val="single" w:color="auto" w:sz="4" w:space="0"/>
              <w:left w:val="single" w:color="auto" w:sz="12" w:space="0"/>
              <w:bottom w:val="single" w:color="auto" w:sz="6" w:space="0"/>
            </w:tcBorders>
            <w:vAlign w:val="center"/>
          </w:tcPr>
          <w:p>
            <w:pPr>
              <w:jc w:val="center"/>
              <w:rPr>
                <w:szCs w:val="21"/>
              </w:rPr>
            </w:pPr>
            <w:r>
              <w:rPr>
                <w:szCs w:val="21"/>
              </w:rPr>
              <w:t>2016.8.25</w:t>
            </w:r>
          </w:p>
        </w:tc>
        <w:tc>
          <w:tcPr>
            <w:tcW w:w="2268" w:type="dxa"/>
            <w:tcBorders>
              <w:top w:val="single" w:color="auto" w:sz="4" w:space="0"/>
              <w:bottom w:val="single" w:color="auto" w:sz="4" w:space="0"/>
            </w:tcBorders>
            <w:vAlign w:val="center"/>
          </w:tcPr>
          <w:p>
            <w:pPr>
              <w:jc w:val="center"/>
              <w:rPr>
                <w:szCs w:val="21"/>
              </w:rPr>
            </w:pPr>
            <w:r>
              <w:rPr>
                <w:szCs w:val="21"/>
              </w:rPr>
              <w:t>尾矿库下风向10m处</w:t>
            </w:r>
          </w:p>
        </w:tc>
        <w:tc>
          <w:tcPr>
            <w:tcW w:w="1843" w:type="dxa"/>
            <w:tcBorders>
              <w:top w:val="single" w:color="auto" w:sz="4" w:space="0"/>
              <w:bottom w:val="single" w:color="auto" w:sz="4" w:space="0"/>
            </w:tcBorders>
            <w:vAlign w:val="center"/>
          </w:tcPr>
          <w:p>
            <w:pPr>
              <w:jc w:val="center"/>
              <w:rPr>
                <w:szCs w:val="21"/>
              </w:rPr>
            </w:pPr>
            <w:r>
              <w:rPr>
                <w:szCs w:val="21"/>
              </w:rPr>
              <w:t>监测结果</w:t>
            </w:r>
          </w:p>
        </w:tc>
        <w:tc>
          <w:tcPr>
            <w:tcW w:w="2835" w:type="dxa"/>
            <w:tcBorders>
              <w:top w:val="single" w:color="auto" w:sz="4" w:space="0"/>
              <w:bottom w:val="single" w:color="auto" w:sz="4" w:space="0"/>
              <w:right w:val="single" w:color="auto" w:sz="12" w:space="0"/>
            </w:tcBorders>
            <w:vAlign w:val="center"/>
          </w:tcPr>
          <w:p>
            <w:pPr>
              <w:jc w:val="center"/>
              <w:rPr>
                <w:szCs w:val="21"/>
              </w:rPr>
            </w:pPr>
            <w:r>
              <w:rPr>
                <w:szCs w:val="21"/>
              </w:rPr>
              <w:t>0.074～0.174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84" w:type="dxa"/>
            <w:tcBorders>
              <w:top w:val="single" w:color="auto" w:sz="6" w:space="0"/>
              <w:left w:val="single" w:color="auto" w:sz="12" w:space="0"/>
              <w:bottom w:val="single" w:color="auto" w:sz="6" w:space="0"/>
            </w:tcBorders>
            <w:vAlign w:val="center"/>
          </w:tcPr>
          <w:p>
            <w:pPr>
              <w:jc w:val="center"/>
              <w:rPr>
                <w:szCs w:val="21"/>
              </w:rPr>
            </w:pPr>
            <w:r>
              <w:rPr>
                <w:szCs w:val="21"/>
              </w:rPr>
              <w:t>2016.8.26</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尾矿库下风向10m处</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监测结果</w:t>
            </w:r>
          </w:p>
        </w:tc>
        <w:tc>
          <w:tcPr>
            <w:tcW w:w="2835" w:type="dxa"/>
            <w:tcBorders>
              <w:top w:val="single" w:color="auto" w:sz="4" w:space="0"/>
              <w:left w:val="single" w:color="auto" w:sz="4" w:space="0"/>
              <w:bottom w:val="single" w:color="auto" w:sz="4" w:space="0"/>
              <w:right w:val="single" w:color="auto" w:sz="12" w:space="0"/>
            </w:tcBorders>
            <w:vAlign w:val="center"/>
          </w:tcPr>
          <w:p>
            <w:pPr>
              <w:jc w:val="center"/>
              <w:rPr>
                <w:szCs w:val="21"/>
              </w:rPr>
            </w:pPr>
            <w:r>
              <w:rPr>
                <w:szCs w:val="21"/>
              </w:rPr>
              <w:t>0.074～0.198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84" w:type="dxa"/>
            <w:tcBorders>
              <w:top w:val="single" w:color="auto" w:sz="6" w:space="0"/>
              <w:left w:val="single" w:color="auto" w:sz="12" w:space="0"/>
              <w:bottom w:val="single" w:color="auto" w:sz="6" w:space="0"/>
            </w:tcBorders>
            <w:vAlign w:val="center"/>
          </w:tcPr>
          <w:p>
            <w:pPr>
              <w:jc w:val="center"/>
              <w:rPr>
                <w:szCs w:val="21"/>
              </w:rPr>
            </w:pPr>
            <w:r>
              <w:rPr>
                <w:szCs w:val="21"/>
              </w:rPr>
              <w:t>2016.8.25</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选矿厂原料堆场</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监测结果</w:t>
            </w:r>
          </w:p>
        </w:tc>
        <w:tc>
          <w:tcPr>
            <w:tcW w:w="2835" w:type="dxa"/>
            <w:tcBorders>
              <w:top w:val="single" w:color="auto" w:sz="4" w:space="0"/>
              <w:left w:val="single" w:color="auto" w:sz="4" w:space="0"/>
              <w:bottom w:val="single" w:color="auto" w:sz="4" w:space="0"/>
              <w:right w:val="single" w:color="auto" w:sz="12" w:space="0"/>
            </w:tcBorders>
            <w:vAlign w:val="center"/>
          </w:tcPr>
          <w:p>
            <w:pPr>
              <w:jc w:val="center"/>
              <w:rPr>
                <w:szCs w:val="21"/>
              </w:rPr>
            </w:pPr>
            <w:r>
              <w:rPr>
                <w:szCs w:val="21"/>
              </w:rPr>
              <w:t>0.055～0.26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84" w:type="dxa"/>
            <w:tcBorders>
              <w:top w:val="single" w:color="auto" w:sz="6" w:space="0"/>
              <w:left w:val="single" w:color="auto" w:sz="12" w:space="0"/>
              <w:bottom w:val="single" w:color="auto" w:sz="12" w:space="0"/>
            </w:tcBorders>
            <w:vAlign w:val="center"/>
          </w:tcPr>
          <w:p>
            <w:pPr>
              <w:jc w:val="center"/>
              <w:rPr>
                <w:szCs w:val="21"/>
              </w:rPr>
            </w:pPr>
            <w:r>
              <w:rPr>
                <w:szCs w:val="21"/>
              </w:rPr>
              <w:t>2016.8.26</w:t>
            </w:r>
          </w:p>
        </w:tc>
        <w:tc>
          <w:tcPr>
            <w:tcW w:w="2268" w:type="dxa"/>
            <w:tcBorders>
              <w:top w:val="single" w:color="auto" w:sz="4" w:space="0"/>
              <w:left w:val="single" w:color="auto" w:sz="4" w:space="0"/>
              <w:bottom w:val="single" w:color="auto" w:sz="12" w:space="0"/>
              <w:right w:val="single" w:color="auto" w:sz="4" w:space="0"/>
            </w:tcBorders>
            <w:vAlign w:val="center"/>
          </w:tcPr>
          <w:p>
            <w:pPr>
              <w:jc w:val="center"/>
              <w:rPr>
                <w:szCs w:val="21"/>
              </w:rPr>
            </w:pPr>
            <w:r>
              <w:rPr>
                <w:szCs w:val="21"/>
              </w:rPr>
              <w:t>选矿厂原料堆场</w:t>
            </w:r>
          </w:p>
        </w:tc>
        <w:tc>
          <w:tcPr>
            <w:tcW w:w="1843" w:type="dxa"/>
            <w:tcBorders>
              <w:top w:val="single" w:color="auto" w:sz="4" w:space="0"/>
              <w:left w:val="single" w:color="auto" w:sz="4" w:space="0"/>
              <w:bottom w:val="single" w:color="auto" w:sz="12" w:space="0"/>
              <w:right w:val="single" w:color="auto" w:sz="4" w:space="0"/>
            </w:tcBorders>
            <w:vAlign w:val="center"/>
          </w:tcPr>
          <w:p>
            <w:pPr>
              <w:jc w:val="center"/>
              <w:rPr>
                <w:szCs w:val="21"/>
              </w:rPr>
            </w:pPr>
            <w:r>
              <w:rPr>
                <w:szCs w:val="21"/>
              </w:rPr>
              <w:t>监测结果</w:t>
            </w:r>
          </w:p>
        </w:tc>
        <w:tc>
          <w:tcPr>
            <w:tcW w:w="2835" w:type="dxa"/>
            <w:tcBorders>
              <w:top w:val="single" w:color="auto" w:sz="4" w:space="0"/>
              <w:left w:val="single" w:color="auto" w:sz="4" w:space="0"/>
              <w:bottom w:val="single" w:color="auto" w:sz="12" w:space="0"/>
              <w:right w:val="single" w:color="auto" w:sz="12" w:space="0"/>
            </w:tcBorders>
            <w:vAlign w:val="center"/>
          </w:tcPr>
          <w:p>
            <w:pPr>
              <w:jc w:val="center"/>
              <w:rPr>
                <w:szCs w:val="21"/>
              </w:rPr>
            </w:pPr>
            <w:r>
              <w:rPr>
                <w:szCs w:val="21"/>
              </w:rPr>
              <w:t>0.044～0.247</w:t>
            </w:r>
          </w:p>
        </w:tc>
      </w:tr>
    </w:tbl>
    <w:p>
      <w:pPr>
        <w:pStyle w:val="26"/>
        <w:spacing w:beforeLines="50" w:line="360" w:lineRule="auto"/>
        <w:ind w:firstLine="480" w:firstLineChars="200"/>
        <w:rPr>
          <w:rFonts w:ascii="Times New Roman" w:hAnsi="Times New Roman"/>
          <w:sz w:val="24"/>
        </w:rPr>
      </w:pPr>
      <w:r>
        <w:rPr>
          <w:rFonts w:ascii="Times New Roman" w:hAnsi="Times New Roman"/>
          <w:sz w:val="24"/>
        </w:rPr>
        <w:t>由表5.4-2可以看出，选厂原料堆场及尾矿库无组织排放颗粒物排放监测浓度最大值为0.274mg/m</w:t>
      </w:r>
      <w:r>
        <w:rPr>
          <w:rFonts w:ascii="Times New Roman" w:hAnsi="Times New Roman"/>
          <w:sz w:val="24"/>
          <w:vertAlign w:val="superscript"/>
        </w:rPr>
        <w:t>3</w:t>
      </w:r>
      <w:r>
        <w:rPr>
          <w:rFonts w:ascii="Times New Roman" w:hAnsi="Times New Roman"/>
          <w:sz w:val="24"/>
        </w:rPr>
        <w:t>，满足《大气污染物综合排放标准》（GB16297-1996）表2二级标准的要中无组织排放监控浓度限值的要求。</w:t>
      </w:r>
    </w:p>
    <w:p>
      <w:pPr>
        <w:pStyle w:val="10"/>
        <w:rPr>
          <w:rFonts w:ascii="Times New Roman" w:hAnsi="Times New Roman"/>
          <w:szCs w:val="24"/>
        </w:rPr>
      </w:pPr>
      <w:bookmarkStart w:id="564" w:name="_Toc420663695"/>
      <w:r>
        <w:rPr>
          <w:rFonts w:ascii="Times New Roman" w:hAnsi="Times New Roman"/>
          <w:szCs w:val="30"/>
        </w:rPr>
        <w:t>5.4.3</w:t>
      </w:r>
      <w:bookmarkEnd w:id="561"/>
      <w:bookmarkEnd w:id="562"/>
      <w:bookmarkEnd w:id="563"/>
      <w:bookmarkEnd w:id="564"/>
      <w:r>
        <w:rPr>
          <w:rFonts w:ascii="Times New Roman" w:hAnsi="Times New Roman"/>
          <w:szCs w:val="30"/>
        </w:rPr>
        <w:t>大气环境影响调查</w:t>
      </w:r>
    </w:p>
    <w:p>
      <w:pPr>
        <w:pStyle w:val="5"/>
      </w:pPr>
      <w:r>
        <w:t>5.4.3.1 监测点位及频次</w:t>
      </w:r>
    </w:p>
    <w:p>
      <w:pPr>
        <w:pStyle w:val="26"/>
        <w:spacing w:line="360" w:lineRule="auto"/>
        <w:ind w:firstLine="488" w:firstLineChars="200"/>
        <w:rPr>
          <w:rFonts w:ascii="Times New Roman" w:hAnsi="Times New Roman"/>
          <w:sz w:val="24"/>
        </w:rPr>
      </w:pPr>
      <w:r>
        <w:rPr>
          <w:rFonts w:ascii="Times New Roman" w:hAnsi="Times New Roman"/>
          <w:spacing w:val="2"/>
          <w:sz w:val="24"/>
        </w:rPr>
        <w:t>考虑项目所处环境特点，环境空气质量现状监测点布设2个。</w:t>
      </w:r>
      <w:r>
        <w:rPr>
          <w:rFonts w:ascii="Times New Roman" w:hAnsi="Times New Roman"/>
          <w:sz w:val="24"/>
        </w:rPr>
        <w:t>监测点具体位置见表5.4-4。</w:t>
      </w:r>
    </w:p>
    <w:p>
      <w:pPr>
        <w:pStyle w:val="26"/>
        <w:spacing w:line="360" w:lineRule="auto"/>
        <w:ind w:firstLine="480" w:firstLineChars="200"/>
        <w:rPr>
          <w:rFonts w:ascii="Times New Roman" w:hAnsi="Times New Roman"/>
          <w:sz w:val="24"/>
        </w:rPr>
      </w:pPr>
    </w:p>
    <w:p>
      <w:pPr>
        <w:pStyle w:val="26"/>
        <w:ind w:firstLine="440" w:firstLineChars="200"/>
        <w:jc w:val="left"/>
        <w:rPr>
          <w:rFonts w:ascii="Times New Roman" w:hAnsi="Times New Roman" w:eastAsia="黑体"/>
          <w:sz w:val="22"/>
          <w:szCs w:val="22"/>
        </w:rPr>
      </w:pPr>
      <w:r>
        <w:rPr>
          <w:rFonts w:ascii="Times New Roman" w:hAnsi="Times New Roman" w:eastAsia="黑体"/>
          <w:sz w:val="22"/>
          <w:szCs w:val="22"/>
        </w:rPr>
        <w:t>表5.4-4                 环境现状监测布点一览表</w:t>
      </w:r>
    </w:p>
    <w:tbl>
      <w:tblPr>
        <w:tblStyle w:val="54"/>
        <w:tblW w:w="81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13"/>
        <w:gridCol w:w="1822"/>
        <w:gridCol w:w="1843"/>
        <w:gridCol w:w="3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79" w:hRule="atLeast"/>
        </w:trPr>
        <w:tc>
          <w:tcPr>
            <w:tcW w:w="1013" w:type="dxa"/>
            <w:vAlign w:val="center"/>
          </w:tcPr>
          <w:p>
            <w:pPr>
              <w:jc w:val="center"/>
              <w:rPr>
                <w:spacing w:val="2"/>
                <w:sz w:val="20"/>
                <w:szCs w:val="20"/>
              </w:rPr>
            </w:pPr>
            <w:r>
              <w:rPr>
                <w:spacing w:val="2"/>
                <w:sz w:val="20"/>
                <w:szCs w:val="20"/>
              </w:rPr>
              <w:t>序号</w:t>
            </w:r>
          </w:p>
        </w:tc>
        <w:tc>
          <w:tcPr>
            <w:tcW w:w="1822" w:type="dxa"/>
            <w:vAlign w:val="center"/>
          </w:tcPr>
          <w:p>
            <w:pPr>
              <w:jc w:val="center"/>
              <w:rPr>
                <w:spacing w:val="2"/>
                <w:sz w:val="20"/>
                <w:szCs w:val="20"/>
              </w:rPr>
            </w:pPr>
            <w:r>
              <w:rPr>
                <w:spacing w:val="2"/>
                <w:sz w:val="20"/>
                <w:szCs w:val="20"/>
              </w:rPr>
              <w:t>监测点位</w:t>
            </w:r>
          </w:p>
        </w:tc>
        <w:tc>
          <w:tcPr>
            <w:tcW w:w="1843" w:type="dxa"/>
            <w:vAlign w:val="center"/>
          </w:tcPr>
          <w:p>
            <w:pPr>
              <w:jc w:val="center"/>
              <w:rPr>
                <w:spacing w:val="2"/>
                <w:sz w:val="20"/>
                <w:szCs w:val="20"/>
              </w:rPr>
            </w:pPr>
            <w:r>
              <w:rPr>
                <w:spacing w:val="2"/>
                <w:sz w:val="20"/>
                <w:szCs w:val="20"/>
              </w:rPr>
              <w:t>功能</w:t>
            </w:r>
          </w:p>
        </w:tc>
        <w:tc>
          <w:tcPr>
            <w:tcW w:w="3430" w:type="dxa"/>
            <w:vAlign w:val="center"/>
          </w:tcPr>
          <w:p>
            <w:pPr>
              <w:jc w:val="center"/>
              <w:rPr>
                <w:spacing w:val="2"/>
                <w:sz w:val="20"/>
                <w:szCs w:val="20"/>
              </w:rPr>
            </w:pPr>
            <w:r>
              <w:rPr>
                <w:spacing w:val="2"/>
                <w:sz w:val="20"/>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79" w:hRule="atLeast"/>
        </w:trPr>
        <w:tc>
          <w:tcPr>
            <w:tcW w:w="1013" w:type="dxa"/>
            <w:vAlign w:val="center"/>
          </w:tcPr>
          <w:p>
            <w:pPr>
              <w:jc w:val="center"/>
              <w:rPr>
                <w:spacing w:val="2"/>
                <w:sz w:val="20"/>
                <w:szCs w:val="20"/>
              </w:rPr>
            </w:pPr>
            <w:r>
              <w:rPr>
                <w:spacing w:val="2"/>
                <w:sz w:val="20"/>
                <w:szCs w:val="20"/>
              </w:rPr>
              <w:t>1</w:t>
            </w:r>
          </w:p>
        </w:tc>
        <w:tc>
          <w:tcPr>
            <w:tcW w:w="1822" w:type="dxa"/>
            <w:vAlign w:val="center"/>
          </w:tcPr>
          <w:p>
            <w:pPr>
              <w:jc w:val="center"/>
              <w:rPr>
                <w:sz w:val="20"/>
                <w:szCs w:val="20"/>
              </w:rPr>
            </w:pPr>
            <w:r>
              <w:rPr>
                <w:sz w:val="20"/>
                <w:szCs w:val="20"/>
              </w:rPr>
              <w:t>大村</w:t>
            </w:r>
          </w:p>
        </w:tc>
        <w:tc>
          <w:tcPr>
            <w:tcW w:w="1843" w:type="dxa"/>
            <w:vAlign w:val="center"/>
          </w:tcPr>
          <w:p>
            <w:pPr>
              <w:jc w:val="center"/>
              <w:rPr>
                <w:spacing w:val="2"/>
                <w:sz w:val="20"/>
                <w:szCs w:val="20"/>
              </w:rPr>
            </w:pPr>
            <w:r>
              <w:rPr>
                <w:spacing w:val="2"/>
                <w:sz w:val="20"/>
                <w:szCs w:val="20"/>
              </w:rPr>
              <w:t>背景监测点</w:t>
            </w:r>
          </w:p>
        </w:tc>
        <w:tc>
          <w:tcPr>
            <w:tcW w:w="3430" w:type="dxa"/>
            <w:vAlign w:val="center"/>
          </w:tcPr>
          <w:p>
            <w:pPr>
              <w:jc w:val="center"/>
              <w:rPr>
                <w:spacing w:val="2"/>
                <w:sz w:val="20"/>
                <w:szCs w:val="20"/>
              </w:rPr>
            </w:pPr>
            <w:r>
              <w:rPr>
                <w:spacing w:val="2"/>
                <w:sz w:val="20"/>
                <w:szCs w:val="20"/>
              </w:rPr>
              <w:t>项目区域下风向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678" w:hRule="atLeast"/>
        </w:trPr>
        <w:tc>
          <w:tcPr>
            <w:tcW w:w="1013" w:type="dxa"/>
            <w:vAlign w:val="center"/>
          </w:tcPr>
          <w:p>
            <w:pPr>
              <w:jc w:val="center"/>
              <w:rPr>
                <w:spacing w:val="2"/>
                <w:sz w:val="20"/>
                <w:szCs w:val="20"/>
              </w:rPr>
            </w:pPr>
            <w:r>
              <w:rPr>
                <w:spacing w:val="2"/>
                <w:sz w:val="20"/>
                <w:szCs w:val="20"/>
              </w:rPr>
              <w:t>2</w:t>
            </w:r>
          </w:p>
        </w:tc>
        <w:tc>
          <w:tcPr>
            <w:tcW w:w="1822" w:type="dxa"/>
            <w:vAlign w:val="center"/>
          </w:tcPr>
          <w:p>
            <w:pPr>
              <w:jc w:val="center"/>
              <w:rPr>
                <w:sz w:val="20"/>
                <w:szCs w:val="20"/>
              </w:rPr>
            </w:pPr>
            <w:r>
              <w:rPr>
                <w:sz w:val="20"/>
                <w:szCs w:val="20"/>
              </w:rPr>
              <w:t>黑山村</w:t>
            </w:r>
          </w:p>
        </w:tc>
        <w:tc>
          <w:tcPr>
            <w:tcW w:w="1843" w:type="dxa"/>
            <w:vAlign w:val="center"/>
          </w:tcPr>
          <w:p>
            <w:pPr>
              <w:jc w:val="center"/>
              <w:rPr>
                <w:spacing w:val="2"/>
                <w:sz w:val="20"/>
                <w:szCs w:val="20"/>
              </w:rPr>
            </w:pPr>
            <w:r>
              <w:rPr>
                <w:spacing w:val="2"/>
                <w:sz w:val="20"/>
                <w:szCs w:val="20"/>
              </w:rPr>
              <w:t>背景监测点</w:t>
            </w:r>
          </w:p>
        </w:tc>
        <w:tc>
          <w:tcPr>
            <w:tcW w:w="3430" w:type="dxa"/>
            <w:vAlign w:val="center"/>
          </w:tcPr>
          <w:p>
            <w:pPr>
              <w:jc w:val="center"/>
              <w:rPr>
                <w:spacing w:val="2"/>
                <w:sz w:val="20"/>
                <w:szCs w:val="20"/>
              </w:rPr>
            </w:pPr>
            <w:r>
              <w:rPr>
                <w:spacing w:val="2"/>
                <w:sz w:val="20"/>
                <w:szCs w:val="20"/>
              </w:rPr>
              <w:t>项目区域上风向</w:t>
            </w:r>
          </w:p>
        </w:tc>
      </w:tr>
    </w:tbl>
    <w:p>
      <w:pPr>
        <w:pStyle w:val="107"/>
        <w:spacing w:beforeLines="50"/>
      </w:pPr>
      <w:r>
        <w:rPr>
          <w:rFonts w:eastAsia="宋体"/>
        </w:rPr>
        <w:t xml:space="preserve">    环境空气质量现状监测委托灵宝市环境监测站于</w:t>
      </w:r>
      <w:r>
        <w:t>2016</w:t>
      </w:r>
      <w:r>
        <w:rPr>
          <w:rFonts w:eastAsia="宋体"/>
        </w:rPr>
        <w:t>年</w:t>
      </w:r>
      <w:r>
        <w:t>6</w:t>
      </w:r>
      <w:r>
        <w:rPr>
          <w:rFonts w:eastAsia="宋体"/>
        </w:rPr>
        <w:t>月</w:t>
      </w:r>
      <w:r>
        <w:t>15~16</w:t>
      </w:r>
      <w:r>
        <w:rPr>
          <w:rFonts w:eastAsia="宋体"/>
        </w:rPr>
        <w:t>日进行，连续监测</w:t>
      </w:r>
      <w:r>
        <w:t>3</w:t>
      </w:r>
      <w:r>
        <w:rPr>
          <w:rFonts w:eastAsia="宋体"/>
        </w:rPr>
        <w:t>天，监测频率按照《环境空气质量标准》与现行标准中</w:t>
      </w:r>
      <w:r>
        <w:t>“</w:t>
      </w:r>
      <w:r>
        <w:rPr>
          <w:rFonts w:eastAsia="宋体"/>
        </w:rPr>
        <w:t>污染物数据统计</w:t>
      </w:r>
      <w:r>
        <w:t>的有效性规定”执行。监测时，同步记录风向、风速气温、气压等地面气象要素。</w:t>
      </w:r>
    </w:p>
    <w:p>
      <w:pPr>
        <w:pStyle w:val="5"/>
      </w:pPr>
      <w:r>
        <w:t xml:space="preserve"> 5.4.3.2 监测结果分析</w:t>
      </w:r>
    </w:p>
    <w:p>
      <w:pPr>
        <w:pStyle w:val="107"/>
      </w:pPr>
      <w:r>
        <w:t xml:space="preserve">    本工程环境空气质量监测结果见表5.4-5</w:t>
      </w:r>
    </w:p>
    <w:p>
      <w:pPr>
        <w:pStyle w:val="107"/>
        <w:spacing w:line="240" w:lineRule="auto"/>
        <w:rPr>
          <w:sz w:val="22"/>
          <w:szCs w:val="22"/>
        </w:rPr>
      </w:pPr>
      <w:r>
        <w:rPr>
          <w:rFonts w:eastAsia="黑体"/>
        </w:rPr>
        <w:t xml:space="preserve">   </w:t>
      </w:r>
      <w:r>
        <w:rPr>
          <w:rFonts w:eastAsia="黑体"/>
          <w:sz w:val="22"/>
          <w:szCs w:val="22"/>
        </w:rPr>
        <w:t xml:space="preserve"> 表5.4-5               环境空气现状质量监测结果表</w:t>
      </w:r>
    </w:p>
    <w:tbl>
      <w:tblPr>
        <w:tblStyle w:val="54"/>
        <w:tblW w:w="83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1"/>
        <w:gridCol w:w="710"/>
        <w:gridCol w:w="1272"/>
        <w:gridCol w:w="1843"/>
        <w:gridCol w:w="1418"/>
        <w:gridCol w:w="992"/>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61" w:type="dxa"/>
            <w:vAlign w:val="center"/>
          </w:tcPr>
          <w:p>
            <w:pPr>
              <w:pStyle w:val="26"/>
              <w:adjustRightInd w:val="0"/>
              <w:snapToGrid w:val="0"/>
              <w:jc w:val="center"/>
              <w:rPr>
                <w:rFonts w:ascii="Times New Roman" w:hAnsi="Times New Roman"/>
                <w:szCs w:val="21"/>
              </w:rPr>
            </w:pPr>
            <w:r>
              <w:rPr>
                <w:rFonts w:ascii="Times New Roman" w:hAnsi="Times New Roman"/>
                <w:szCs w:val="21"/>
              </w:rPr>
              <w:t>监测</w:t>
            </w:r>
          </w:p>
          <w:p>
            <w:pPr>
              <w:pStyle w:val="26"/>
              <w:adjustRightInd w:val="0"/>
              <w:snapToGrid w:val="0"/>
              <w:jc w:val="center"/>
              <w:rPr>
                <w:rFonts w:ascii="Times New Roman" w:hAnsi="Times New Roman"/>
                <w:szCs w:val="21"/>
              </w:rPr>
            </w:pPr>
            <w:r>
              <w:rPr>
                <w:rFonts w:ascii="Times New Roman" w:hAnsi="Times New Roman"/>
                <w:szCs w:val="21"/>
              </w:rPr>
              <w:t>点位</w:t>
            </w:r>
          </w:p>
        </w:tc>
        <w:tc>
          <w:tcPr>
            <w:tcW w:w="710" w:type="dxa"/>
            <w:vAlign w:val="center"/>
          </w:tcPr>
          <w:p>
            <w:pPr>
              <w:pStyle w:val="26"/>
              <w:adjustRightInd w:val="0"/>
              <w:snapToGrid w:val="0"/>
              <w:jc w:val="center"/>
              <w:rPr>
                <w:rFonts w:ascii="Times New Roman" w:hAnsi="Times New Roman"/>
                <w:szCs w:val="21"/>
              </w:rPr>
            </w:pPr>
            <w:r>
              <w:rPr>
                <w:rFonts w:ascii="Times New Roman" w:hAnsi="Times New Roman"/>
                <w:szCs w:val="21"/>
              </w:rPr>
              <w:t>监测因子</w:t>
            </w: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监测时段</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测值范围(mg/Nm</w:t>
            </w:r>
            <w:r>
              <w:rPr>
                <w:rFonts w:ascii="Times New Roman" w:hAnsi="Times New Roman"/>
                <w:szCs w:val="21"/>
                <w:vertAlign w:val="superscript"/>
              </w:rPr>
              <w:t>3</w:t>
            </w:r>
            <w:r>
              <w:rPr>
                <w:rFonts w:ascii="Times New Roman" w:hAnsi="Times New Roman"/>
                <w:szCs w:val="21"/>
              </w:rPr>
              <w:t>)</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浓度限值</w:t>
            </w:r>
          </w:p>
          <w:p>
            <w:pPr>
              <w:pStyle w:val="26"/>
              <w:adjustRightInd w:val="0"/>
              <w:snapToGrid w:val="0"/>
              <w:jc w:val="center"/>
              <w:rPr>
                <w:rFonts w:ascii="Times New Roman" w:hAnsi="Times New Roman"/>
                <w:szCs w:val="21"/>
              </w:rPr>
            </w:pPr>
            <w:r>
              <w:rPr>
                <w:rFonts w:ascii="Times New Roman" w:hAnsi="Times New Roman"/>
                <w:szCs w:val="21"/>
              </w:rPr>
              <w:t>(mg/Nm</w:t>
            </w:r>
            <w:r>
              <w:rPr>
                <w:rFonts w:ascii="Times New Roman" w:hAnsi="Times New Roman"/>
                <w:szCs w:val="21"/>
                <w:vertAlign w:val="superscript"/>
              </w:rPr>
              <w:t>3</w:t>
            </w:r>
            <w:r>
              <w:rPr>
                <w:rFonts w:ascii="Times New Roman" w:hAnsi="Times New Roman"/>
                <w:szCs w:val="21"/>
              </w:rPr>
              <w:t>)</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超标率（%）</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最大超标倍数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restart"/>
            <w:vAlign w:val="center"/>
          </w:tcPr>
          <w:p>
            <w:pPr>
              <w:adjustRightInd w:val="0"/>
              <w:snapToGrid w:val="0"/>
              <w:jc w:val="center"/>
              <w:rPr>
                <w:spacing w:val="2"/>
                <w:szCs w:val="21"/>
              </w:rPr>
            </w:pPr>
            <w:r>
              <w:rPr>
                <w:szCs w:val="21"/>
              </w:rPr>
              <w:t>大村</w:t>
            </w:r>
          </w:p>
        </w:tc>
        <w:tc>
          <w:tcPr>
            <w:tcW w:w="710" w:type="dxa"/>
            <w:vAlign w:val="center"/>
          </w:tcPr>
          <w:p>
            <w:pPr>
              <w:pStyle w:val="26"/>
              <w:adjustRightInd w:val="0"/>
              <w:snapToGrid w:val="0"/>
              <w:jc w:val="center"/>
              <w:rPr>
                <w:rFonts w:ascii="Times New Roman" w:hAnsi="Times New Roman"/>
                <w:szCs w:val="21"/>
              </w:rPr>
            </w:pPr>
            <w:r>
              <w:rPr>
                <w:rFonts w:ascii="Times New Roman" w:hAnsi="Times New Roman"/>
                <w:szCs w:val="21"/>
              </w:rPr>
              <w:t>TSP</w:t>
            </w: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日平均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0.086～0.103</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0.30</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adjustRightInd w:val="0"/>
              <w:snapToGrid w:val="0"/>
              <w:jc w:val="center"/>
              <w:rPr>
                <w:szCs w:val="21"/>
              </w:rPr>
            </w:pPr>
          </w:p>
        </w:tc>
        <w:tc>
          <w:tcPr>
            <w:tcW w:w="710" w:type="dxa"/>
            <w:vAlign w:val="center"/>
          </w:tcPr>
          <w:p>
            <w:pPr>
              <w:pStyle w:val="26"/>
              <w:adjustRightInd w:val="0"/>
              <w:snapToGrid w:val="0"/>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日平均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0.059～0.068</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0.15</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pStyle w:val="26"/>
              <w:adjustRightInd w:val="0"/>
              <w:snapToGrid w:val="0"/>
              <w:jc w:val="center"/>
              <w:rPr>
                <w:rFonts w:ascii="Times New Roman" w:hAnsi="Times New Roman"/>
                <w:szCs w:val="21"/>
              </w:rPr>
            </w:pPr>
          </w:p>
        </w:tc>
        <w:tc>
          <w:tcPr>
            <w:tcW w:w="710" w:type="dxa"/>
            <w:vMerge w:val="restart"/>
            <w:vAlign w:val="center"/>
          </w:tcPr>
          <w:p>
            <w:pPr>
              <w:pStyle w:val="26"/>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小时平均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0.021～0.068</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0.50</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pStyle w:val="26"/>
              <w:adjustRightInd w:val="0"/>
              <w:snapToGrid w:val="0"/>
              <w:jc w:val="center"/>
              <w:rPr>
                <w:rFonts w:ascii="Times New Roman" w:hAnsi="Times New Roman"/>
                <w:szCs w:val="21"/>
              </w:rPr>
            </w:pPr>
          </w:p>
        </w:tc>
        <w:tc>
          <w:tcPr>
            <w:tcW w:w="710" w:type="dxa"/>
            <w:vMerge w:val="continue"/>
            <w:vAlign w:val="center"/>
          </w:tcPr>
          <w:p>
            <w:pPr>
              <w:pStyle w:val="26"/>
              <w:adjustRightInd w:val="0"/>
              <w:snapToGrid w:val="0"/>
              <w:jc w:val="center"/>
              <w:rPr>
                <w:rFonts w:ascii="Times New Roman" w:hAnsi="Times New Roman"/>
                <w:szCs w:val="21"/>
              </w:rPr>
            </w:pP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日平均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0.030～0.043</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0.15</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pStyle w:val="26"/>
              <w:adjustRightInd w:val="0"/>
              <w:snapToGrid w:val="0"/>
              <w:jc w:val="center"/>
              <w:rPr>
                <w:rFonts w:ascii="Times New Roman" w:hAnsi="Times New Roman"/>
                <w:szCs w:val="21"/>
              </w:rPr>
            </w:pPr>
          </w:p>
        </w:tc>
        <w:tc>
          <w:tcPr>
            <w:tcW w:w="710" w:type="dxa"/>
            <w:vMerge w:val="restart"/>
            <w:vAlign w:val="center"/>
          </w:tcPr>
          <w:p>
            <w:pPr>
              <w:pStyle w:val="26"/>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1272" w:type="dxa"/>
            <w:vAlign w:val="center"/>
          </w:tcPr>
          <w:p>
            <w:pPr>
              <w:pStyle w:val="26"/>
              <w:adjustRightInd w:val="0"/>
              <w:snapToGrid w:val="0"/>
              <w:rPr>
                <w:rFonts w:ascii="Times New Roman" w:hAnsi="Times New Roman"/>
                <w:szCs w:val="21"/>
              </w:rPr>
            </w:pPr>
            <w:r>
              <w:rPr>
                <w:rFonts w:ascii="Times New Roman" w:hAnsi="Times New Roman"/>
                <w:szCs w:val="21"/>
              </w:rPr>
              <w:t>小时平均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0.025～0.027</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0.24</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pStyle w:val="26"/>
              <w:adjustRightInd w:val="0"/>
              <w:snapToGrid w:val="0"/>
              <w:jc w:val="center"/>
              <w:rPr>
                <w:rFonts w:ascii="Times New Roman" w:hAnsi="Times New Roman"/>
                <w:szCs w:val="21"/>
              </w:rPr>
            </w:pPr>
          </w:p>
        </w:tc>
        <w:tc>
          <w:tcPr>
            <w:tcW w:w="710" w:type="dxa"/>
            <w:vMerge w:val="continue"/>
            <w:vAlign w:val="center"/>
          </w:tcPr>
          <w:p>
            <w:pPr>
              <w:pStyle w:val="26"/>
              <w:adjustRightInd w:val="0"/>
              <w:snapToGrid w:val="0"/>
              <w:jc w:val="center"/>
              <w:rPr>
                <w:rFonts w:ascii="Times New Roman" w:hAnsi="Times New Roman"/>
                <w:szCs w:val="21"/>
              </w:rPr>
            </w:pP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日平均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0.027～0.032</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0.12</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restart"/>
            <w:vAlign w:val="center"/>
          </w:tcPr>
          <w:p>
            <w:pPr>
              <w:adjustRightInd w:val="0"/>
              <w:snapToGrid w:val="0"/>
              <w:jc w:val="left"/>
              <w:rPr>
                <w:szCs w:val="21"/>
              </w:rPr>
            </w:pPr>
            <w:r>
              <w:rPr>
                <w:szCs w:val="21"/>
              </w:rPr>
              <w:t>黑山村</w:t>
            </w:r>
          </w:p>
        </w:tc>
        <w:tc>
          <w:tcPr>
            <w:tcW w:w="710" w:type="dxa"/>
            <w:vAlign w:val="center"/>
          </w:tcPr>
          <w:p>
            <w:pPr>
              <w:pStyle w:val="26"/>
              <w:adjustRightInd w:val="0"/>
              <w:snapToGrid w:val="0"/>
              <w:jc w:val="center"/>
              <w:rPr>
                <w:rFonts w:ascii="Times New Roman" w:hAnsi="Times New Roman"/>
                <w:szCs w:val="21"/>
              </w:rPr>
            </w:pPr>
            <w:r>
              <w:rPr>
                <w:rFonts w:ascii="Times New Roman" w:hAnsi="Times New Roman"/>
                <w:szCs w:val="21"/>
              </w:rPr>
              <w:t>TSP</w:t>
            </w: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日平均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0.076-0.090</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0.30</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adjustRightInd w:val="0"/>
              <w:snapToGrid w:val="0"/>
              <w:jc w:val="left"/>
              <w:rPr>
                <w:szCs w:val="21"/>
              </w:rPr>
            </w:pPr>
          </w:p>
        </w:tc>
        <w:tc>
          <w:tcPr>
            <w:tcW w:w="710" w:type="dxa"/>
            <w:vAlign w:val="center"/>
          </w:tcPr>
          <w:p>
            <w:pPr>
              <w:pStyle w:val="26"/>
              <w:adjustRightInd w:val="0"/>
              <w:snapToGrid w:val="0"/>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日平均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0.048～0.061</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0.15</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pStyle w:val="26"/>
              <w:adjustRightInd w:val="0"/>
              <w:snapToGrid w:val="0"/>
              <w:jc w:val="center"/>
              <w:rPr>
                <w:rFonts w:ascii="Times New Roman" w:hAnsi="Times New Roman"/>
                <w:szCs w:val="21"/>
              </w:rPr>
            </w:pPr>
          </w:p>
        </w:tc>
        <w:tc>
          <w:tcPr>
            <w:tcW w:w="710" w:type="dxa"/>
            <w:vMerge w:val="restart"/>
            <w:vAlign w:val="center"/>
          </w:tcPr>
          <w:p>
            <w:pPr>
              <w:pStyle w:val="26"/>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小时平均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0.027～0.054</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0.50</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pStyle w:val="26"/>
              <w:adjustRightInd w:val="0"/>
              <w:snapToGrid w:val="0"/>
              <w:jc w:val="center"/>
              <w:rPr>
                <w:rFonts w:ascii="Times New Roman" w:hAnsi="Times New Roman"/>
                <w:szCs w:val="21"/>
              </w:rPr>
            </w:pPr>
          </w:p>
        </w:tc>
        <w:tc>
          <w:tcPr>
            <w:tcW w:w="710" w:type="dxa"/>
            <w:vMerge w:val="continue"/>
            <w:vAlign w:val="center"/>
          </w:tcPr>
          <w:p>
            <w:pPr>
              <w:pStyle w:val="26"/>
              <w:adjustRightInd w:val="0"/>
              <w:snapToGrid w:val="0"/>
              <w:jc w:val="center"/>
              <w:rPr>
                <w:rFonts w:ascii="Times New Roman" w:hAnsi="Times New Roman"/>
                <w:szCs w:val="21"/>
              </w:rPr>
            </w:pP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日平均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0.032～0.039</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0.15</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pStyle w:val="26"/>
              <w:adjustRightInd w:val="0"/>
              <w:snapToGrid w:val="0"/>
              <w:jc w:val="center"/>
              <w:rPr>
                <w:rFonts w:ascii="Times New Roman" w:hAnsi="Times New Roman"/>
                <w:szCs w:val="21"/>
              </w:rPr>
            </w:pPr>
          </w:p>
        </w:tc>
        <w:tc>
          <w:tcPr>
            <w:tcW w:w="710" w:type="dxa"/>
            <w:vMerge w:val="restart"/>
            <w:vAlign w:val="center"/>
          </w:tcPr>
          <w:p>
            <w:pPr>
              <w:pStyle w:val="26"/>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小时平均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0.021～0.024</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0.24</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61" w:type="dxa"/>
            <w:vMerge w:val="continue"/>
            <w:vAlign w:val="center"/>
          </w:tcPr>
          <w:p>
            <w:pPr>
              <w:pStyle w:val="26"/>
              <w:adjustRightInd w:val="0"/>
              <w:snapToGrid w:val="0"/>
              <w:jc w:val="center"/>
              <w:rPr>
                <w:rFonts w:ascii="Times New Roman" w:hAnsi="Times New Roman"/>
                <w:szCs w:val="21"/>
              </w:rPr>
            </w:pPr>
          </w:p>
        </w:tc>
        <w:tc>
          <w:tcPr>
            <w:tcW w:w="710" w:type="dxa"/>
            <w:vMerge w:val="continue"/>
            <w:vAlign w:val="center"/>
          </w:tcPr>
          <w:p>
            <w:pPr>
              <w:pStyle w:val="26"/>
              <w:adjustRightInd w:val="0"/>
              <w:snapToGrid w:val="0"/>
              <w:jc w:val="center"/>
              <w:rPr>
                <w:rFonts w:ascii="Times New Roman" w:hAnsi="Times New Roman"/>
                <w:b/>
                <w:szCs w:val="21"/>
              </w:rPr>
            </w:pPr>
          </w:p>
        </w:tc>
        <w:tc>
          <w:tcPr>
            <w:tcW w:w="1272" w:type="dxa"/>
            <w:vAlign w:val="center"/>
          </w:tcPr>
          <w:p>
            <w:pPr>
              <w:pStyle w:val="26"/>
              <w:adjustRightInd w:val="0"/>
              <w:snapToGrid w:val="0"/>
              <w:jc w:val="center"/>
              <w:rPr>
                <w:rFonts w:ascii="Times New Roman" w:hAnsi="Times New Roman"/>
                <w:szCs w:val="21"/>
              </w:rPr>
            </w:pPr>
            <w:r>
              <w:rPr>
                <w:rFonts w:ascii="Times New Roman" w:hAnsi="Times New Roman"/>
                <w:szCs w:val="21"/>
              </w:rPr>
              <w:t>日平均</w:t>
            </w:r>
          </w:p>
        </w:tc>
        <w:tc>
          <w:tcPr>
            <w:tcW w:w="1843" w:type="dxa"/>
            <w:vAlign w:val="center"/>
          </w:tcPr>
          <w:p>
            <w:pPr>
              <w:pStyle w:val="26"/>
              <w:adjustRightInd w:val="0"/>
              <w:snapToGrid w:val="0"/>
              <w:jc w:val="center"/>
              <w:rPr>
                <w:rFonts w:ascii="Times New Roman" w:hAnsi="Times New Roman"/>
                <w:szCs w:val="21"/>
              </w:rPr>
            </w:pPr>
            <w:r>
              <w:rPr>
                <w:rFonts w:ascii="Times New Roman" w:hAnsi="Times New Roman"/>
                <w:szCs w:val="21"/>
              </w:rPr>
              <w:t>0.021～0.025</w:t>
            </w:r>
          </w:p>
        </w:tc>
        <w:tc>
          <w:tcPr>
            <w:tcW w:w="1418" w:type="dxa"/>
            <w:vAlign w:val="center"/>
          </w:tcPr>
          <w:p>
            <w:pPr>
              <w:pStyle w:val="26"/>
              <w:adjustRightInd w:val="0"/>
              <w:snapToGrid w:val="0"/>
              <w:jc w:val="center"/>
              <w:rPr>
                <w:rFonts w:ascii="Times New Roman" w:hAnsi="Times New Roman"/>
                <w:szCs w:val="21"/>
              </w:rPr>
            </w:pPr>
            <w:r>
              <w:rPr>
                <w:rFonts w:ascii="Times New Roman" w:hAnsi="Times New Roman"/>
                <w:szCs w:val="21"/>
              </w:rPr>
              <w:t>0.12</w:t>
            </w:r>
          </w:p>
        </w:tc>
        <w:tc>
          <w:tcPr>
            <w:tcW w:w="992"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c>
          <w:tcPr>
            <w:tcW w:w="1134" w:type="dxa"/>
            <w:vAlign w:val="center"/>
          </w:tcPr>
          <w:p>
            <w:pPr>
              <w:pStyle w:val="26"/>
              <w:adjustRightInd w:val="0"/>
              <w:snapToGrid w:val="0"/>
              <w:jc w:val="center"/>
              <w:rPr>
                <w:rFonts w:ascii="Times New Roman" w:hAnsi="Times New Roman"/>
                <w:szCs w:val="21"/>
              </w:rPr>
            </w:pPr>
            <w:r>
              <w:rPr>
                <w:rFonts w:ascii="Times New Roman" w:hAnsi="Times New Roman"/>
                <w:szCs w:val="21"/>
              </w:rPr>
              <w:t>0</w:t>
            </w:r>
          </w:p>
        </w:tc>
      </w:tr>
    </w:tbl>
    <w:p>
      <w:pPr>
        <w:spacing w:beforeLines="50" w:line="360" w:lineRule="auto"/>
        <w:ind w:firstLine="482"/>
        <w:rPr>
          <w:sz w:val="24"/>
        </w:rPr>
      </w:pPr>
      <w:r>
        <w:rPr>
          <w:sz w:val="24"/>
        </w:rPr>
        <w:t>从上表统计结果可知，该调查区域内监测的点位</w:t>
      </w:r>
      <w:r>
        <w:rPr>
          <w:spacing w:val="2"/>
          <w:sz w:val="24"/>
        </w:rPr>
        <w:t>，</w:t>
      </w:r>
      <w:r>
        <w:rPr>
          <w:sz w:val="24"/>
        </w:rPr>
        <w:t>TSP日均值、SO</w:t>
      </w:r>
      <w:r>
        <w:rPr>
          <w:sz w:val="24"/>
          <w:vertAlign w:val="subscript"/>
        </w:rPr>
        <w:t>2</w:t>
      </w:r>
      <w:r>
        <w:rPr>
          <w:sz w:val="24"/>
        </w:rPr>
        <w:t>的日均和小时均值、NO</w:t>
      </w:r>
      <w:r>
        <w:rPr>
          <w:sz w:val="24"/>
          <w:vertAlign w:val="subscript"/>
        </w:rPr>
        <w:t>2</w:t>
      </w:r>
      <w:r>
        <w:rPr>
          <w:sz w:val="24"/>
        </w:rPr>
        <w:t>的日均和小时均值均低于(GB3095-2012)中二级标准要求。</w:t>
      </w:r>
    </w:p>
    <w:p>
      <w:pPr>
        <w:pStyle w:val="107"/>
      </w:pPr>
      <w:bookmarkStart w:id="565" w:name="_Toc420663696"/>
      <w:r>
        <w:t xml:space="preserve">    环评阶段所有监测点TSP、SO</w:t>
      </w:r>
      <w:r>
        <w:rPr>
          <w:vertAlign w:val="subscript"/>
        </w:rPr>
        <w:t>2</w:t>
      </w:r>
      <w:r>
        <w:t>、NO</w:t>
      </w:r>
      <w:r>
        <w:rPr>
          <w:vertAlign w:val="subscript"/>
        </w:rPr>
        <w:t>2</w:t>
      </w:r>
      <w:r>
        <w:t>的日均值及SO</w:t>
      </w:r>
      <w:r>
        <w:rPr>
          <w:vertAlign w:val="subscript"/>
        </w:rPr>
        <w:t>2</w:t>
      </w:r>
      <w:r>
        <w:t>、NO</w:t>
      </w:r>
      <w:r>
        <w:rPr>
          <w:vertAlign w:val="subscript"/>
        </w:rPr>
        <w:t>2</w:t>
      </w:r>
      <w:r>
        <w:t>的小时均值均满足《环境空气质量标准》（GB3095-1996）二级标准要求。</w:t>
      </w:r>
      <w:bookmarkEnd w:id="565"/>
    </w:p>
    <w:p>
      <w:pPr>
        <w:pStyle w:val="107"/>
      </w:pPr>
      <w:r>
        <w:t xml:space="preserve">    与环评阶段对比，本次验收监测期间敏感点环境空气质量与环评阶段差别不大。</w:t>
      </w:r>
    </w:p>
    <w:p>
      <w:pPr>
        <w:pStyle w:val="10"/>
        <w:rPr>
          <w:rFonts w:ascii="Times New Roman" w:hAnsi="Times New Roman"/>
        </w:rPr>
      </w:pPr>
      <w:bookmarkStart w:id="566" w:name="_Toc407153509"/>
      <w:bookmarkStart w:id="567" w:name="_Toc420663697"/>
      <w:bookmarkStart w:id="568" w:name="_Toc406504227"/>
      <w:bookmarkStart w:id="569" w:name="_Toc407217375"/>
      <w:r>
        <w:rPr>
          <w:rFonts w:ascii="Times New Roman" w:hAnsi="Times New Roman"/>
        </w:rPr>
        <w:t>5.4.4 大气环境影响分析</w:t>
      </w:r>
      <w:bookmarkEnd w:id="566"/>
      <w:bookmarkEnd w:id="567"/>
      <w:bookmarkEnd w:id="568"/>
      <w:bookmarkEnd w:id="569"/>
    </w:p>
    <w:p>
      <w:pPr>
        <w:pStyle w:val="107"/>
      </w:pPr>
      <w:bookmarkStart w:id="570" w:name="_Toc420663698"/>
      <w:r>
        <w:t xml:space="preserve">    根据监测分析结果可知，矿山无组织排放的颗粒物浓度满足《大气污染物综合排放标准》（GB16297－1996）表2中无组织排放监控浓度限值的要求。</w:t>
      </w:r>
      <w:bookmarkEnd w:id="570"/>
    </w:p>
    <w:p>
      <w:pPr>
        <w:pStyle w:val="107"/>
      </w:pPr>
      <w:r>
        <w:t xml:space="preserve">    选厂有组织颗粒物排放浓度、无组织颗粒物排放浓度均满足《大气污染物综合排放标准》（GB16297－1996）表2中浓度限值要求。</w:t>
      </w:r>
    </w:p>
    <w:p>
      <w:pPr>
        <w:pStyle w:val="107"/>
      </w:pPr>
      <w:bookmarkStart w:id="571" w:name="_Toc420663699"/>
      <w:r>
        <w:t xml:space="preserve">    项目区域内最近住户大村、黑山村环境空气中污染物各项监测因子满足《环境空气质量标准》（GB3095-2012）二级标准要求。</w:t>
      </w:r>
      <w:bookmarkEnd w:id="571"/>
    </w:p>
    <w:p>
      <w:pPr>
        <w:pStyle w:val="3"/>
        <w:spacing w:before="0" w:after="0"/>
        <w:rPr>
          <w:rFonts w:ascii="Times New Roman" w:hAnsi="Times New Roman"/>
        </w:rPr>
      </w:pPr>
      <w:bookmarkStart w:id="572" w:name="_Toc488578917"/>
      <w:bookmarkStart w:id="573" w:name="_Toc470358695"/>
      <w:bookmarkStart w:id="574" w:name="_Toc173147944"/>
      <w:bookmarkStart w:id="575" w:name="_Toc406504228"/>
      <w:bookmarkStart w:id="576" w:name="_Toc407217376"/>
      <w:bookmarkStart w:id="577" w:name="_Toc370112134"/>
      <w:bookmarkStart w:id="578" w:name="_Toc407153510"/>
      <w:bookmarkStart w:id="579" w:name="_Toc173284094"/>
      <w:bookmarkStart w:id="580" w:name="_Toc420663700"/>
      <w:r>
        <w:rPr>
          <w:rFonts w:ascii="Times New Roman" w:hAnsi="Times New Roman"/>
        </w:rPr>
        <w:t>5.5 声环境影响调查</w:t>
      </w:r>
      <w:bookmarkEnd w:id="572"/>
      <w:bookmarkEnd w:id="573"/>
      <w:bookmarkEnd w:id="574"/>
      <w:bookmarkEnd w:id="575"/>
      <w:bookmarkEnd w:id="576"/>
      <w:bookmarkEnd w:id="577"/>
      <w:bookmarkEnd w:id="578"/>
      <w:bookmarkEnd w:id="579"/>
      <w:bookmarkEnd w:id="580"/>
    </w:p>
    <w:p>
      <w:pPr>
        <w:pStyle w:val="10"/>
        <w:spacing w:line="360" w:lineRule="auto"/>
        <w:rPr>
          <w:rFonts w:ascii="Times New Roman" w:hAnsi="Times New Roman"/>
        </w:rPr>
      </w:pPr>
      <w:bookmarkStart w:id="581" w:name="_Toc407217377"/>
      <w:bookmarkStart w:id="582" w:name="_Toc420663701"/>
      <w:bookmarkStart w:id="583" w:name="_Toc407153511"/>
      <w:bookmarkStart w:id="584" w:name="_Toc406504229"/>
      <w:r>
        <w:rPr>
          <w:rFonts w:ascii="Times New Roman" w:hAnsi="Times New Roman"/>
        </w:rPr>
        <w:t>5.5.1 监测点的布设</w:t>
      </w:r>
      <w:bookmarkEnd w:id="581"/>
      <w:bookmarkEnd w:id="582"/>
      <w:bookmarkEnd w:id="583"/>
      <w:bookmarkEnd w:id="584"/>
    </w:p>
    <w:p>
      <w:pPr>
        <w:spacing w:line="360" w:lineRule="auto"/>
        <w:ind w:firstLine="488" w:firstLineChars="200"/>
        <w:rPr>
          <w:spacing w:val="2"/>
          <w:sz w:val="24"/>
        </w:rPr>
      </w:pPr>
      <w:r>
        <w:rPr>
          <w:spacing w:val="2"/>
          <w:sz w:val="24"/>
        </w:rPr>
        <w:t>本次声环境现状监测在选厂四周厂界各设一个监测点，在1#、2#工业厂地外分别布设1个点位，其具体点位及功能详见表5.5-1。</w:t>
      </w:r>
    </w:p>
    <w:p>
      <w:pPr>
        <w:ind w:firstLine="448" w:firstLineChars="200"/>
        <w:rPr>
          <w:rFonts w:eastAsia="黑体"/>
          <w:spacing w:val="2"/>
          <w:sz w:val="22"/>
          <w:szCs w:val="22"/>
        </w:rPr>
      </w:pPr>
      <w:r>
        <w:rPr>
          <w:rFonts w:eastAsia="黑体"/>
          <w:spacing w:val="2"/>
          <w:sz w:val="22"/>
          <w:szCs w:val="22"/>
        </w:rPr>
        <w:t>表5.5-1                声环境现状监测布点情况表</w:t>
      </w:r>
    </w:p>
    <w:tbl>
      <w:tblPr>
        <w:tblStyle w:val="54"/>
        <w:tblW w:w="83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50"/>
        <w:gridCol w:w="3699"/>
        <w:gridCol w:w="2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blHeader/>
        </w:trPr>
        <w:tc>
          <w:tcPr>
            <w:tcW w:w="1850" w:type="dxa"/>
            <w:tcBorders>
              <w:top w:val="single" w:color="auto" w:sz="12" w:space="0"/>
              <w:left w:val="single" w:color="auto" w:sz="12" w:space="0"/>
              <w:bottom w:val="single" w:color="auto" w:sz="4" w:space="0"/>
              <w:right w:val="single" w:color="auto" w:sz="6" w:space="0"/>
            </w:tcBorders>
            <w:vAlign w:val="center"/>
          </w:tcPr>
          <w:p>
            <w:pPr>
              <w:jc w:val="center"/>
              <w:rPr>
                <w:spacing w:val="2"/>
                <w:szCs w:val="21"/>
              </w:rPr>
            </w:pPr>
            <w:r>
              <w:rPr>
                <w:spacing w:val="2"/>
                <w:szCs w:val="21"/>
              </w:rPr>
              <w:t>功能区</w:t>
            </w:r>
          </w:p>
        </w:tc>
        <w:tc>
          <w:tcPr>
            <w:tcW w:w="3699" w:type="dxa"/>
            <w:tcBorders>
              <w:top w:val="single" w:color="auto" w:sz="12" w:space="0"/>
              <w:bottom w:val="single" w:color="auto" w:sz="4" w:space="0"/>
            </w:tcBorders>
            <w:vAlign w:val="center"/>
          </w:tcPr>
          <w:p>
            <w:pPr>
              <w:jc w:val="center"/>
              <w:rPr>
                <w:spacing w:val="2"/>
                <w:szCs w:val="21"/>
              </w:rPr>
            </w:pPr>
            <w:r>
              <w:rPr>
                <w:spacing w:val="2"/>
                <w:szCs w:val="21"/>
              </w:rPr>
              <w:t>监测点位</w:t>
            </w:r>
          </w:p>
        </w:tc>
        <w:tc>
          <w:tcPr>
            <w:tcW w:w="2793" w:type="dxa"/>
            <w:tcBorders>
              <w:top w:val="single" w:color="auto" w:sz="12" w:space="0"/>
              <w:bottom w:val="single" w:color="auto" w:sz="4" w:space="0"/>
              <w:right w:val="single" w:color="auto" w:sz="12" w:space="0"/>
            </w:tcBorders>
            <w:vAlign w:val="center"/>
          </w:tcPr>
          <w:p>
            <w:pPr>
              <w:jc w:val="center"/>
              <w:rPr>
                <w:spacing w:val="2"/>
                <w:szCs w:val="21"/>
              </w:rPr>
            </w:pPr>
            <w:r>
              <w:rPr>
                <w:spacing w:val="2"/>
                <w:szCs w:val="21"/>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1850" w:type="dxa"/>
            <w:vMerge w:val="restart"/>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r>
              <w:rPr>
                <w:spacing w:val="2"/>
                <w:szCs w:val="21"/>
              </w:rPr>
              <w:t>选矿厂</w:t>
            </w:r>
          </w:p>
        </w:tc>
        <w:tc>
          <w:tcPr>
            <w:tcW w:w="3699" w:type="dxa"/>
            <w:tcBorders>
              <w:top w:val="single" w:color="auto" w:sz="4" w:space="0"/>
              <w:bottom w:val="single" w:color="auto" w:sz="4" w:space="0"/>
            </w:tcBorders>
            <w:vAlign w:val="center"/>
          </w:tcPr>
          <w:p>
            <w:pPr>
              <w:jc w:val="center"/>
              <w:rPr>
                <w:spacing w:val="2"/>
                <w:szCs w:val="21"/>
              </w:rPr>
            </w:pPr>
            <w:r>
              <w:rPr>
                <w:spacing w:val="2"/>
                <w:szCs w:val="21"/>
              </w:rPr>
              <w:t>选厂东厂界外1m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选厂南厂界外1m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选厂西厂界外1m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选厂北厂界外1m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restart"/>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r>
              <w:rPr>
                <w:spacing w:val="2"/>
                <w:szCs w:val="21"/>
              </w:rPr>
              <w:t>工业场地</w:t>
            </w:r>
          </w:p>
        </w:tc>
        <w:tc>
          <w:tcPr>
            <w:tcW w:w="3699" w:type="dxa"/>
            <w:tcBorders>
              <w:top w:val="single" w:color="auto" w:sz="4" w:space="0"/>
              <w:bottom w:val="single" w:color="auto" w:sz="4" w:space="0"/>
            </w:tcBorders>
            <w:vAlign w:val="center"/>
          </w:tcPr>
          <w:p>
            <w:pPr>
              <w:jc w:val="center"/>
              <w:rPr>
                <w:spacing w:val="2"/>
                <w:szCs w:val="21"/>
              </w:rPr>
            </w:pPr>
            <w:r>
              <w:rPr>
                <w:spacing w:val="2"/>
                <w:szCs w:val="21"/>
              </w:rPr>
              <w:t>工业场地东厂界外1m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工业场地南厂界外1m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工业场地西厂界外1m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工业场地北厂界外1m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restart"/>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r>
              <w:rPr>
                <w:spacing w:val="2"/>
                <w:szCs w:val="21"/>
              </w:rPr>
              <w:t>尾矿库</w:t>
            </w:r>
          </w:p>
        </w:tc>
        <w:tc>
          <w:tcPr>
            <w:tcW w:w="3699" w:type="dxa"/>
            <w:tcBorders>
              <w:top w:val="single" w:color="auto" w:sz="4" w:space="0"/>
              <w:bottom w:val="single" w:color="auto" w:sz="4" w:space="0"/>
            </w:tcBorders>
            <w:vAlign w:val="center"/>
          </w:tcPr>
          <w:p>
            <w:pPr>
              <w:jc w:val="center"/>
              <w:rPr>
                <w:spacing w:val="2"/>
                <w:szCs w:val="21"/>
              </w:rPr>
            </w:pPr>
            <w:r>
              <w:rPr>
                <w:spacing w:val="2"/>
                <w:szCs w:val="21"/>
              </w:rPr>
              <w:t>尾矿库东厂界外1m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尾矿库南厂界外1m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尾矿库西厂界外1m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尾矿库北厂界外1m</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厂界噪声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restart"/>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r>
              <w:rPr>
                <w:spacing w:val="2"/>
                <w:szCs w:val="21"/>
              </w:rPr>
              <w:t>敏感点声环境</w:t>
            </w:r>
          </w:p>
        </w:tc>
        <w:tc>
          <w:tcPr>
            <w:tcW w:w="3699" w:type="dxa"/>
            <w:tcBorders>
              <w:top w:val="single" w:color="auto" w:sz="4" w:space="0"/>
              <w:bottom w:val="single" w:color="auto" w:sz="4" w:space="0"/>
            </w:tcBorders>
            <w:vAlign w:val="center"/>
          </w:tcPr>
          <w:p>
            <w:pPr>
              <w:jc w:val="center"/>
              <w:rPr>
                <w:spacing w:val="2"/>
                <w:szCs w:val="21"/>
              </w:rPr>
            </w:pPr>
            <w:r>
              <w:rPr>
                <w:spacing w:val="2"/>
                <w:szCs w:val="21"/>
              </w:rPr>
              <w:t>黑山村前咀组</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居住区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4" w:space="0"/>
              <w:right w:val="single" w:color="auto" w:sz="6" w:space="0"/>
            </w:tcBorders>
            <w:vAlign w:val="center"/>
          </w:tcPr>
          <w:p>
            <w:pPr>
              <w:jc w:val="center"/>
              <w:rPr>
                <w:spacing w:val="2"/>
                <w:szCs w:val="21"/>
              </w:rPr>
            </w:pPr>
          </w:p>
        </w:tc>
        <w:tc>
          <w:tcPr>
            <w:tcW w:w="3699" w:type="dxa"/>
            <w:tcBorders>
              <w:top w:val="single" w:color="auto" w:sz="4" w:space="0"/>
              <w:bottom w:val="single" w:color="auto" w:sz="4" w:space="0"/>
            </w:tcBorders>
            <w:vAlign w:val="center"/>
          </w:tcPr>
          <w:p>
            <w:pPr>
              <w:jc w:val="center"/>
              <w:rPr>
                <w:spacing w:val="2"/>
                <w:szCs w:val="21"/>
              </w:rPr>
            </w:pPr>
            <w:r>
              <w:rPr>
                <w:spacing w:val="2"/>
                <w:szCs w:val="21"/>
              </w:rPr>
              <w:t>美山村李家坡组</w:t>
            </w:r>
          </w:p>
        </w:tc>
        <w:tc>
          <w:tcPr>
            <w:tcW w:w="2793" w:type="dxa"/>
            <w:tcBorders>
              <w:top w:val="single" w:color="auto" w:sz="4" w:space="0"/>
              <w:bottom w:val="single" w:color="auto" w:sz="4" w:space="0"/>
              <w:right w:val="single" w:color="auto" w:sz="12" w:space="0"/>
            </w:tcBorders>
            <w:vAlign w:val="center"/>
          </w:tcPr>
          <w:p>
            <w:pPr>
              <w:jc w:val="center"/>
              <w:rPr>
                <w:spacing w:val="2"/>
                <w:szCs w:val="21"/>
              </w:rPr>
            </w:pPr>
            <w:r>
              <w:rPr>
                <w:spacing w:val="2"/>
                <w:szCs w:val="21"/>
              </w:rPr>
              <w:t>居住区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c>
          <w:tcPr>
            <w:tcW w:w="1850" w:type="dxa"/>
            <w:vMerge w:val="continue"/>
            <w:tcBorders>
              <w:top w:val="single" w:color="auto" w:sz="4" w:space="0"/>
              <w:left w:val="single" w:color="auto" w:sz="12" w:space="0"/>
              <w:bottom w:val="single" w:color="auto" w:sz="12" w:space="0"/>
              <w:right w:val="single" w:color="auto" w:sz="6" w:space="0"/>
            </w:tcBorders>
            <w:vAlign w:val="center"/>
          </w:tcPr>
          <w:p>
            <w:pPr>
              <w:jc w:val="center"/>
              <w:rPr>
                <w:spacing w:val="2"/>
                <w:szCs w:val="21"/>
              </w:rPr>
            </w:pPr>
          </w:p>
        </w:tc>
        <w:tc>
          <w:tcPr>
            <w:tcW w:w="3699" w:type="dxa"/>
            <w:tcBorders>
              <w:top w:val="single" w:color="auto" w:sz="4" w:space="0"/>
              <w:bottom w:val="single" w:color="auto" w:sz="12" w:space="0"/>
            </w:tcBorders>
            <w:vAlign w:val="center"/>
          </w:tcPr>
          <w:p>
            <w:pPr>
              <w:jc w:val="center"/>
              <w:rPr>
                <w:spacing w:val="2"/>
                <w:szCs w:val="21"/>
              </w:rPr>
            </w:pPr>
            <w:r>
              <w:rPr>
                <w:spacing w:val="2"/>
                <w:szCs w:val="21"/>
              </w:rPr>
              <w:t>美山村石庙坡根组</w:t>
            </w:r>
          </w:p>
        </w:tc>
        <w:tc>
          <w:tcPr>
            <w:tcW w:w="2793" w:type="dxa"/>
            <w:tcBorders>
              <w:top w:val="single" w:color="auto" w:sz="4" w:space="0"/>
              <w:bottom w:val="single" w:color="auto" w:sz="12" w:space="0"/>
              <w:right w:val="single" w:color="auto" w:sz="12" w:space="0"/>
            </w:tcBorders>
            <w:vAlign w:val="center"/>
          </w:tcPr>
          <w:p>
            <w:pPr>
              <w:jc w:val="center"/>
              <w:rPr>
                <w:spacing w:val="2"/>
                <w:szCs w:val="21"/>
              </w:rPr>
            </w:pPr>
            <w:r>
              <w:rPr>
                <w:spacing w:val="2"/>
                <w:szCs w:val="21"/>
              </w:rPr>
              <w:t>居住区</w:t>
            </w:r>
          </w:p>
        </w:tc>
      </w:tr>
    </w:tbl>
    <w:p>
      <w:pPr>
        <w:pStyle w:val="10"/>
        <w:adjustRightInd w:val="0"/>
        <w:snapToGrid w:val="0"/>
        <w:spacing w:beforeLines="50" w:line="360" w:lineRule="auto"/>
        <w:rPr>
          <w:rFonts w:ascii="Times New Roman" w:hAnsi="Times New Roman"/>
          <w:bCs/>
        </w:rPr>
      </w:pPr>
      <w:bookmarkStart w:id="585" w:name="_Toc406504230"/>
      <w:bookmarkStart w:id="586" w:name="_Toc407217378"/>
      <w:bookmarkStart w:id="587" w:name="_Toc407153512"/>
      <w:bookmarkStart w:id="588" w:name="_Toc420663702"/>
      <w:r>
        <w:rPr>
          <w:rFonts w:ascii="Times New Roman" w:hAnsi="Times New Roman"/>
        </w:rPr>
        <w:t>5.5.2 监测时间及频率</w:t>
      </w:r>
      <w:bookmarkEnd w:id="585"/>
      <w:bookmarkEnd w:id="586"/>
      <w:bookmarkEnd w:id="587"/>
      <w:bookmarkEnd w:id="588"/>
    </w:p>
    <w:p>
      <w:pPr>
        <w:adjustRightInd w:val="0"/>
        <w:snapToGrid w:val="0"/>
        <w:spacing w:line="360" w:lineRule="auto"/>
        <w:ind w:firstLine="488" w:firstLineChars="200"/>
        <w:rPr>
          <w:spacing w:val="2"/>
          <w:sz w:val="24"/>
        </w:rPr>
      </w:pPr>
      <w:r>
        <w:rPr>
          <w:spacing w:val="2"/>
          <w:sz w:val="24"/>
        </w:rPr>
        <w:t>声环境现状监测于2016年8月25、26日进行，一次性连续监测2天，每天昼夜各1次。</w:t>
      </w:r>
    </w:p>
    <w:p>
      <w:pPr>
        <w:pStyle w:val="10"/>
        <w:rPr>
          <w:rFonts w:ascii="Times New Roman" w:hAnsi="Times New Roman"/>
          <w:bCs/>
        </w:rPr>
      </w:pPr>
      <w:bookmarkStart w:id="589" w:name="_Toc407217379"/>
      <w:bookmarkStart w:id="590" w:name="_Toc406504231"/>
      <w:bookmarkStart w:id="591" w:name="_Toc407153513"/>
      <w:bookmarkStart w:id="592" w:name="_Toc420663703"/>
      <w:r>
        <w:rPr>
          <w:rFonts w:ascii="Times New Roman" w:hAnsi="Times New Roman"/>
        </w:rPr>
        <w:t>5.5.3</w:t>
      </w:r>
      <w:bookmarkEnd w:id="589"/>
      <w:bookmarkEnd w:id="590"/>
      <w:bookmarkEnd w:id="591"/>
      <w:bookmarkEnd w:id="592"/>
      <w:bookmarkStart w:id="593" w:name="_Toc406504232"/>
      <w:bookmarkStart w:id="594" w:name="_Toc407217380"/>
      <w:bookmarkStart w:id="595" w:name="_Toc407153514"/>
      <w:bookmarkStart w:id="596" w:name="_Toc420663704"/>
      <w:r>
        <w:rPr>
          <w:rFonts w:ascii="Times New Roman" w:hAnsi="Times New Roman"/>
        </w:rPr>
        <w:t>监测结果分析</w:t>
      </w:r>
      <w:bookmarkEnd w:id="593"/>
      <w:bookmarkEnd w:id="594"/>
      <w:bookmarkEnd w:id="595"/>
      <w:bookmarkEnd w:id="596"/>
    </w:p>
    <w:p>
      <w:pPr>
        <w:adjustRightInd w:val="0"/>
        <w:snapToGrid w:val="0"/>
        <w:spacing w:line="360" w:lineRule="auto"/>
        <w:ind w:firstLine="480" w:firstLineChars="200"/>
        <w:rPr>
          <w:sz w:val="24"/>
        </w:rPr>
      </w:pPr>
      <w:r>
        <w:rPr>
          <w:sz w:val="24"/>
        </w:rPr>
        <w:t>监测结果见表5.5-2。</w:t>
      </w:r>
    </w:p>
    <w:p>
      <w:pPr>
        <w:ind w:firstLine="440" w:firstLineChars="200"/>
        <w:rPr>
          <w:rFonts w:eastAsia="黑体"/>
          <w:spacing w:val="2"/>
          <w:sz w:val="22"/>
          <w:szCs w:val="22"/>
        </w:rPr>
      </w:pPr>
      <w:r>
        <w:rPr>
          <w:rFonts w:eastAsia="黑体"/>
          <w:sz w:val="22"/>
          <w:szCs w:val="22"/>
        </w:rPr>
        <w:t xml:space="preserve">表5.5-2              </w:t>
      </w:r>
      <w:bookmarkStart w:id="597" w:name="_Toc173284095"/>
      <w:bookmarkStart w:id="598" w:name="_Toc173147945"/>
      <w:r>
        <w:rPr>
          <w:rFonts w:eastAsia="黑体"/>
          <w:spacing w:val="2"/>
          <w:sz w:val="22"/>
          <w:szCs w:val="22"/>
        </w:rPr>
        <w:t xml:space="preserve">声环境现状监测结果表        单位：dB(A)  </w:t>
      </w:r>
    </w:p>
    <w:tbl>
      <w:tblPr>
        <w:tblStyle w:val="54"/>
        <w:tblW w:w="840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156"/>
        <w:gridCol w:w="1475"/>
        <w:gridCol w:w="935"/>
        <w:gridCol w:w="992"/>
        <w:gridCol w:w="709"/>
        <w:gridCol w:w="673"/>
        <w:gridCol w:w="938"/>
        <w:gridCol w:w="9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1747" w:type="dxa"/>
            <w:gridSpan w:val="2"/>
            <w:vMerge w:val="restart"/>
            <w:tcBorders>
              <w:top w:val="single" w:color="auto" w:sz="12" w:space="0"/>
              <w:left w:val="single" w:color="auto" w:sz="12" w:space="0"/>
              <w:bottom w:val="single" w:color="auto" w:sz="4" w:space="0"/>
            </w:tcBorders>
            <w:vAlign w:val="center"/>
          </w:tcPr>
          <w:p>
            <w:pPr>
              <w:adjustRightInd w:val="0"/>
              <w:snapToGrid w:val="0"/>
              <w:jc w:val="center"/>
              <w:rPr>
                <w:szCs w:val="21"/>
              </w:rPr>
            </w:pPr>
            <w:r>
              <w:rPr>
                <w:szCs w:val="21"/>
              </w:rPr>
              <w:t>监测点位</w:t>
            </w:r>
          </w:p>
        </w:tc>
        <w:tc>
          <w:tcPr>
            <w:tcW w:w="1475" w:type="dxa"/>
            <w:vMerge w:val="restart"/>
            <w:tcBorders>
              <w:top w:val="single" w:color="auto" w:sz="12" w:space="0"/>
              <w:bottom w:val="single" w:color="auto" w:sz="4" w:space="0"/>
            </w:tcBorders>
            <w:vAlign w:val="center"/>
          </w:tcPr>
          <w:p>
            <w:pPr>
              <w:adjustRightInd w:val="0"/>
              <w:snapToGrid w:val="0"/>
              <w:jc w:val="center"/>
              <w:rPr>
                <w:szCs w:val="21"/>
              </w:rPr>
            </w:pPr>
            <w:r>
              <w:rPr>
                <w:szCs w:val="21"/>
              </w:rPr>
              <w:t>监 测 时 间</w:t>
            </w:r>
          </w:p>
        </w:tc>
        <w:tc>
          <w:tcPr>
            <w:tcW w:w="1927" w:type="dxa"/>
            <w:gridSpan w:val="2"/>
            <w:tcBorders>
              <w:top w:val="single" w:color="auto" w:sz="12" w:space="0"/>
              <w:bottom w:val="single" w:color="auto" w:sz="4" w:space="0"/>
            </w:tcBorders>
            <w:vAlign w:val="center"/>
          </w:tcPr>
          <w:p>
            <w:pPr>
              <w:adjustRightInd w:val="0"/>
              <w:snapToGrid w:val="0"/>
              <w:jc w:val="center"/>
              <w:rPr>
                <w:szCs w:val="21"/>
              </w:rPr>
            </w:pPr>
            <w:r>
              <w:rPr>
                <w:szCs w:val="21"/>
              </w:rPr>
              <w:t>监测结果Leq</w:t>
            </w:r>
          </w:p>
        </w:tc>
        <w:tc>
          <w:tcPr>
            <w:tcW w:w="1382" w:type="dxa"/>
            <w:gridSpan w:val="2"/>
            <w:tcBorders>
              <w:top w:val="single" w:color="auto" w:sz="12" w:space="0"/>
              <w:bottom w:val="single" w:color="auto" w:sz="4" w:space="0"/>
            </w:tcBorders>
            <w:vAlign w:val="center"/>
          </w:tcPr>
          <w:p>
            <w:pPr>
              <w:adjustRightInd w:val="0"/>
              <w:snapToGrid w:val="0"/>
              <w:jc w:val="center"/>
              <w:rPr>
                <w:szCs w:val="21"/>
              </w:rPr>
            </w:pPr>
            <w:r>
              <w:rPr>
                <w:szCs w:val="21"/>
              </w:rPr>
              <w:t>标准</w:t>
            </w:r>
          </w:p>
        </w:tc>
        <w:tc>
          <w:tcPr>
            <w:tcW w:w="1872" w:type="dxa"/>
            <w:gridSpan w:val="2"/>
            <w:tcBorders>
              <w:top w:val="single" w:color="auto" w:sz="12" w:space="0"/>
              <w:bottom w:val="single" w:color="auto" w:sz="4" w:space="0"/>
              <w:right w:val="single" w:color="auto" w:sz="12" w:space="0"/>
            </w:tcBorders>
            <w:vAlign w:val="center"/>
          </w:tcPr>
          <w:p>
            <w:pPr>
              <w:adjustRightInd w:val="0"/>
              <w:snapToGrid w:val="0"/>
              <w:jc w:val="center"/>
              <w:rPr>
                <w:szCs w:val="21"/>
              </w:rPr>
            </w:pPr>
            <w:r>
              <w:rPr>
                <w:szCs w:val="21"/>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1747" w:type="dxa"/>
            <w:gridSpan w:val="2"/>
            <w:vMerge w:val="continue"/>
            <w:tcBorders>
              <w:top w:val="single" w:color="auto" w:sz="4" w:space="0"/>
              <w:left w:val="single" w:color="auto" w:sz="12" w:space="0"/>
              <w:bottom w:val="single" w:color="auto" w:sz="4" w:space="0"/>
            </w:tcBorders>
          </w:tcPr>
          <w:p>
            <w:pPr>
              <w:adjustRightInd w:val="0"/>
              <w:snapToGrid w:val="0"/>
              <w:rPr>
                <w:szCs w:val="21"/>
              </w:rPr>
            </w:pPr>
          </w:p>
        </w:tc>
        <w:tc>
          <w:tcPr>
            <w:tcW w:w="1475" w:type="dxa"/>
            <w:vMerge w:val="continue"/>
            <w:tcBorders>
              <w:top w:val="single" w:color="auto" w:sz="4" w:space="0"/>
              <w:bottom w:val="single" w:color="auto" w:sz="4" w:space="0"/>
            </w:tcBorders>
          </w:tcPr>
          <w:p>
            <w:pPr>
              <w:adjustRightInd w:val="0"/>
              <w:snapToGrid w:val="0"/>
              <w:rPr>
                <w:szCs w:val="21"/>
              </w:rPr>
            </w:pP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昼 间</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夜 间</w:t>
            </w:r>
          </w:p>
        </w:tc>
        <w:tc>
          <w:tcPr>
            <w:tcW w:w="709" w:type="dxa"/>
            <w:tcBorders>
              <w:top w:val="single" w:color="auto" w:sz="4" w:space="0"/>
              <w:bottom w:val="single" w:color="auto" w:sz="4" w:space="0"/>
            </w:tcBorders>
            <w:vAlign w:val="center"/>
          </w:tcPr>
          <w:p>
            <w:pPr>
              <w:adjustRightInd w:val="0"/>
              <w:snapToGrid w:val="0"/>
              <w:jc w:val="center"/>
              <w:rPr>
                <w:szCs w:val="21"/>
              </w:rPr>
            </w:pPr>
            <w:r>
              <w:rPr>
                <w:szCs w:val="21"/>
              </w:rPr>
              <w:t>昼间</w:t>
            </w:r>
          </w:p>
        </w:tc>
        <w:tc>
          <w:tcPr>
            <w:tcW w:w="673" w:type="dxa"/>
            <w:tcBorders>
              <w:top w:val="single" w:color="auto" w:sz="4" w:space="0"/>
              <w:bottom w:val="single" w:color="auto" w:sz="4" w:space="0"/>
            </w:tcBorders>
            <w:vAlign w:val="center"/>
          </w:tcPr>
          <w:p>
            <w:pPr>
              <w:adjustRightInd w:val="0"/>
              <w:snapToGrid w:val="0"/>
              <w:jc w:val="center"/>
              <w:rPr>
                <w:szCs w:val="21"/>
              </w:rPr>
            </w:pPr>
            <w:r>
              <w:rPr>
                <w:szCs w:val="21"/>
              </w:rPr>
              <w:t>夜间</w:t>
            </w: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昼间</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restart"/>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r>
              <w:rPr>
                <w:spacing w:val="2"/>
                <w:szCs w:val="21"/>
              </w:rPr>
              <w:t>500t/d选厂</w:t>
            </w: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东厂界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54.3</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44.8</w:t>
            </w:r>
          </w:p>
        </w:tc>
        <w:tc>
          <w:tcPr>
            <w:tcW w:w="709" w:type="dxa"/>
            <w:vMerge w:val="restart"/>
            <w:tcBorders>
              <w:top w:val="single" w:color="auto" w:sz="4" w:space="0"/>
              <w:bottom w:val="single" w:color="auto" w:sz="4" w:space="0"/>
            </w:tcBorders>
            <w:shd w:val="clear" w:color="auto" w:fill="auto"/>
            <w:vAlign w:val="center"/>
          </w:tcPr>
          <w:p>
            <w:pPr>
              <w:adjustRightInd w:val="0"/>
              <w:snapToGrid w:val="0"/>
              <w:jc w:val="center"/>
              <w:rPr>
                <w:szCs w:val="21"/>
              </w:rPr>
            </w:pPr>
            <w:r>
              <w:rPr>
                <w:szCs w:val="21"/>
              </w:rPr>
              <w:t>60</w:t>
            </w:r>
          </w:p>
        </w:tc>
        <w:tc>
          <w:tcPr>
            <w:tcW w:w="673" w:type="dxa"/>
            <w:vMerge w:val="restart"/>
            <w:tcBorders>
              <w:top w:val="single" w:color="auto" w:sz="4" w:space="0"/>
              <w:bottom w:val="single" w:color="auto" w:sz="4" w:space="0"/>
            </w:tcBorders>
            <w:shd w:val="clear" w:color="auto" w:fill="auto"/>
            <w:vAlign w:val="center"/>
          </w:tcPr>
          <w:p>
            <w:pPr>
              <w:adjustRightInd w:val="0"/>
              <w:snapToGrid w:val="0"/>
              <w:jc w:val="center"/>
              <w:rPr>
                <w:szCs w:val="21"/>
              </w:rPr>
            </w:pPr>
            <w:r>
              <w:rPr>
                <w:szCs w:val="21"/>
              </w:rPr>
              <w:t>50</w:t>
            </w: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53.3</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443.</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南厂界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52.9</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48.4</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54.5</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44.9</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西厂界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54.5</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44.5</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54.9</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44.0</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北厂界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56.7</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45.5</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57.6</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44.6</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restart"/>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r>
              <w:rPr>
                <w:spacing w:val="2"/>
                <w:szCs w:val="21"/>
              </w:rPr>
              <w:t>工业场地</w:t>
            </w: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东厂界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56.8</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46.5</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57.9</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44.4</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南厂界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57.2</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47.1</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58.2</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45.8</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zCs w:val="21"/>
              </w:rPr>
            </w:pPr>
            <w:r>
              <w:rPr>
                <w:spacing w:val="2"/>
                <w:szCs w:val="21"/>
              </w:rPr>
              <w:t>西厂界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54.7</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48.3</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52.9</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47.3</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北厂界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56.9</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47.4</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56.0</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45.3</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restart"/>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r>
              <w:rPr>
                <w:spacing w:val="2"/>
                <w:szCs w:val="21"/>
              </w:rPr>
              <w:t>尾矿库</w:t>
            </w: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东厂界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53.6</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45.9</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56.7</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44.5</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南厂界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57.5</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47.2</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54.5</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45.3</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西厂界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57.5</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46.3</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53.1</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43.4</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zCs w:val="21"/>
              </w:rPr>
            </w:pPr>
            <w:r>
              <w:rPr>
                <w:spacing w:val="2"/>
                <w:szCs w:val="21"/>
              </w:rPr>
              <w:t>北厂界</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53.1</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47.6</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52.1</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45.9</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restart"/>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r>
              <w:rPr>
                <w:spacing w:val="2"/>
                <w:szCs w:val="21"/>
              </w:rPr>
              <w:t>敏感点</w:t>
            </w: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黑山村</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55.2</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48.0</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52.9</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46.0</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美山村石庙坡根组</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50.7</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44.9</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4" w:space="0"/>
            </w:tcBorders>
            <w:vAlign w:val="center"/>
          </w:tcPr>
          <w:p>
            <w:pPr>
              <w:adjustRightInd w:val="0"/>
              <w:snapToGrid w:val="0"/>
              <w:jc w:val="center"/>
              <w:rPr>
                <w:spacing w:val="2"/>
                <w:szCs w:val="21"/>
              </w:rPr>
            </w:pP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51.3</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44.6</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4" w:space="0"/>
              <w:right w:val="single" w:color="auto" w:sz="6" w:space="0"/>
            </w:tcBorders>
            <w:vAlign w:val="center"/>
          </w:tcPr>
          <w:p>
            <w:pPr>
              <w:adjustRightInd w:val="0"/>
              <w:snapToGrid w:val="0"/>
              <w:jc w:val="center"/>
              <w:rPr>
                <w:spacing w:val="2"/>
                <w:szCs w:val="21"/>
              </w:rPr>
            </w:pPr>
          </w:p>
        </w:tc>
        <w:tc>
          <w:tcPr>
            <w:tcW w:w="1156" w:type="dxa"/>
            <w:vMerge w:val="restart"/>
            <w:tcBorders>
              <w:top w:val="single" w:color="auto" w:sz="4" w:space="0"/>
              <w:left w:val="single" w:color="auto" w:sz="6" w:space="0"/>
              <w:bottom w:val="single" w:color="auto" w:sz="4" w:space="0"/>
            </w:tcBorders>
            <w:vAlign w:val="center"/>
          </w:tcPr>
          <w:p>
            <w:pPr>
              <w:adjustRightInd w:val="0"/>
              <w:snapToGrid w:val="0"/>
              <w:jc w:val="center"/>
              <w:rPr>
                <w:spacing w:val="2"/>
                <w:szCs w:val="21"/>
              </w:rPr>
            </w:pPr>
            <w:r>
              <w:rPr>
                <w:spacing w:val="2"/>
                <w:szCs w:val="21"/>
              </w:rPr>
              <w:t>美山村李家坡组</w:t>
            </w:r>
          </w:p>
        </w:tc>
        <w:tc>
          <w:tcPr>
            <w:tcW w:w="1475" w:type="dxa"/>
            <w:tcBorders>
              <w:top w:val="single" w:color="auto" w:sz="4" w:space="0"/>
              <w:bottom w:val="single" w:color="auto" w:sz="4" w:space="0"/>
            </w:tcBorders>
            <w:vAlign w:val="center"/>
          </w:tcPr>
          <w:p>
            <w:pPr>
              <w:adjustRightInd w:val="0"/>
              <w:snapToGrid w:val="0"/>
              <w:jc w:val="center"/>
              <w:rPr>
                <w:szCs w:val="21"/>
              </w:rPr>
            </w:pPr>
            <w:r>
              <w:rPr>
                <w:szCs w:val="21"/>
              </w:rPr>
              <w:t>2016.8.25</w:t>
            </w:r>
          </w:p>
        </w:tc>
        <w:tc>
          <w:tcPr>
            <w:tcW w:w="935" w:type="dxa"/>
            <w:tcBorders>
              <w:top w:val="single" w:color="auto" w:sz="4" w:space="0"/>
              <w:bottom w:val="single" w:color="auto" w:sz="4" w:space="0"/>
            </w:tcBorders>
            <w:vAlign w:val="center"/>
          </w:tcPr>
          <w:p>
            <w:pPr>
              <w:adjustRightInd w:val="0"/>
              <w:snapToGrid w:val="0"/>
              <w:jc w:val="center"/>
              <w:rPr>
                <w:szCs w:val="21"/>
              </w:rPr>
            </w:pPr>
            <w:r>
              <w:rPr>
                <w:szCs w:val="21"/>
              </w:rPr>
              <w:t>54.3</w:t>
            </w:r>
          </w:p>
        </w:tc>
        <w:tc>
          <w:tcPr>
            <w:tcW w:w="992" w:type="dxa"/>
            <w:tcBorders>
              <w:top w:val="single" w:color="auto" w:sz="4" w:space="0"/>
              <w:bottom w:val="single" w:color="auto" w:sz="4" w:space="0"/>
            </w:tcBorders>
            <w:vAlign w:val="center"/>
          </w:tcPr>
          <w:p>
            <w:pPr>
              <w:adjustRightInd w:val="0"/>
              <w:snapToGrid w:val="0"/>
              <w:jc w:val="center"/>
              <w:rPr>
                <w:szCs w:val="21"/>
              </w:rPr>
            </w:pPr>
            <w:r>
              <w:rPr>
                <w:szCs w:val="21"/>
              </w:rPr>
              <w:t>45.2</w:t>
            </w:r>
          </w:p>
        </w:tc>
        <w:tc>
          <w:tcPr>
            <w:tcW w:w="709"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4"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4"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4" w:space="0"/>
              <w:right w:val="single" w:color="auto" w:sz="12" w:space="0"/>
            </w:tcBorders>
            <w:vAlign w:val="center"/>
          </w:tcPr>
          <w:p>
            <w:pPr>
              <w:adjustRightInd w:val="0"/>
              <w:snapToGrid w:val="0"/>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jc w:val="center"/>
        </w:trPr>
        <w:tc>
          <w:tcPr>
            <w:tcW w:w="591" w:type="dxa"/>
            <w:vMerge w:val="continue"/>
            <w:tcBorders>
              <w:top w:val="single" w:color="auto" w:sz="4" w:space="0"/>
              <w:left w:val="single" w:color="auto" w:sz="12" w:space="0"/>
              <w:bottom w:val="single" w:color="auto" w:sz="12" w:space="0"/>
              <w:right w:val="single" w:color="auto" w:sz="6" w:space="0"/>
            </w:tcBorders>
            <w:vAlign w:val="center"/>
          </w:tcPr>
          <w:p>
            <w:pPr>
              <w:adjustRightInd w:val="0"/>
              <w:snapToGrid w:val="0"/>
              <w:jc w:val="center"/>
              <w:rPr>
                <w:spacing w:val="2"/>
                <w:szCs w:val="21"/>
              </w:rPr>
            </w:pPr>
          </w:p>
        </w:tc>
        <w:tc>
          <w:tcPr>
            <w:tcW w:w="1156" w:type="dxa"/>
            <w:vMerge w:val="continue"/>
            <w:tcBorders>
              <w:top w:val="single" w:color="auto" w:sz="4" w:space="0"/>
              <w:left w:val="single" w:color="auto" w:sz="6" w:space="0"/>
              <w:bottom w:val="single" w:color="auto" w:sz="12" w:space="0"/>
            </w:tcBorders>
            <w:vAlign w:val="center"/>
          </w:tcPr>
          <w:p>
            <w:pPr>
              <w:adjustRightInd w:val="0"/>
              <w:snapToGrid w:val="0"/>
              <w:jc w:val="center"/>
              <w:rPr>
                <w:spacing w:val="2"/>
                <w:szCs w:val="21"/>
              </w:rPr>
            </w:pPr>
          </w:p>
        </w:tc>
        <w:tc>
          <w:tcPr>
            <w:tcW w:w="1475" w:type="dxa"/>
            <w:tcBorders>
              <w:top w:val="single" w:color="auto" w:sz="4" w:space="0"/>
              <w:bottom w:val="single" w:color="auto" w:sz="12" w:space="0"/>
            </w:tcBorders>
            <w:vAlign w:val="center"/>
          </w:tcPr>
          <w:p>
            <w:pPr>
              <w:adjustRightInd w:val="0"/>
              <w:snapToGrid w:val="0"/>
              <w:jc w:val="center"/>
              <w:rPr>
                <w:szCs w:val="21"/>
              </w:rPr>
            </w:pPr>
            <w:r>
              <w:rPr>
                <w:szCs w:val="21"/>
              </w:rPr>
              <w:t>2016.8.26</w:t>
            </w:r>
          </w:p>
        </w:tc>
        <w:tc>
          <w:tcPr>
            <w:tcW w:w="935" w:type="dxa"/>
            <w:tcBorders>
              <w:top w:val="single" w:color="auto" w:sz="4" w:space="0"/>
              <w:bottom w:val="single" w:color="auto" w:sz="12" w:space="0"/>
            </w:tcBorders>
            <w:vAlign w:val="center"/>
          </w:tcPr>
          <w:p>
            <w:pPr>
              <w:adjustRightInd w:val="0"/>
              <w:snapToGrid w:val="0"/>
              <w:jc w:val="center"/>
              <w:rPr>
                <w:szCs w:val="21"/>
              </w:rPr>
            </w:pPr>
            <w:r>
              <w:rPr>
                <w:szCs w:val="21"/>
              </w:rPr>
              <w:t>54.2</w:t>
            </w:r>
          </w:p>
        </w:tc>
        <w:tc>
          <w:tcPr>
            <w:tcW w:w="992" w:type="dxa"/>
            <w:tcBorders>
              <w:top w:val="single" w:color="auto" w:sz="4" w:space="0"/>
              <w:bottom w:val="single" w:color="auto" w:sz="12" w:space="0"/>
            </w:tcBorders>
            <w:vAlign w:val="center"/>
          </w:tcPr>
          <w:p>
            <w:pPr>
              <w:adjustRightInd w:val="0"/>
              <w:snapToGrid w:val="0"/>
              <w:jc w:val="center"/>
              <w:rPr>
                <w:szCs w:val="21"/>
              </w:rPr>
            </w:pPr>
            <w:r>
              <w:rPr>
                <w:szCs w:val="21"/>
              </w:rPr>
              <w:t>46.2</w:t>
            </w:r>
          </w:p>
        </w:tc>
        <w:tc>
          <w:tcPr>
            <w:tcW w:w="709" w:type="dxa"/>
            <w:vMerge w:val="continue"/>
            <w:tcBorders>
              <w:top w:val="single" w:color="auto" w:sz="4" w:space="0"/>
              <w:bottom w:val="single" w:color="auto" w:sz="12" w:space="0"/>
            </w:tcBorders>
            <w:shd w:val="clear" w:color="auto" w:fill="auto"/>
            <w:vAlign w:val="center"/>
          </w:tcPr>
          <w:p>
            <w:pPr>
              <w:adjustRightInd w:val="0"/>
              <w:snapToGrid w:val="0"/>
              <w:jc w:val="center"/>
              <w:rPr>
                <w:szCs w:val="21"/>
              </w:rPr>
            </w:pPr>
          </w:p>
        </w:tc>
        <w:tc>
          <w:tcPr>
            <w:tcW w:w="673" w:type="dxa"/>
            <w:vMerge w:val="continue"/>
            <w:tcBorders>
              <w:top w:val="single" w:color="auto" w:sz="4" w:space="0"/>
              <w:bottom w:val="single" w:color="auto" w:sz="12" w:space="0"/>
            </w:tcBorders>
            <w:shd w:val="clear" w:color="auto" w:fill="auto"/>
            <w:vAlign w:val="center"/>
          </w:tcPr>
          <w:p>
            <w:pPr>
              <w:adjustRightInd w:val="0"/>
              <w:snapToGrid w:val="0"/>
              <w:jc w:val="center"/>
              <w:rPr>
                <w:szCs w:val="21"/>
              </w:rPr>
            </w:pPr>
          </w:p>
        </w:tc>
        <w:tc>
          <w:tcPr>
            <w:tcW w:w="938" w:type="dxa"/>
            <w:tcBorders>
              <w:top w:val="single" w:color="auto" w:sz="4" w:space="0"/>
              <w:bottom w:val="single" w:color="auto" w:sz="12" w:space="0"/>
            </w:tcBorders>
            <w:vAlign w:val="center"/>
          </w:tcPr>
          <w:p>
            <w:pPr>
              <w:adjustRightInd w:val="0"/>
              <w:snapToGrid w:val="0"/>
              <w:jc w:val="center"/>
              <w:rPr>
                <w:szCs w:val="21"/>
              </w:rPr>
            </w:pPr>
            <w:r>
              <w:rPr>
                <w:szCs w:val="21"/>
              </w:rPr>
              <w:t>达标</w:t>
            </w:r>
          </w:p>
        </w:tc>
        <w:tc>
          <w:tcPr>
            <w:tcW w:w="934" w:type="dxa"/>
            <w:tcBorders>
              <w:top w:val="single" w:color="auto" w:sz="4" w:space="0"/>
              <w:bottom w:val="single" w:color="auto" w:sz="12" w:space="0"/>
              <w:right w:val="single" w:color="auto" w:sz="12" w:space="0"/>
            </w:tcBorders>
            <w:vAlign w:val="center"/>
          </w:tcPr>
          <w:p>
            <w:pPr>
              <w:adjustRightInd w:val="0"/>
              <w:snapToGrid w:val="0"/>
              <w:jc w:val="center"/>
              <w:rPr>
                <w:szCs w:val="21"/>
              </w:rPr>
            </w:pPr>
            <w:r>
              <w:rPr>
                <w:szCs w:val="21"/>
              </w:rPr>
              <w:t>达标</w:t>
            </w:r>
          </w:p>
        </w:tc>
      </w:tr>
    </w:tbl>
    <w:p>
      <w:pPr>
        <w:spacing w:beforeLines="50" w:line="360" w:lineRule="auto"/>
        <w:ind w:firstLine="480" w:firstLineChars="200"/>
        <w:rPr>
          <w:sz w:val="24"/>
        </w:rPr>
      </w:pPr>
      <w:r>
        <w:rPr>
          <w:sz w:val="24"/>
          <w:lang w:val="zh-CN"/>
        </w:rPr>
        <w:t>根据灵宝市环境监测站于</w:t>
      </w:r>
      <w:r>
        <w:rPr>
          <w:spacing w:val="2"/>
          <w:sz w:val="24"/>
        </w:rPr>
        <w:t>2016年8月25日~8月26日对</w:t>
      </w:r>
      <w:r>
        <w:rPr>
          <w:sz w:val="24"/>
        </w:rPr>
        <w:t>工业场地、选厂厂界、尾矿库噪声均满足《工业企业厂界环境噪声排放标准》(GB12348－2008)</w:t>
      </w:r>
      <w:r>
        <w:rPr>
          <w:spacing w:val="2"/>
          <w:sz w:val="24"/>
        </w:rPr>
        <w:t>2类标准</w:t>
      </w:r>
      <w:r>
        <w:rPr>
          <w:sz w:val="24"/>
        </w:rPr>
        <w:t>要求。</w:t>
      </w:r>
    </w:p>
    <w:p>
      <w:pPr>
        <w:spacing w:line="360" w:lineRule="auto"/>
        <w:rPr>
          <w:sz w:val="24"/>
        </w:rPr>
      </w:pPr>
      <w:r>
        <w:rPr>
          <w:sz w:val="24"/>
        </w:rPr>
        <w:t xml:space="preserve">    </w:t>
      </w:r>
      <w:r>
        <w:rPr>
          <w:sz w:val="24"/>
          <w:lang w:val="zh-CN"/>
        </w:rPr>
        <w:t>根据灵宝市环境监测站于</w:t>
      </w:r>
      <w:r>
        <w:rPr>
          <w:spacing w:val="2"/>
          <w:sz w:val="24"/>
        </w:rPr>
        <w:t>2016年8月25日~8月26日对黑山村、美山村石庙坡根组、美山村李家坡组《声环境质量标准》（GB3096-2008）中2类标准</w:t>
      </w:r>
      <w:r>
        <w:rPr>
          <w:sz w:val="24"/>
        </w:rPr>
        <w:t>，因此，本项目生产期噪声未发生超标超标扰民现象。与环评阶段对比，敏感点噪声</w:t>
      </w:r>
      <w:r>
        <w:rPr>
          <w:spacing w:val="2"/>
          <w:sz w:val="24"/>
        </w:rPr>
        <w:t>变化不大</w:t>
      </w:r>
      <w:r>
        <w:rPr>
          <w:sz w:val="24"/>
        </w:rPr>
        <w:t>。</w:t>
      </w:r>
    </w:p>
    <w:p>
      <w:pPr>
        <w:pStyle w:val="3"/>
        <w:rPr>
          <w:rFonts w:ascii="Times New Roman" w:hAnsi="Times New Roman"/>
          <w:szCs w:val="24"/>
        </w:rPr>
      </w:pPr>
      <w:bookmarkStart w:id="599" w:name="_Toc488578918"/>
      <w:bookmarkStart w:id="600" w:name="_Toc470358696"/>
      <w:bookmarkStart w:id="601" w:name="_Toc420663705"/>
      <w:bookmarkStart w:id="602" w:name="_Toc407217381"/>
      <w:bookmarkStart w:id="603" w:name="_Toc406504233"/>
      <w:bookmarkStart w:id="604" w:name="_Toc407153515"/>
      <w:r>
        <w:rPr>
          <w:rFonts w:ascii="Times New Roman" w:hAnsi="Times New Roman"/>
        </w:rPr>
        <w:t>5.6 固体废弃物环境影响调查</w:t>
      </w:r>
      <w:bookmarkEnd w:id="599"/>
      <w:bookmarkEnd w:id="600"/>
      <w:bookmarkEnd w:id="601"/>
      <w:bookmarkEnd w:id="602"/>
      <w:bookmarkEnd w:id="603"/>
      <w:bookmarkEnd w:id="604"/>
    </w:p>
    <w:p>
      <w:pPr>
        <w:pStyle w:val="10"/>
        <w:rPr>
          <w:rFonts w:ascii="Times New Roman" w:hAnsi="Times New Roman"/>
        </w:rPr>
      </w:pPr>
      <w:bookmarkStart w:id="605" w:name="_Toc406504234"/>
      <w:bookmarkStart w:id="606" w:name="_Toc407153516"/>
      <w:bookmarkStart w:id="607" w:name="_Toc420663706"/>
      <w:bookmarkStart w:id="608" w:name="_Toc407217382"/>
      <w:r>
        <w:rPr>
          <w:rFonts w:ascii="Times New Roman" w:hAnsi="Times New Roman"/>
        </w:rPr>
        <w:t>5.6.1浸出毒性试验</w:t>
      </w:r>
    </w:p>
    <w:p>
      <w:pPr>
        <w:pStyle w:val="5"/>
        <w:rPr>
          <w:rFonts w:ascii="Times New Roman" w:hAnsi="Times New Roman"/>
        </w:rPr>
      </w:pPr>
      <w:r>
        <w:rPr>
          <w:rFonts w:ascii="Times New Roman" w:hAnsi="Times New Roman"/>
        </w:rPr>
        <w:t>5.6.1.1 废石浸出毒性试验</w:t>
      </w:r>
      <w:bookmarkEnd w:id="605"/>
      <w:bookmarkEnd w:id="606"/>
      <w:bookmarkEnd w:id="607"/>
      <w:bookmarkEnd w:id="608"/>
    </w:p>
    <w:p>
      <w:pPr>
        <w:pStyle w:val="15"/>
        <w:spacing w:line="360" w:lineRule="auto"/>
        <w:ind w:firstLine="488"/>
        <w:rPr>
          <w:sz w:val="24"/>
        </w:rPr>
      </w:pPr>
      <w:r>
        <w:rPr>
          <w:sz w:val="24"/>
        </w:rPr>
        <w:t>2016年8月谱尼测试对本项目废石进行了的浸出毒性实验，监测结果见表5.6-1</w:t>
      </w:r>
      <w:r>
        <w:rPr>
          <w:rFonts w:hint="eastAsia"/>
          <w:sz w:val="24"/>
        </w:rPr>
        <w:t>。</w:t>
      </w:r>
    </w:p>
    <w:p>
      <w:pPr>
        <w:pStyle w:val="15"/>
        <w:spacing w:line="360" w:lineRule="auto"/>
        <w:ind w:firstLine="488"/>
        <w:rPr>
          <w:sz w:val="24"/>
        </w:rPr>
      </w:pPr>
    </w:p>
    <w:p>
      <w:pPr>
        <w:pStyle w:val="15"/>
        <w:spacing w:line="360" w:lineRule="auto"/>
        <w:ind w:firstLine="488"/>
        <w:rPr>
          <w:sz w:val="24"/>
        </w:rPr>
      </w:pPr>
    </w:p>
    <w:p>
      <w:pPr>
        <w:pStyle w:val="15"/>
        <w:spacing w:line="360" w:lineRule="auto"/>
        <w:ind w:firstLine="488"/>
        <w:rPr>
          <w:sz w:val="24"/>
        </w:rPr>
      </w:pPr>
    </w:p>
    <w:p>
      <w:pPr>
        <w:pStyle w:val="15"/>
        <w:adjustRightInd w:val="0"/>
        <w:snapToGrid w:val="0"/>
        <w:ind w:firstLine="488"/>
        <w:rPr>
          <w:rFonts w:eastAsia="黑体"/>
          <w:sz w:val="22"/>
          <w:szCs w:val="22"/>
        </w:rPr>
      </w:pPr>
      <w:r>
        <w:rPr>
          <w:rFonts w:eastAsia="黑体"/>
          <w:sz w:val="22"/>
          <w:szCs w:val="22"/>
        </w:rPr>
        <w:t>表5.6-1          废石浸出毒性结果分析一览表（单位：mg/L）</w:t>
      </w:r>
    </w:p>
    <w:tbl>
      <w:tblPr>
        <w:tblStyle w:val="54"/>
        <w:tblW w:w="91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595"/>
        <w:gridCol w:w="706"/>
        <w:gridCol w:w="708"/>
        <w:gridCol w:w="815"/>
        <w:gridCol w:w="704"/>
        <w:gridCol w:w="567"/>
        <w:gridCol w:w="709"/>
        <w:gridCol w:w="851"/>
        <w:gridCol w:w="708"/>
        <w:gridCol w:w="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53" w:hRule="atLeast"/>
          <w:jc w:val="center"/>
        </w:trPr>
        <w:tc>
          <w:tcPr>
            <w:tcW w:w="1980" w:type="dxa"/>
            <w:vAlign w:val="center"/>
          </w:tcPr>
          <w:p>
            <w:pPr>
              <w:adjustRightInd w:val="0"/>
              <w:snapToGrid w:val="0"/>
              <w:ind w:firstLine="700" w:firstLineChars="350"/>
              <w:jc w:val="center"/>
              <w:rPr>
                <w:sz w:val="20"/>
                <w:szCs w:val="20"/>
              </w:rPr>
            </w:pPr>
            <w:r>
              <w:rPr>
                <w:sz w:val="20"/>
                <w:szCs w:val="20"/>
              </w:rPr>
              <w:pict>
                <v:line id="_x0000_s5405" o:spid="_x0000_s5405" o:spt="20" style="position:absolute;left:0pt;margin-left:-4.15pt;margin-top:3.4pt;height:37.75pt;width:97.75pt;z-index:251714560;mso-width-relative:page;mso-height-relative:page;" coordsize="21600,21600">
                  <v:path arrowok="t"/>
                  <v:fill focussize="0,0"/>
                  <v:stroke/>
                  <v:imagedata o:title=""/>
                  <o:lock v:ext="edit"/>
                </v:line>
              </w:pict>
            </w:r>
            <w:r>
              <w:rPr>
                <w:sz w:val="20"/>
                <w:szCs w:val="20"/>
              </w:rPr>
              <w:pict>
                <v:line id="_x0000_s5406" o:spid="_x0000_s5406" o:spt="20" style="position:absolute;left:0pt;margin-left:-4.2pt;margin-top:3.3pt;height:68.5pt;width:61.9pt;z-index:251715584;mso-width-relative:page;mso-height-relative:page;" coordsize="21600,21600">
                  <v:path arrowok="t"/>
                  <v:fill focussize="0,0"/>
                  <v:stroke/>
                  <v:imagedata o:title=""/>
                  <o:lock v:ext="edit"/>
                </v:line>
              </w:pict>
            </w:r>
            <w:r>
              <w:rPr>
                <w:sz w:val="20"/>
                <w:szCs w:val="20"/>
              </w:rPr>
              <w:t>项目</w:t>
            </w:r>
          </w:p>
          <w:p>
            <w:pPr>
              <w:adjustRightInd w:val="0"/>
              <w:snapToGrid w:val="0"/>
              <w:ind w:firstLine="300" w:firstLineChars="150"/>
              <w:jc w:val="center"/>
              <w:rPr>
                <w:sz w:val="20"/>
                <w:szCs w:val="20"/>
              </w:rPr>
            </w:pPr>
            <w:r>
              <w:rPr>
                <w:sz w:val="20"/>
                <w:szCs w:val="20"/>
              </w:rPr>
              <w:t>浓度</w:t>
            </w:r>
          </w:p>
          <w:p>
            <w:pPr>
              <w:adjustRightInd w:val="0"/>
              <w:snapToGrid w:val="0"/>
              <w:jc w:val="center"/>
              <w:rPr>
                <w:sz w:val="20"/>
                <w:szCs w:val="20"/>
              </w:rPr>
            </w:pPr>
            <w:r>
              <w:rPr>
                <w:sz w:val="20"/>
                <w:szCs w:val="20"/>
              </w:rPr>
              <w:t>类别</w:t>
            </w:r>
          </w:p>
        </w:tc>
        <w:tc>
          <w:tcPr>
            <w:tcW w:w="595" w:type="dxa"/>
            <w:vAlign w:val="center"/>
          </w:tcPr>
          <w:p>
            <w:pPr>
              <w:adjustRightInd w:val="0"/>
              <w:snapToGrid w:val="0"/>
              <w:jc w:val="center"/>
              <w:rPr>
                <w:sz w:val="20"/>
                <w:szCs w:val="20"/>
              </w:rPr>
            </w:pPr>
            <w:r>
              <w:rPr>
                <w:sz w:val="20"/>
                <w:szCs w:val="20"/>
              </w:rPr>
              <w:t>pH</w:t>
            </w:r>
          </w:p>
        </w:tc>
        <w:tc>
          <w:tcPr>
            <w:tcW w:w="706" w:type="dxa"/>
            <w:vAlign w:val="center"/>
          </w:tcPr>
          <w:p>
            <w:pPr>
              <w:adjustRightInd w:val="0"/>
              <w:snapToGrid w:val="0"/>
              <w:jc w:val="center"/>
              <w:rPr>
                <w:sz w:val="20"/>
                <w:szCs w:val="20"/>
              </w:rPr>
            </w:pPr>
            <w:r>
              <w:rPr>
                <w:sz w:val="20"/>
                <w:szCs w:val="20"/>
              </w:rPr>
              <w:t>铜</w:t>
            </w:r>
          </w:p>
          <w:p>
            <w:pPr>
              <w:adjustRightInd w:val="0"/>
              <w:snapToGrid w:val="0"/>
              <w:jc w:val="center"/>
              <w:rPr>
                <w:sz w:val="20"/>
                <w:szCs w:val="20"/>
              </w:rPr>
            </w:pPr>
            <w:r>
              <w:rPr>
                <w:sz w:val="20"/>
                <w:szCs w:val="20"/>
              </w:rPr>
              <w:t>Cu</w:t>
            </w:r>
          </w:p>
        </w:tc>
        <w:tc>
          <w:tcPr>
            <w:tcW w:w="708" w:type="dxa"/>
            <w:vAlign w:val="center"/>
          </w:tcPr>
          <w:p>
            <w:pPr>
              <w:adjustRightInd w:val="0"/>
              <w:snapToGrid w:val="0"/>
              <w:jc w:val="center"/>
              <w:rPr>
                <w:sz w:val="20"/>
                <w:szCs w:val="20"/>
              </w:rPr>
            </w:pPr>
            <w:r>
              <w:rPr>
                <w:sz w:val="20"/>
                <w:szCs w:val="20"/>
              </w:rPr>
              <w:t>锌</w:t>
            </w:r>
          </w:p>
          <w:p>
            <w:pPr>
              <w:adjustRightInd w:val="0"/>
              <w:snapToGrid w:val="0"/>
              <w:jc w:val="center"/>
              <w:rPr>
                <w:sz w:val="20"/>
                <w:szCs w:val="20"/>
              </w:rPr>
            </w:pPr>
            <w:r>
              <w:rPr>
                <w:sz w:val="20"/>
                <w:szCs w:val="20"/>
              </w:rPr>
              <w:t>Zn</w:t>
            </w:r>
          </w:p>
        </w:tc>
        <w:tc>
          <w:tcPr>
            <w:tcW w:w="815" w:type="dxa"/>
            <w:vAlign w:val="center"/>
          </w:tcPr>
          <w:p>
            <w:pPr>
              <w:adjustRightInd w:val="0"/>
              <w:snapToGrid w:val="0"/>
              <w:jc w:val="center"/>
              <w:rPr>
                <w:sz w:val="20"/>
                <w:szCs w:val="20"/>
              </w:rPr>
            </w:pPr>
            <w:r>
              <w:rPr>
                <w:sz w:val="20"/>
                <w:szCs w:val="20"/>
              </w:rPr>
              <w:t>镉</w:t>
            </w:r>
          </w:p>
          <w:p>
            <w:pPr>
              <w:adjustRightInd w:val="0"/>
              <w:snapToGrid w:val="0"/>
              <w:jc w:val="center"/>
              <w:rPr>
                <w:sz w:val="20"/>
                <w:szCs w:val="20"/>
              </w:rPr>
            </w:pPr>
            <w:r>
              <w:rPr>
                <w:sz w:val="20"/>
                <w:szCs w:val="20"/>
              </w:rPr>
              <w:t>Cd</w:t>
            </w:r>
          </w:p>
        </w:tc>
        <w:tc>
          <w:tcPr>
            <w:tcW w:w="704" w:type="dxa"/>
            <w:vAlign w:val="center"/>
          </w:tcPr>
          <w:p>
            <w:pPr>
              <w:adjustRightInd w:val="0"/>
              <w:snapToGrid w:val="0"/>
              <w:jc w:val="center"/>
              <w:rPr>
                <w:sz w:val="20"/>
                <w:szCs w:val="20"/>
              </w:rPr>
            </w:pPr>
            <w:r>
              <w:rPr>
                <w:sz w:val="20"/>
                <w:szCs w:val="20"/>
              </w:rPr>
              <w:t>铅</w:t>
            </w:r>
          </w:p>
          <w:p>
            <w:pPr>
              <w:adjustRightInd w:val="0"/>
              <w:snapToGrid w:val="0"/>
              <w:jc w:val="center"/>
              <w:rPr>
                <w:sz w:val="20"/>
                <w:szCs w:val="20"/>
              </w:rPr>
            </w:pPr>
            <w:r>
              <w:rPr>
                <w:sz w:val="20"/>
                <w:szCs w:val="20"/>
              </w:rPr>
              <w:t>Pb</w:t>
            </w:r>
          </w:p>
        </w:tc>
        <w:tc>
          <w:tcPr>
            <w:tcW w:w="567" w:type="dxa"/>
            <w:vAlign w:val="center"/>
          </w:tcPr>
          <w:p>
            <w:pPr>
              <w:adjustRightInd w:val="0"/>
              <w:snapToGrid w:val="0"/>
              <w:jc w:val="center"/>
              <w:rPr>
                <w:sz w:val="20"/>
                <w:szCs w:val="20"/>
              </w:rPr>
            </w:pPr>
            <w:r>
              <w:rPr>
                <w:sz w:val="20"/>
                <w:szCs w:val="20"/>
              </w:rPr>
              <w:t>总铬</w:t>
            </w:r>
          </w:p>
          <w:p>
            <w:pPr>
              <w:adjustRightInd w:val="0"/>
              <w:snapToGrid w:val="0"/>
              <w:jc w:val="center"/>
              <w:rPr>
                <w:sz w:val="20"/>
                <w:szCs w:val="20"/>
              </w:rPr>
            </w:pPr>
            <w:r>
              <w:rPr>
                <w:sz w:val="20"/>
                <w:szCs w:val="20"/>
              </w:rPr>
              <w:t>Cr</w:t>
            </w:r>
          </w:p>
        </w:tc>
        <w:tc>
          <w:tcPr>
            <w:tcW w:w="709" w:type="dxa"/>
            <w:vAlign w:val="center"/>
          </w:tcPr>
          <w:p>
            <w:pPr>
              <w:adjustRightInd w:val="0"/>
              <w:snapToGrid w:val="0"/>
              <w:jc w:val="center"/>
              <w:rPr>
                <w:sz w:val="20"/>
                <w:szCs w:val="20"/>
              </w:rPr>
            </w:pPr>
            <w:r>
              <w:rPr>
                <w:sz w:val="20"/>
                <w:szCs w:val="20"/>
              </w:rPr>
              <w:t>六价铬</w:t>
            </w:r>
          </w:p>
          <w:p>
            <w:pPr>
              <w:adjustRightInd w:val="0"/>
              <w:snapToGrid w:val="0"/>
              <w:jc w:val="center"/>
              <w:rPr>
                <w:sz w:val="20"/>
                <w:szCs w:val="20"/>
              </w:rPr>
            </w:pPr>
            <w:r>
              <w:rPr>
                <w:sz w:val="20"/>
                <w:szCs w:val="20"/>
              </w:rPr>
              <w:t>Cr</w:t>
            </w:r>
            <w:r>
              <w:rPr>
                <w:sz w:val="20"/>
                <w:szCs w:val="20"/>
                <w:vertAlign w:val="superscript"/>
              </w:rPr>
              <w:t>6+</w:t>
            </w:r>
          </w:p>
        </w:tc>
        <w:tc>
          <w:tcPr>
            <w:tcW w:w="851" w:type="dxa"/>
            <w:vAlign w:val="center"/>
          </w:tcPr>
          <w:p>
            <w:pPr>
              <w:adjustRightInd w:val="0"/>
              <w:snapToGrid w:val="0"/>
              <w:jc w:val="center"/>
              <w:rPr>
                <w:sz w:val="20"/>
                <w:szCs w:val="20"/>
              </w:rPr>
            </w:pPr>
            <w:r>
              <w:rPr>
                <w:sz w:val="20"/>
                <w:szCs w:val="20"/>
              </w:rPr>
              <w:t>砷</w:t>
            </w:r>
          </w:p>
          <w:p>
            <w:pPr>
              <w:adjustRightInd w:val="0"/>
              <w:snapToGrid w:val="0"/>
              <w:jc w:val="center"/>
              <w:rPr>
                <w:sz w:val="20"/>
                <w:szCs w:val="20"/>
              </w:rPr>
            </w:pPr>
            <w:r>
              <w:rPr>
                <w:sz w:val="20"/>
                <w:szCs w:val="20"/>
              </w:rPr>
              <w:t>As</w:t>
            </w:r>
          </w:p>
        </w:tc>
        <w:tc>
          <w:tcPr>
            <w:tcW w:w="708" w:type="dxa"/>
            <w:vAlign w:val="center"/>
          </w:tcPr>
          <w:p>
            <w:pPr>
              <w:adjustRightInd w:val="0"/>
              <w:snapToGrid w:val="0"/>
              <w:jc w:val="center"/>
              <w:rPr>
                <w:sz w:val="20"/>
                <w:szCs w:val="20"/>
              </w:rPr>
            </w:pPr>
            <w:r>
              <w:rPr>
                <w:sz w:val="20"/>
                <w:szCs w:val="20"/>
              </w:rPr>
              <w:t>汞</w:t>
            </w:r>
          </w:p>
        </w:tc>
        <w:tc>
          <w:tcPr>
            <w:tcW w:w="779" w:type="dxa"/>
            <w:vAlign w:val="center"/>
          </w:tcPr>
          <w:p>
            <w:pPr>
              <w:adjustRightInd w:val="0"/>
              <w:snapToGrid w:val="0"/>
              <w:jc w:val="center"/>
              <w:rPr>
                <w:sz w:val="20"/>
                <w:szCs w:val="20"/>
              </w:rPr>
            </w:pPr>
            <w:r>
              <w:rPr>
                <w:sz w:val="20"/>
                <w:szCs w:val="20"/>
              </w:rPr>
              <w:t>无机氟化物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adjustRightInd w:val="0"/>
              <w:snapToGrid w:val="0"/>
              <w:jc w:val="center"/>
              <w:rPr>
                <w:sz w:val="20"/>
                <w:szCs w:val="20"/>
              </w:rPr>
            </w:pPr>
            <w:r>
              <w:rPr>
                <w:sz w:val="20"/>
                <w:szCs w:val="20"/>
              </w:rPr>
              <w:t>废石浸出毒性试验</w:t>
            </w:r>
          </w:p>
        </w:tc>
        <w:tc>
          <w:tcPr>
            <w:tcW w:w="595" w:type="dxa"/>
            <w:vAlign w:val="center"/>
          </w:tcPr>
          <w:p>
            <w:pPr>
              <w:adjustRightInd w:val="0"/>
              <w:snapToGrid w:val="0"/>
              <w:jc w:val="center"/>
              <w:rPr>
                <w:sz w:val="20"/>
                <w:szCs w:val="20"/>
              </w:rPr>
            </w:pPr>
            <w:r>
              <w:rPr>
                <w:sz w:val="20"/>
                <w:szCs w:val="20"/>
              </w:rPr>
              <w:t>6.12</w:t>
            </w:r>
          </w:p>
        </w:tc>
        <w:tc>
          <w:tcPr>
            <w:tcW w:w="706" w:type="dxa"/>
            <w:vAlign w:val="center"/>
          </w:tcPr>
          <w:p>
            <w:pPr>
              <w:adjustRightInd w:val="0"/>
              <w:snapToGrid w:val="0"/>
              <w:jc w:val="center"/>
              <w:rPr>
                <w:sz w:val="20"/>
                <w:szCs w:val="20"/>
              </w:rPr>
            </w:pPr>
            <w:r>
              <w:rPr>
                <w:sz w:val="20"/>
                <w:szCs w:val="20"/>
              </w:rPr>
              <w:t>＜0.01</w:t>
            </w:r>
          </w:p>
        </w:tc>
        <w:tc>
          <w:tcPr>
            <w:tcW w:w="708" w:type="dxa"/>
            <w:vAlign w:val="center"/>
          </w:tcPr>
          <w:p>
            <w:pPr>
              <w:adjustRightInd w:val="0"/>
              <w:snapToGrid w:val="0"/>
              <w:jc w:val="center"/>
              <w:rPr>
                <w:sz w:val="20"/>
                <w:szCs w:val="20"/>
              </w:rPr>
            </w:pPr>
            <w:r>
              <w:rPr>
                <w:sz w:val="20"/>
                <w:szCs w:val="20"/>
              </w:rPr>
              <w:t>＜0.006</w:t>
            </w:r>
          </w:p>
        </w:tc>
        <w:tc>
          <w:tcPr>
            <w:tcW w:w="815" w:type="dxa"/>
            <w:vAlign w:val="center"/>
          </w:tcPr>
          <w:p>
            <w:pPr>
              <w:adjustRightInd w:val="0"/>
              <w:snapToGrid w:val="0"/>
              <w:jc w:val="center"/>
              <w:rPr>
                <w:sz w:val="20"/>
                <w:szCs w:val="20"/>
              </w:rPr>
            </w:pPr>
            <w:r>
              <w:rPr>
                <w:sz w:val="20"/>
                <w:szCs w:val="20"/>
              </w:rPr>
              <w:t>＜0.0002</w:t>
            </w:r>
          </w:p>
        </w:tc>
        <w:tc>
          <w:tcPr>
            <w:tcW w:w="704" w:type="dxa"/>
            <w:vAlign w:val="center"/>
          </w:tcPr>
          <w:p>
            <w:pPr>
              <w:adjustRightInd w:val="0"/>
              <w:snapToGrid w:val="0"/>
              <w:jc w:val="center"/>
              <w:rPr>
                <w:sz w:val="20"/>
                <w:szCs w:val="20"/>
              </w:rPr>
            </w:pPr>
            <w:r>
              <w:rPr>
                <w:sz w:val="20"/>
                <w:szCs w:val="20"/>
              </w:rPr>
              <w:t>0.002</w:t>
            </w:r>
          </w:p>
        </w:tc>
        <w:tc>
          <w:tcPr>
            <w:tcW w:w="567" w:type="dxa"/>
            <w:vAlign w:val="center"/>
          </w:tcPr>
          <w:p>
            <w:pPr>
              <w:adjustRightInd w:val="0"/>
              <w:snapToGrid w:val="0"/>
              <w:jc w:val="center"/>
              <w:rPr>
                <w:sz w:val="20"/>
                <w:szCs w:val="20"/>
              </w:rPr>
            </w:pPr>
            <w:r>
              <w:rPr>
                <w:sz w:val="20"/>
                <w:szCs w:val="20"/>
              </w:rPr>
              <w:t>＜0.01</w:t>
            </w:r>
          </w:p>
        </w:tc>
        <w:tc>
          <w:tcPr>
            <w:tcW w:w="709" w:type="dxa"/>
            <w:vAlign w:val="center"/>
          </w:tcPr>
          <w:p>
            <w:pPr>
              <w:adjustRightInd w:val="0"/>
              <w:snapToGrid w:val="0"/>
              <w:jc w:val="center"/>
              <w:rPr>
                <w:sz w:val="20"/>
                <w:szCs w:val="20"/>
              </w:rPr>
            </w:pPr>
            <w:r>
              <w:rPr>
                <w:sz w:val="20"/>
                <w:szCs w:val="20"/>
              </w:rPr>
              <w:t>＜0.004</w:t>
            </w:r>
          </w:p>
        </w:tc>
        <w:tc>
          <w:tcPr>
            <w:tcW w:w="851" w:type="dxa"/>
            <w:vAlign w:val="center"/>
          </w:tcPr>
          <w:p>
            <w:pPr>
              <w:adjustRightInd w:val="0"/>
              <w:snapToGrid w:val="0"/>
              <w:jc w:val="center"/>
              <w:rPr>
                <w:sz w:val="20"/>
                <w:szCs w:val="20"/>
              </w:rPr>
            </w:pPr>
            <w:r>
              <w:rPr>
                <w:sz w:val="20"/>
                <w:szCs w:val="20"/>
              </w:rPr>
              <w:t>0.0008</w:t>
            </w:r>
          </w:p>
        </w:tc>
        <w:tc>
          <w:tcPr>
            <w:tcW w:w="708" w:type="dxa"/>
            <w:vAlign w:val="center"/>
          </w:tcPr>
          <w:p>
            <w:pPr>
              <w:adjustRightInd w:val="0"/>
              <w:snapToGrid w:val="0"/>
              <w:jc w:val="center"/>
              <w:rPr>
                <w:sz w:val="20"/>
                <w:szCs w:val="20"/>
              </w:rPr>
            </w:pPr>
            <w:r>
              <w:rPr>
                <w:sz w:val="20"/>
                <w:szCs w:val="20"/>
              </w:rPr>
              <w:t>＜0.001</w:t>
            </w:r>
          </w:p>
        </w:tc>
        <w:tc>
          <w:tcPr>
            <w:tcW w:w="779" w:type="dxa"/>
            <w:vAlign w:val="center"/>
          </w:tcPr>
          <w:p>
            <w:pPr>
              <w:adjustRightInd w:val="0"/>
              <w:snapToGrid w:val="0"/>
              <w:jc w:val="center"/>
              <w:rPr>
                <w:sz w:val="20"/>
                <w:szCs w:val="20"/>
              </w:rPr>
            </w:pPr>
            <w:r>
              <w:rPr>
                <w:sz w:val="20"/>
                <w:szCs w:val="20"/>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adjustRightInd w:val="0"/>
              <w:snapToGrid w:val="0"/>
              <w:jc w:val="center"/>
              <w:rPr>
                <w:sz w:val="20"/>
                <w:szCs w:val="20"/>
              </w:rPr>
            </w:pPr>
            <w:r>
              <w:rPr>
                <w:sz w:val="20"/>
                <w:szCs w:val="20"/>
              </w:rPr>
              <w:t>GB8978-1996表1、表4中最高允许排放浓度</w:t>
            </w:r>
          </w:p>
        </w:tc>
        <w:tc>
          <w:tcPr>
            <w:tcW w:w="595" w:type="dxa"/>
            <w:vAlign w:val="center"/>
          </w:tcPr>
          <w:p>
            <w:pPr>
              <w:adjustRightInd w:val="0"/>
              <w:snapToGrid w:val="0"/>
              <w:jc w:val="center"/>
              <w:rPr>
                <w:sz w:val="20"/>
                <w:szCs w:val="20"/>
              </w:rPr>
            </w:pPr>
            <w:r>
              <w:rPr>
                <w:sz w:val="20"/>
                <w:szCs w:val="20"/>
              </w:rPr>
              <w:t>6~9</w:t>
            </w:r>
          </w:p>
        </w:tc>
        <w:tc>
          <w:tcPr>
            <w:tcW w:w="706" w:type="dxa"/>
            <w:vAlign w:val="center"/>
          </w:tcPr>
          <w:p>
            <w:pPr>
              <w:adjustRightInd w:val="0"/>
              <w:snapToGrid w:val="0"/>
              <w:jc w:val="center"/>
              <w:rPr>
                <w:sz w:val="20"/>
                <w:szCs w:val="20"/>
              </w:rPr>
            </w:pPr>
            <w:r>
              <w:rPr>
                <w:sz w:val="20"/>
                <w:szCs w:val="20"/>
              </w:rPr>
              <w:t>0.5</w:t>
            </w:r>
          </w:p>
        </w:tc>
        <w:tc>
          <w:tcPr>
            <w:tcW w:w="708" w:type="dxa"/>
            <w:vAlign w:val="center"/>
          </w:tcPr>
          <w:p>
            <w:pPr>
              <w:adjustRightInd w:val="0"/>
              <w:snapToGrid w:val="0"/>
              <w:jc w:val="center"/>
              <w:rPr>
                <w:sz w:val="20"/>
                <w:szCs w:val="20"/>
              </w:rPr>
            </w:pPr>
            <w:r>
              <w:rPr>
                <w:sz w:val="20"/>
                <w:szCs w:val="20"/>
              </w:rPr>
              <w:t>2.0</w:t>
            </w:r>
          </w:p>
        </w:tc>
        <w:tc>
          <w:tcPr>
            <w:tcW w:w="815" w:type="dxa"/>
            <w:vAlign w:val="center"/>
          </w:tcPr>
          <w:p>
            <w:pPr>
              <w:adjustRightInd w:val="0"/>
              <w:snapToGrid w:val="0"/>
              <w:jc w:val="center"/>
              <w:rPr>
                <w:sz w:val="20"/>
                <w:szCs w:val="20"/>
              </w:rPr>
            </w:pPr>
            <w:r>
              <w:rPr>
                <w:sz w:val="20"/>
                <w:szCs w:val="20"/>
              </w:rPr>
              <w:t>0.1</w:t>
            </w:r>
          </w:p>
        </w:tc>
        <w:tc>
          <w:tcPr>
            <w:tcW w:w="704" w:type="dxa"/>
            <w:vAlign w:val="center"/>
          </w:tcPr>
          <w:p>
            <w:pPr>
              <w:adjustRightInd w:val="0"/>
              <w:snapToGrid w:val="0"/>
              <w:jc w:val="center"/>
              <w:rPr>
                <w:sz w:val="20"/>
                <w:szCs w:val="20"/>
              </w:rPr>
            </w:pPr>
            <w:r>
              <w:rPr>
                <w:sz w:val="20"/>
                <w:szCs w:val="20"/>
              </w:rPr>
              <w:t>1.0</w:t>
            </w:r>
          </w:p>
        </w:tc>
        <w:tc>
          <w:tcPr>
            <w:tcW w:w="567" w:type="dxa"/>
            <w:vAlign w:val="center"/>
          </w:tcPr>
          <w:p>
            <w:pPr>
              <w:adjustRightInd w:val="0"/>
              <w:snapToGrid w:val="0"/>
              <w:jc w:val="center"/>
              <w:rPr>
                <w:sz w:val="20"/>
                <w:szCs w:val="20"/>
              </w:rPr>
            </w:pPr>
            <w:r>
              <w:rPr>
                <w:sz w:val="20"/>
                <w:szCs w:val="20"/>
              </w:rPr>
              <w:t>0.5</w:t>
            </w:r>
          </w:p>
        </w:tc>
        <w:tc>
          <w:tcPr>
            <w:tcW w:w="709" w:type="dxa"/>
            <w:vAlign w:val="center"/>
          </w:tcPr>
          <w:p>
            <w:pPr>
              <w:adjustRightInd w:val="0"/>
              <w:snapToGrid w:val="0"/>
              <w:jc w:val="center"/>
              <w:rPr>
                <w:sz w:val="20"/>
                <w:szCs w:val="20"/>
              </w:rPr>
            </w:pPr>
            <w:r>
              <w:rPr>
                <w:sz w:val="20"/>
                <w:szCs w:val="20"/>
              </w:rPr>
              <w:t>0.05</w:t>
            </w:r>
          </w:p>
        </w:tc>
        <w:tc>
          <w:tcPr>
            <w:tcW w:w="851" w:type="dxa"/>
            <w:vAlign w:val="center"/>
          </w:tcPr>
          <w:p>
            <w:pPr>
              <w:adjustRightInd w:val="0"/>
              <w:snapToGrid w:val="0"/>
              <w:jc w:val="center"/>
              <w:rPr>
                <w:sz w:val="20"/>
                <w:szCs w:val="20"/>
              </w:rPr>
            </w:pPr>
            <w:r>
              <w:rPr>
                <w:sz w:val="20"/>
                <w:szCs w:val="20"/>
              </w:rPr>
              <w:t>0.5</w:t>
            </w:r>
          </w:p>
        </w:tc>
        <w:tc>
          <w:tcPr>
            <w:tcW w:w="708" w:type="dxa"/>
            <w:vAlign w:val="center"/>
          </w:tcPr>
          <w:p>
            <w:pPr>
              <w:adjustRightInd w:val="0"/>
              <w:snapToGrid w:val="0"/>
              <w:jc w:val="center"/>
              <w:rPr>
                <w:sz w:val="20"/>
                <w:szCs w:val="20"/>
              </w:rPr>
            </w:pPr>
            <w:r>
              <w:rPr>
                <w:sz w:val="20"/>
                <w:szCs w:val="20"/>
              </w:rPr>
              <w:t>0.05</w:t>
            </w:r>
          </w:p>
        </w:tc>
        <w:tc>
          <w:tcPr>
            <w:tcW w:w="779" w:type="dxa"/>
            <w:vAlign w:val="center"/>
          </w:tcPr>
          <w:p>
            <w:pPr>
              <w:adjustRightInd w:val="0"/>
              <w:snapToGrid w:val="0"/>
              <w:jc w:val="center"/>
              <w:rPr>
                <w:sz w:val="20"/>
                <w:szCs w:val="20"/>
              </w:rPr>
            </w:pPr>
            <w:r>
              <w:rPr>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adjustRightInd w:val="0"/>
              <w:snapToGrid w:val="0"/>
              <w:jc w:val="center"/>
              <w:rPr>
                <w:sz w:val="20"/>
                <w:szCs w:val="20"/>
              </w:rPr>
            </w:pPr>
            <w:r>
              <w:rPr>
                <w:sz w:val="20"/>
                <w:szCs w:val="20"/>
              </w:rPr>
              <w:t>GB5085-2007最高允许排放浓度</w:t>
            </w:r>
          </w:p>
        </w:tc>
        <w:tc>
          <w:tcPr>
            <w:tcW w:w="595" w:type="dxa"/>
            <w:vAlign w:val="center"/>
          </w:tcPr>
          <w:p>
            <w:pPr>
              <w:adjustRightInd w:val="0"/>
              <w:snapToGrid w:val="0"/>
              <w:jc w:val="center"/>
              <w:rPr>
                <w:sz w:val="20"/>
                <w:szCs w:val="20"/>
              </w:rPr>
            </w:pPr>
            <w:r>
              <w:rPr>
                <w:sz w:val="20"/>
                <w:szCs w:val="20"/>
              </w:rPr>
              <w:t>/</w:t>
            </w:r>
          </w:p>
        </w:tc>
        <w:tc>
          <w:tcPr>
            <w:tcW w:w="706" w:type="dxa"/>
            <w:vAlign w:val="center"/>
          </w:tcPr>
          <w:p>
            <w:pPr>
              <w:adjustRightInd w:val="0"/>
              <w:snapToGrid w:val="0"/>
              <w:jc w:val="center"/>
              <w:rPr>
                <w:sz w:val="20"/>
                <w:szCs w:val="20"/>
              </w:rPr>
            </w:pPr>
            <w:r>
              <w:rPr>
                <w:sz w:val="20"/>
                <w:szCs w:val="20"/>
              </w:rPr>
              <w:t>100</w:t>
            </w:r>
          </w:p>
        </w:tc>
        <w:tc>
          <w:tcPr>
            <w:tcW w:w="708" w:type="dxa"/>
            <w:vAlign w:val="center"/>
          </w:tcPr>
          <w:p>
            <w:pPr>
              <w:adjustRightInd w:val="0"/>
              <w:snapToGrid w:val="0"/>
              <w:jc w:val="center"/>
              <w:rPr>
                <w:sz w:val="20"/>
                <w:szCs w:val="20"/>
              </w:rPr>
            </w:pPr>
            <w:r>
              <w:rPr>
                <w:sz w:val="20"/>
                <w:szCs w:val="20"/>
              </w:rPr>
              <w:t>100</w:t>
            </w:r>
          </w:p>
        </w:tc>
        <w:tc>
          <w:tcPr>
            <w:tcW w:w="815" w:type="dxa"/>
            <w:vAlign w:val="center"/>
          </w:tcPr>
          <w:p>
            <w:pPr>
              <w:adjustRightInd w:val="0"/>
              <w:snapToGrid w:val="0"/>
              <w:jc w:val="center"/>
              <w:rPr>
                <w:sz w:val="20"/>
                <w:szCs w:val="20"/>
              </w:rPr>
            </w:pPr>
            <w:r>
              <w:rPr>
                <w:sz w:val="20"/>
                <w:szCs w:val="20"/>
              </w:rPr>
              <w:t>1.0</w:t>
            </w:r>
          </w:p>
        </w:tc>
        <w:tc>
          <w:tcPr>
            <w:tcW w:w="704" w:type="dxa"/>
            <w:vAlign w:val="center"/>
          </w:tcPr>
          <w:p>
            <w:pPr>
              <w:adjustRightInd w:val="0"/>
              <w:snapToGrid w:val="0"/>
              <w:jc w:val="center"/>
              <w:rPr>
                <w:sz w:val="20"/>
                <w:szCs w:val="20"/>
              </w:rPr>
            </w:pPr>
            <w:r>
              <w:rPr>
                <w:sz w:val="20"/>
                <w:szCs w:val="20"/>
              </w:rPr>
              <w:t>5</w:t>
            </w:r>
          </w:p>
        </w:tc>
        <w:tc>
          <w:tcPr>
            <w:tcW w:w="567" w:type="dxa"/>
            <w:vAlign w:val="center"/>
          </w:tcPr>
          <w:p>
            <w:pPr>
              <w:adjustRightInd w:val="0"/>
              <w:snapToGrid w:val="0"/>
              <w:jc w:val="center"/>
              <w:rPr>
                <w:sz w:val="20"/>
                <w:szCs w:val="20"/>
              </w:rPr>
            </w:pPr>
            <w:r>
              <w:rPr>
                <w:sz w:val="20"/>
                <w:szCs w:val="20"/>
              </w:rPr>
              <w:t>5</w:t>
            </w:r>
          </w:p>
        </w:tc>
        <w:tc>
          <w:tcPr>
            <w:tcW w:w="709" w:type="dxa"/>
            <w:vAlign w:val="center"/>
          </w:tcPr>
          <w:p>
            <w:pPr>
              <w:adjustRightInd w:val="0"/>
              <w:snapToGrid w:val="0"/>
              <w:jc w:val="center"/>
              <w:rPr>
                <w:sz w:val="20"/>
                <w:szCs w:val="20"/>
              </w:rPr>
            </w:pPr>
            <w:r>
              <w:rPr>
                <w:sz w:val="20"/>
                <w:szCs w:val="20"/>
              </w:rPr>
              <w:t>0.1</w:t>
            </w:r>
          </w:p>
        </w:tc>
        <w:tc>
          <w:tcPr>
            <w:tcW w:w="851" w:type="dxa"/>
            <w:vAlign w:val="center"/>
          </w:tcPr>
          <w:p>
            <w:pPr>
              <w:adjustRightInd w:val="0"/>
              <w:snapToGrid w:val="0"/>
              <w:jc w:val="center"/>
              <w:rPr>
                <w:sz w:val="20"/>
                <w:szCs w:val="20"/>
              </w:rPr>
            </w:pPr>
            <w:r>
              <w:rPr>
                <w:sz w:val="20"/>
                <w:szCs w:val="20"/>
              </w:rPr>
              <w:t>5</w:t>
            </w:r>
          </w:p>
        </w:tc>
        <w:tc>
          <w:tcPr>
            <w:tcW w:w="708" w:type="dxa"/>
            <w:vAlign w:val="center"/>
          </w:tcPr>
          <w:p>
            <w:pPr>
              <w:adjustRightInd w:val="0"/>
              <w:snapToGrid w:val="0"/>
              <w:jc w:val="center"/>
              <w:rPr>
                <w:sz w:val="20"/>
                <w:szCs w:val="20"/>
              </w:rPr>
            </w:pPr>
            <w:r>
              <w:rPr>
                <w:sz w:val="20"/>
                <w:szCs w:val="20"/>
              </w:rPr>
              <w:t>0.1</w:t>
            </w:r>
          </w:p>
        </w:tc>
        <w:tc>
          <w:tcPr>
            <w:tcW w:w="779" w:type="dxa"/>
            <w:vAlign w:val="center"/>
          </w:tcPr>
          <w:p>
            <w:pPr>
              <w:adjustRightInd w:val="0"/>
              <w:snapToGrid w:val="0"/>
              <w:jc w:val="center"/>
              <w:rPr>
                <w:sz w:val="20"/>
                <w:szCs w:val="20"/>
              </w:rPr>
            </w:pPr>
            <w:r>
              <w:rPr>
                <w:sz w:val="20"/>
                <w:szCs w:val="20"/>
              </w:rPr>
              <w:t>100</w:t>
            </w:r>
          </w:p>
        </w:tc>
      </w:tr>
    </w:tbl>
    <w:p>
      <w:pPr>
        <w:spacing w:beforeLines="50" w:line="360" w:lineRule="auto"/>
        <w:ind w:firstLine="482"/>
        <w:rPr>
          <w:rFonts w:eastAsiaTheme="majorEastAsia"/>
          <w:sz w:val="24"/>
        </w:rPr>
      </w:pPr>
      <w:r>
        <w:rPr>
          <w:sz w:val="24"/>
        </w:rPr>
        <w:t>由上表可知，</w:t>
      </w:r>
      <w:bookmarkStart w:id="609" w:name="_Toc407153517"/>
      <w:bookmarkStart w:id="610" w:name="_Toc407217383"/>
      <w:bookmarkStart w:id="611" w:name="_Toc406504235"/>
      <w:r>
        <w:rPr>
          <w:sz w:val="24"/>
        </w:rPr>
        <w:t>废石浸出液中各项有毒有害元素浓度均低于《危险废物鉴别标准-浸出毒性鉴别》（GB5.85.3-2007）中规定的标准，本项目废石不属于危险废物，各</w:t>
      </w:r>
      <w:r>
        <w:rPr>
          <w:rFonts w:eastAsiaTheme="majorEastAsia"/>
          <w:sz w:val="24"/>
        </w:rPr>
        <w:t>污染物的浓度均未超过《污水综合排放标准》（GB8978-1996）中最高允许排放浓度，且pH值在6～9之间，因此可以判定本项目废石属于第Ⅰ类一般工业固体废物，根据《一般工业固体废物贮存、处置场污染控制标准》（GB18599-2001）中有关规定，其堆场应为Ⅰ类场地。根据固体废物贮存、处置场设计的环境保护要求，Ⅰ类场地无需设防渗处理设施。</w:t>
      </w:r>
    </w:p>
    <w:p>
      <w:pPr>
        <w:pStyle w:val="5"/>
        <w:rPr>
          <w:rFonts w:ascii="Times New Roman" w:hAnsi="Times New Roman"/>
          <w:szCs w:val="30"/>
        </w:rPr>
      </w:pPr>
      <w:r>
        <w:rPr>
          <w:rFonts w:ascii="Times New Roman" w:hAnsi="Times New Roman"/>
        </w:rPr>
        <w:t>5.6.1.2尾矿</w:t>
      </w:r>
      <w:r>
        <w:rPr>
          <w:rFonts w:ascii="Times New Roman" w:hAnsi="Times New Roman"/>
          <w:szCs w:val="30"/>
        </w:rPr>
        <w:t>浸出</w:t>
      </w:r>
      <w:r>
        <w:rPr>
          <w:rFonts w:ascii="Times New Roman" w:hAnsi="Times New Roman"/>
        </w:rPr>
        <w:t>毒性</w:t>
      </w:r>
      <w:r>
        <w:rPr>
          <w:rFonts w:ascii="Times New Roman" w:hAnsi="Times New Roman"/>
          <w:szCs w:val="30"/>
        </w:rPr>
        <w:t>试验</w:t>
      </w:r>
    </w:p>
    <w:p>
      <w:pPr>
        <w:spacing w:line="360" w:lineRule="auto"/>
        <w:ind w:firstLine="480" w:firstLineChars="200"/>
        <w:rPr>
          <w:rFonts w:eastAsiaTheme="majorEastAsia"/>
          <w:sz w:val="24"/>
        </w:rPr>
      </w:pPr>
      <w:r>
        <w:rPr>
          <w:sz w:val="24"/>
        </w:rPr>
        <w:t>谱尼测试</w:t>
      </w:r>
      <w:r>
        <w:rPr>
          <w:rFonts w:eastAsiaTheme="majorEastAsia"/>
          <w:sz w:val="24"/>
        </w:rPr>
        <w:t>于2016年8月对选厂尾矿进行采样做浸出实验，尾矿渣浸出试验结果详见表5.6-2。</w:t>
      </w:r>
    </w:p>
    <w:p>
      <w:pPr>
        <w:pStyle w:val="15"/>
        <w:adjustRightInd w:val="0"/>
        <w:snapToGrid w:val="0"/>
        <w:ind w:firstLine="488"/>
        <w:rPr>
          <w:sz w:val="22"/>
          <w:szCs w:val="22"/>
        </w:rPr>
      </w:pPr>
      <w:r>
        <w:rPr>
          <w:rFonts w:eastAsia="黑体"/>
          <w:bCs/>
          <w:sz w:val="22"/>
          <w:szCs w:val="22"/>
        </w:rPr>
        <w:t xml:space="preserve">表5.6-2        </w:t>
      </w:r>
      <w:r>
        <w:rPr>
          <w:rFonts w:eastAsia="黑体"/>
          <w:sz w:val="22"/>
          <w:szCs w:val="22"/>
        </w:rPr>
        <w:t>尾矿浸出毒性结果分析一览表   单位：mg/l</w:t>
      </w:r>
      <w:r>
        <w:rPr>
          <w:sz w:val="22"/>
          <w:szCs w:val="22"/>
        </w:rPr>
        <w:t xml:space="preserve"> </w:t>
      </w:r>
    </w:p>
    <w:tbl>
      <w:tblPr>
        <w:tblStyle w:val="54"/>
        <w:tblW w:w="83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8"/>
        <w:gridCol w:w="612"/>
        <w:gridCol w:w="749"/>
        <w:gridCol w:w="702"/>
        <w:gridCol w:w="681"/>
        <w:gridCol w:w="702"/>
        <w:gridCol w:w="702"/>
        <w:gridCol w:w="676"/>
        <w:gridCol w:w="676"/>
        <w:gridCol w:w="682"/>
        <w:gridCol w:w="5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jc w:val="center"/>
        </w:trPr>
        <w:tc>
          <w:tcPr>
            <w:tcW w:w="1648" w:type="dxa"/>
            <w:vAlign w:val="center"/>
          </w:tcPr>
          <w:p>
            <w:pPr>
              <w:pStyle w:val="26"/>
              <w:tabs>
                <w:tab w:val="left" w:pos="1800"/>
              </w:tabs>
              <w:adjustRightInd w:val="0"/>
              <w:snapToGrid w:val="0"/>
              <w:jc w:val="center"/>
              <w:rPr>
                <w:rFonts w:ascii="Times New Roman" w:hAnsi="Times New Roman"/>
                <w:szCs w:val="21"/>
              </w:rPr>
            </w:pPr>
            <w:r>
              <w:rPr>
                <w:rFonts w:ascii="Times New Roman" w:hAnsi="Times New Roman"/>
                <w:szCs w:val="21"/>
              </w:rPr>
              <w:pict>
                <v:line id="_x0000_s5407" o:spid="_x0000_s5407" o:spt="20" style="position:absolute;left:0pt;margin-left:0.4pt;margin-top:0.15pt;height:25.9pt;width:80.05pt;z-index:251717632;mso-width-relative:page;mso-height-relative:page;" coordsize="21600,21600">
                  <v:path arrowok="t"/>
                  <v:fill focussize="0,0"/>
                  <v:stroke/>
                  <v:imagedata o:title=""/>
                  <o:lock v:ext="edit"/>
                </v:line>
              </w:pict>
            </w:r>
            <w:r>
              <w:rPr>
                <w:rFonts w:ascii="Times New Roman" w:hAnsi="Times New Roman"/>
                <w:szCs w:val="21"/>
              </w:rPr>
              <w:pict>
                <v:line id="_x0000_s5408" o:spid="_x0000_s5408" o:spt="20" style="position:absolute;left:0pt;margin-left:0.25pt;margin-top:-1.15pt;height:43.15pt;width:35.75pt;z-index:251718656;mso-width-relative:page;mso-height-relative:page;" coordsize="21600,21600">
                  <v:path arrowok="t"/>
                  <v:fill focussize="0,0"/>
                  <v:stroke/>
                  <v:imagedata o:title=""/>
                  <o:lock v:ext="edit"/>
                </v:line>
              </w:pict>
            </w:r>
            <w:r>
              <w:rPr>
                <w:rFonts w:ascii="Times New Roman" w:hAnsi="Times New Roman"/>
                <w:szCs w:val="21"/>
              </w:rPr>
              <w:t>项   目</w:t>
            </w:r>
          </w:p>
          <w:p>
            <w:pPr>
              <w:pStyle w:val="26"/>
              <w:adjustRightInd w:val="0"/>
              <w:snapToGrid w:val="0"/>
              <w:jc w:val="center"/>
              <w:rPr>
                <w:rFonts w:ascii="Times New Roman" w:hAnsi="Times New Roman"/>
                <w:szCs w:val="21"/>
              </w:rPr>
            </w:pPr>
            <w:r>
              <w:rPr>
                <w:rFonts w:ascii="Times New Roman" w:hAnsi="Times New Roman"/>
                <w:szCs w:val="21"/>
              </w:rPr>
              <w:t>浓 度</w:t>
            </w:r>
          </w:p>
          <w:p>
            <w:pPr>
              <w:pStyle w:val="26"/>
              <w:adjustRightInd w:val="0"/>
              <w:snapToGrid w:val="0"/>
              <w:jc w:val="left"/>
              <w:rPr>
                <w:rFonts w:ascii="Times New Roman" w:hAnsi="Times New Roman"/>
                <w:szCs w:val="21"/>
              </w:rPr>
            </w:pPr>
            <w:r>
              <w:rPr>
                <w:rFonts w:ascii="Times New Roman" w:hAnsi="Times New Roman"/>
                <w:szCs w:val="21"/>
              </w:rPr>
              <w:t>类别</w:t>
            </w:r>
          </w:p>
        </w:tc>
        <w:tc>
          <w:tcPr>
            <w:tcW w:w="612" w:type="dxa"/>
            <w:vAlign w:val="center"/>
          </w:tcPr>
          <w:p>
            <w:pPr>
              <w:pStyle w:val="26"/>
              <w:adjustRightInd w:val="0"/>
              <w:snapToGrid w:val="0"/>
              <w:jc w:val="center"/>
              <w:rPr>
                <w:rFonts w:ascii="Times New Roman" w:hAnsi="Times New Roman"/>
                <w:szCs w:val="21"/>
              </w:rPr>
            </w:pPr>
            <w:r>
              <w:rPr>
                <w:rFonts w:ascii="Times New Roman" w:hAnsi="Times New Roman"/>
                <w:szCs w:val="21"/>
              </w:rPr>
              <w:t>pH</w:t>
            </w:r>
          </w:p>
        </w:tc>
        <w:tc>
          <w:tcPr>
            <w:tcW w:w="749" w:type="dxa"/>
            <w:vAlign w:val="center"/>
          </w:tcPr>
          <w:p>
            <w:pPr>
              <w:pStyle w:val="26"/>
              <w:adjustRightInd w:val="0"/>
              <w:snapToGrid w:val="0"/>
              <w:jc w:val="center"/>
              <w:rPr>
                <w:rFonts w:ascii="Times New Roman" w:hAnsi="Times New Roman"/>
                <w:szCs w:val="21"/>
              </w:rPr>
            </w:pPr>
            <w:r>
              <w:rPr>
                <w:rFonts w:ascii="Times New Roman" w:hAnsi="Times New Roman"/>
                <w:szCs w:val="21"/>
              </w:rPr>
              <w:t>汞</w:t>
            </w:r>
          </w:p>
          <w:p>
            <w:pPr>
              <w:pStyle w:val="26"/>
              <w:adjustRightInd w:val="0"/>
              <w:snapToGrid w:val="0"/>
              <w:jc w:val="center"/>
              <w:rPr>
                <w:rFonts w:ascii="Times New Roman" w:hAnsi="Times New Roman"/>
                <w:szCs w:val="21"/>
              </w:rPr>
            </w:pPr>
            <w:r>
              <w:rPr>
                <w:rFonts w:ascii="Times New Roman" w:hAnsi="Times New Roman"/>
                <w:szCs w:val="21"/>
              </w:rPr>
              <w:t>Hg</w:t>
            </w:r>
          </w:p>
        </w:tc>
        <w:tc>
          <w:tcPr>
            <w:tcW w:w="702" w:type="dxa"/>
            <w:vAlign w:val="center"/>
          </w:tcPr>
          <w:p>
            <w:pPr>
              <w:pStyle w:val="26"/>
              <w:adjustRightInd w:val="0"/>
              <w:snapToGrid w:val="0"/>
              <w:jc w:val="center"/>
              <w:rPr>
                <w:rFonts w:ascii="Times New Roman" w:hAnsi="Times New Roman"/>
                <w:szCs w:val="21"/>
              </w:rPr>
            </w:pPr>
            <w:r>
              <w:rPr>
                <w:rFonts w:ascii="Times New Roman" w:hAnsi="Times New Roman"/>
                <w:szCs w:val="21"/>
              </w:rPr>
              <w:t>镉</w:t>
            </w:r>
          </w:p>
          <w:p>
            <w:pPr>
              <w:pStyle w:val="26"/>
              <w:adjustRightInd w:val="0"/>
              <w:snapToGrid w:val="0"/>
              <w:jc w:val="center"/>
              <w:rPr>
                <w:rFonts w:ascii="Times New Roman" w:hAnsi="Times New Roman"/>
                <w:szCs w:val="21"/>
              </w:rPr>
            </w:pPr>
            <w:r>
              <w:rPr>
                <w:rFonts w:ascii="Times New Roman" w:hAnsi="Times New Roman"/>
                <w:szCs w:val="21"/>
              </w:rPr>
              <w:t>Cd</w:t>
            </w:r>
          </w:p>
        </w:tc>
        <w:tc>
          <w:tcPr>
            <w:tcW w:w="681" w:type="dxa"/>
            <w:vAlign w:val="center"/>
          </w:tcPr>
          <w:p>
            <w:pPr>
              <w:pStyle w:val="26"/>
              <w:adjustRightInd w:val="0"/>
              <w:snapToGrid w:val="0"/>
              <w:jc w:val="center"/>
              <w:rPr>
                <w:rFonts w:ascii="Times New Roman" w:hAnsi="Times New Roman"/>
                <w:szCs w:val="21"/>
              </w:rPr>
            </w:pPr>
            <w:r>
              <w:rPr>
                <w:rFonts w:ascii="Times New Roman" w:hAnsi="Times New Roman"/>
                <w:szCs w:val="21"/>
              </w:rPr>
              <w:t>砷</w:t>
            </w:r>
          </w:p>
          <w:p>
            <w:pPr>
              <w:pStyle w:val="26"/>
              <w:adjustRightInd w:val="0"/>
              <w:snapToGrid w:val="0"/>
              <w:jc w:val="center"/>
              <w:rPr>
                <w:rFonts w:ascii="Times New Roman" w:hAnsi="Times New Roman"/>
                <w:szCs w:val="21"/>
              </w:rPr>
            </w:pPr>
            <w:r>
              <w:rPr>
                <w:rFonts w:ascii="Times New Roman" w:hAnsi="Times New Roman"/>
                <w:szCs w:val="21"/>
              </w:rPr>
              <w:t>As</w:t>
            </w:r>
          </w:p>
        </w:tc>
        <w:tc>
          <w:tcPr>
            <w:tcW w:w="702" w:type="dxa"/>
            <w:vAlign w:val="center"/>
          </w:tcPr>
          <w:p>
            <w:pPr>
              <w:pStyle w:val="26"/>
              <w:adjustRightInd w:val="0"/>
              <w:snapToGrid w:val="0"/>
              <w:jc w:val="center"/>
              <w:rPr>
                <w:rFonts w:ascii="Times New Roman" w:hAnsi="Times New Roman"/>
                <w:szCs w:val="21"/>
              </w:rPr>
            </w:pPr>
            <w:r>
              <w:rPr>
                <w:rFonts w:ascii="Times New Roman" w:hAnsi="Times New Roman"/>
                <w:szCs w:val="21"/>
              </w:rPr>
              <w:t>铬</w:t>
            </w:r>
          </w:p>
          <w:p>
            <w:pPr>
              <w:pStyle w:val="26"/>
              <w:adjustRightInd w:val="0"/>
              <w:snapToGrid w:val="0"/>
              <w:jc w:val="center"/>
              <w:rPr>
                <w:rFonts w:ascii="Times New Roman" w:hAnsi="Times New Roman"/>
                <w:szCs w:val="21"/>
              </w:rPr>
            </w:pPr>
            <w:r>
              <w:rPr>
                <w:rFonts w:ascii="Times New Roman" w:hAnsi="Times New Roman"/>
                <w:szCs w:val="21"/>
              </w:rPr>
              <w:t>Cr</w:t>
            </w:r>
          </w:p>
        </w:tc>
        <w:tc>
          <w:tcPr>
            <w:tcW w:w="702" w:type="dxa"/>
            <w:vAlign w:val="center"/>
          </w:tcPr>
          <w:p>
            <w:pPr>
              <w:pStyle w:val="26"/>
              <w:adjustRightInd w:val="0"/>
              <w:snapToGrid w:val="0"/>
              <w:jc w:val="center"/>
              <w:rPr>
                <w:rFonts w:ascii="Times New Roman" w:hAnsi="Times New Roman"/>
                <w:szCs w:val="21"/>
              </w:rPr>
            </w:pPr>
            <w:r>
              <w:rPr>
                <w:rFonts w:ascii="Times New Roman" w:hAnsi="Times New Roman"/>
                <w:szCs w:val="21"/>
              </w:rPr>
              <w:t>铅</w:t>
            </w:r>
          </w:p>
          <w:p>
            <w:pPr>
              <w:pStyle w:val="26"/>
              <w:adjustRightInd w:val="0"/>
              <w:snapToGrid w:val="0"/>
              <w:jc w:val="center"/>
              <w:rPr>
                <w:rFonts w:ascii="Times New Roman" w:hAnsi="Times New Roman"/>
                <w:szCs w:val="21"/>
              </w:rPr>
            </w:pPr>
            <w:r>
              <w:rPr>
                <w:rFonts w:ascii="Times New Roman" w:hAnsi="Times New Roman"/>
                <w:szCs w:val="21"/>
              </w:rPr>
              <w:t>Pb</w:t>
            </w:r>
          </w:p>
        </w:tc>
        <w:tc>
          <w:tcPr>
            <w:tcW w:w="676" w:type="dxa"/>
            <w:vAlign w:val="center"/>
          </w:tcPr>
          <w:p>
            <w:pPr>
              <w:pStyle w:val="26"/>
              <w:adjustRightInd w:val="0"/>
              <w:snapToGrid w:val="0"/>
              <w:jc w:val="center"/>
              <w:rPr>
                <w:rFonts w:ascii="Times New Roman" w:hAnsi="Times New Roman"/>
                <w:szCs w:val="21"/>
              </w:rPr>
            </w:pPr>
            <w:r>
              <w:rPr>
                <w:rFonts w:ascii="Times New Roman" w:hAnsi="Times New Roman"/>
                <w:szCs w:val="21"/>
              </w:rPr>
              <w:t>铜</w:t>
            </w:r>
          </w:p>
          <w:p>
            <w:pPr>
              <w:pStyle w:val="26"/>
              <w:adjustRightInd w:val="0"/>
              <w:snapToGrid w:val="0"/>
              <w:jc w:val="center"/>
              <w:rPr>
                <w:rFonts w:ascii="Times New Roman" w:hAnsi="Times New Roman"/>
                <w:szCs w:val="21"/>
              </w:rPr>
            </w:pPr>
            <w:r>
              <w:rPr>
                <w:rFonts w:ascii="Times New Roman" w:hAnsi="Times New Roman"/>
                <w:szCs w:val="21"/>
              </w:rPr>
              <w:t>Cu</w:t>
            </w:r>
          </w:p>
        </w:tc>
        <w:tc>
          <w:tcPr>
            <w:tcW w:w="676" w:type="dxa"/>
            <w:vAlign w:val="center"/>
          </w:tcPr>
          <w:p>
            <w:pPr>
              <w:pStyle w:val="26"/>
              <w:adjustRightInd w:val="0"/>
              <w:snapToGrid w:val="0"/>
              <w:jc w:val="center"/>
              <w:rPr>
                <w:rFonts w:ascii="Times New Roman" w:hAnsi="Times New Roman"/>
                <w:szCs w:val="21"/>
              </w:rPr>
            </w:pPr>
            <w:r>
              <w:rPr>
                <w:rFonts w:ascii="Times New Roman" w:hAnsi="Times New Roman"/>
                <w:szCs w:val="21"/>
              </w:rPr>
              <w:t>锌</w:t>
            </w:r>
          </w:p>
          <w:p>
            <w:pPr>
              <w:pStyle w:val="26"/>
              <w:adjustRightInd w:val="0"/>
              <w:snapToGrid w:val="0"/>
              <w:jc w:val="center"/>
              <w:rPr>
                <w:rFonts w:ascii="Times New Roman" w:hAnsi="Times New Roman"/>
                <w:szCs w:val="21"/>
              </w:rPr>
            </w:pPr>
            <w:r>
              <w:rPr>
                <w:rFonts w:ascii="Times New Roman" w:hAnsi="Times New Roman"/>
                <w:szCs w:val="21"/>
              </w:rPr>
              <w:t>Zn</w:t>
            </w:r>
          </w:p>
        </w:tc>
        <w:tc>
          <w:tcPr>
            <w:tcW w:w="682" w:type="dxa"/>
            <w:vAlign w:val="center"/>
          </w:tcPr>
          <w:p>
            <w:pPr>
              <w:pStyle w:val="26"/>
              <w:adjustRightInd w:val="0"/>
              <w:snapToGrid w:val="0"/>
              <w:jc w:val="center"/>
              <w:rPr>
                <w:rFonts w:ascii="Times New Roman" w:hAnsi="Times New Roman"/>
                <w:szCs w:val="21"/>
              </w:rPr>
            </w:pPr>
            <w:r>
              <w:rPr>
                <w:rFonts w:ascii="Times New Roman" w:hAnsi="Times New Roman"/>
                <w:szCs w:val="21"/>
              </w:rPr>
              <w:t>六价铬</w:t>
            </w:r>
          </w:p>
          <w:p>
            <w:pPr>
              <w:pStyle w:val="26"/>
              <w:adjustRightInd w:val="0"/>
              <w:snapToGrid w:val="0"/>
              <w:jc w:val="center"/>
              <w:rPr>
                <w:rFonts w:ascii="Times New Roman" w:hAnsi="Times New Roman"/>
                <w:szCs w:val="21"/>
              </w:rPr>
            </w:pPr>
            <w:r>
              <w:rPr>
                <w:rFonts w:ascii="Times New Roman" w:hAnsi="Times New Roman"/>
                <w:szCs w:val="21"/>
              </w:rPr>
              <w:t>Cr</w:t>
            </w:r>
            <w:r>
              <w:rPr>
                <w:rFonts w:ascii="Times New Roman" w:hAnsi="Times New Roman"/>
                <w:szCs w:val="21"/>
                <w:vertAlign w:val="superscript"/>
              </w:rPr>
              <w:t>6+</w:t>
            </w:r>
          </w:p>
        </w:tc>
        <w:tc>
          <w:tcPr>
            <w:tcW w:w="512" w:type="dxa"/>
            <w:vAlign w:val="center"/>
          </w:tcPr>
          <w:p>
            <w:pPr>
              <w:pStyle w:val="26"/>
              <w:adjustRightInd w:val="0"/>
              <w:snapToGrid w:val="0"/>
              <w:jc w:val="center"/>
              <w:rPr>
                <w:rFonts w:ascii="Times New Roman" w:hAnsi="Times New Roman"/>
                <w:szCs w:val="21"/>
              </w:rPr>
            </w:pPr>
            <w:r>
              <w:rPr>
                <w:rFonts w:ascii="Times New Roman" w:hAnsi="Times New Roman"/>
                <w:szCs w:val="21"/>
              </w:rPr>
              <w:t>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48" w:type="dxa"/>
            <w:vAlign w:val="center"/>
          </w:tcPr>
          <w:p>
            <w:pPr>
              <w:adjustRightInd w:val="0"/>
              <w:snapToGrid w:val="0"/>
              <w:jc w:val="center"/>
              <w:rPr>
                <w:szCs w:val="21"/>
              </w:rPr>
            </w:pPr>
            <w:r>
              <w:rPr>
                <w:szCs w:val="21"/>
              </w:rPr>
              <w:t>尾矿渣</w:t>
            </w:r>
          </w:p>
        </w:tc>
        <w:tc>
          <w:tcPr>
            <w:tcW w:w="612" w:type="dxa"/>
            <w:vAlign w:val="center"/>
          </w:tcPr>
          <w:p>
            <w:pPr>
              <w:adjustRightInd w:val="0"/>
              <w:snapToGrid w:val="0"/>
              <w:jc w:val="center"/>
              <w:rPr>
                <w:szCs w:val="21"/>
              </w:rPr>
            </w:pPr>
            <w:r>
              <w:rPr>
                <w:szCs w:val="21"/>
              </w:rPr>
              <w:t>6.89</w:t>
            </w:r>
          </w:p>
        </w:tc>
        <w:tc>
          <w:tcPr>
            <w:tcW w:w="749" w:type="dxa"/>
            <w:vAlign w:val="center"/>
          </w:tcPr>
          <w:p>
            <w:pPr>
              <w:adjustRightInd w:val="0"/>
              <w:snapToGrid w:val="0"/>
              <w:jc w:val="center"/>
            </w:pPr>
            <w:r>
              <w:rPr>
                <w:szCs w:val="21"/>
              </w:rPr>
              <w:t>＜</w:t>
            </w:r>
            <w:r>
              <w:t>0.0001</w:t>
            </w:r>
          </w:p>
        </w:tc>
        <w:tc>
          <w:tcPr>
            <w:tcW w:w="702" w:type="dxa"/>
            <w:vAlign w:val="center"/>
          </w:tcPr>
          <w:p>
            <w:pPr>
              <w:adjustRightInd w:val="0"/>
              <w:snapToGrid w:val="0"/>
              <w:jc w:val="center"/>
            </w:pPr>
            <w:r>
              <w:t>0.0016</w:t>
            </w:r>
          </w:p>
        </w:tc>
        <w:tc>
          <w:tcPr>
            <w:tcW w:w="681" w:type="dxa"/>
            <w:vAlign w:val="center"/>
          </w:tcPr>
          <w:p>
            <w:pPr>
              <w:adjustRightInd w:val="0"/>
              <w:snapToGrid w:val="0"/>
              <w:jc w:val="center"/>
            </w:pPr>
            <w:r>
              <w:t>0.0004</w:t>
            </w:r>
          </w:p>
        </w:tc>
        <w:tc>
          <w:tcPr>
            <w:tcW w:w="702" w:type="dxa"/>
            <w:vAlign w:val="center"/>
          </w:tcPr>
          <w:p>
            <w:pPr>
              <w:adjustRightInd w:val="0"/>
              <w:snapToGrid w:val="0"/>
              <w:jc w:val="center"/>
              <w:rPr>
                <w:szCs w:val="21"/>
              </w:rPr>
            </w:pPr>
            <w:r>
              <w:rPr>
                <w:szCs w:val="21"/>
              </w:rPr>
              <w:t>＜0.01</w:t>
            </w:r>
          </w:p>
        </w:tc>
        <w:tc>
          <w:tcPr>
            <w:tcW w:w="702" w:type="dxa"/>
            <w:vAlign w:val="center"/>
          </w:tcPr>
          <w:p>
            <w:pPr>
              <w:adjustRightInd w:val="0"/>
              <w:snapToGrid w:val="0"/>
              <w:jc w:val="center"/>
            </w:pPr>
            <w:r>
              <w:t>0.002</w:t>
            </w:r>
          </w:p>
        </w:tc>
        <w:tc>
          <w:tcPr>
            <w:tcW w:w="676" w:type="dxa"/>
            <w:vAlign w:val="center"/>
          </w:tcPr>
          <w:p>
            <w:pPr>
              <w:adjustRightInd w:val="0"/>
              <w:snapToGrid w:val="0"/>
              <w:jc w:val="center"/>
              <w:rPr>
                <w:szCs w:val="21"/>
              </w:rPr>
            </w:pPr>
            <w:r>
              <w:rPr>
                <w:szCs w:val="21"/>
              </w:rPr>
              <w:t>＜0.01</w:t>
            </w:r>
          </w:p>
        </w:tc>
        <w:tc>
          <w:tcPr>
            <w:tcW w:w="676" w:type="dxa"/>
            <w:vAlign w:val="center"/>
          </w:tcPr>
          <w:p>
            <w:pPr>
              <w:adjustRightInd w:val="0"/>
              <w:snapToGrid w:val="0"/>
              <w:jc w:val="center"/>
            </w:pPr>
            <w:r>
              <w:t>0.52</w:t>
            </w:r>
          </w:p>
        </w:tc>
        <w:tc>
          <w:tcPr>
            <w:tcW w:w="682" w:type="dxa"/>
            <w:vAlign w:val="center"/>
          </w:tcPr>
          <w:p>
            <w:pPr>
              <w:adjustRightInd w:val="0"/>
              <w:snapToGrid w:val="0"/>
              <w:jc w:val="center"/>
            </w:pPr>
            <w:r>
              <w:rPr>
                <w:szCs w:val="21"/>
              </w:rPr>
              <w:t>＜0.004</w:t>
            </w:r>
          </w:p>
        </w:tc>
        <w:tc>
          <w:tcPr>
            <w:tcW w:w="512" w:type="dxa"/>
            <w:vAlign w:val="center"/>
          </w:tcPr>
          <w:p>
            <w:pPr>
              <w:adjustRightInd w:val="0"/>
              <w:snapToGrid w:val="0"/>
              <w:jc w:val="center"/>
              <w:rPr>
                <w:szCs w:val="21"/>
              </w:rPr>
            </w:pPr>
            <w:r>
              <w:rPr>
                <w:szCs w:val="21"/>
              </w:rPr>
              <w:t>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48" w:type="dxa"/>
            <w:vAlign w:val="center"/>
          </w:tcPr>
          <w:p>
            <w:pPr>
              <w:adjustRightInd w:val="0"/>
              <w:snapToGrid w:val="0"/>
              <w:jc w:val="center"/>
              <w:rPr>
                <w:szCs w:val="21"/>
              </w:rPr>
            </w:pPr>
            <w:r>
              <w:rPr>
                <w:szCs w:val="21"/>
              </w:rPr>
              <w:t>GB5085.3-2007最高允许浓度</w:t>
            </w:r>
          </w:p>
        </w:tc>
        <w:tc>
          <w:tcPr>
            <w:tcW w:w="612" w:type="dxa"/>
            <w:vAlign w:val="center"/>
          </w:tcPr>
          <w:p>
            <w:pPr>
              <w:adjustRightInd w:val="0"/>
              <w:snapToGrid w:val="0"/>
              <w:jc w:val="center"/>
              <w:rPr>
                <w:szCs w:val="21"/>
              </w:rPr>
            </w:pPr>
            <w:r>
              <w:rPr>
                <w:szCs w:val="21"/>
              </w:rPr>
              <w:t>/</w:t>
            </w:r>
          </w:p>
        </w:tc>
        <w:tc>
          <w:tcPr>
            <w:tcW w:w="749" w:type="dxa"/>
            <w:vAlign w:val="center"/>
          </w:tcPr>
          <w:p>
            <w:pPr>
              <w:adjustRightInd w:val="0"/>
              <w:snapToGrid w:val="0"/>
              <w:jc w:val="center"/>
              <w:rPr>
                <w:szCs w:val="21"/>
              </w:rPr>
            </w:pPr>
            <w:r>
              <w:rPr>
                <w:szCs w:val="21"/>
              </w:rPr>
              <w:t>0.1</w:t>
            </w:r>
          </w:p>
        </w:tc>
        <w:tc>
          <w:tcPr>
            <w:tcW w:w="702" w:type="dxa"/>
            <w:vAlign w:val="center"/>
          </w:tcPr>
          <w:p>
            <w:pPr>
              <w:adjustRightInd w:val="0"/>
              <w:snapToGrid w:val="0"/>
              <w:jc w:val="center"/>
              <w:rPr>
                <w:szCs w:val="21"/>
              </w:rPr>
            </w:pPr>
            <w:r>
              <w:rPr>
                <w:szCs w:val="21"/>
              </w:rPr>
              <w:t>1.0</w:t>
            </w:r>
          </w:p>
        </w:tc>
        <w:tc>
          <w:tcPr>
            <w:tcW w:w="681" w:type="dxa"/>
            <w:vAlign w:val="center"/>
          </w:tcPr>
          <w:p>
            <w:pPr>
              <w:adjustRightInd w:val="0"/>
              <w:snapToGrid w:val="0"/>
              <w:jc w:val="center"/>
              <w:rPr>
                <w:szCs w:val="21"/>
              </w:rPr>
            </w:pPr>
            <w:r>
              <w:rPr>
                <w:szCs w:val="21"/>
              </w:rPr>
              <w:t>5</w:t>
            </w:r>
          </w:p>
        </w:tc>
        <w:tc>
          <w:tcPr>
            <w:tcW w:w="702" w:type="dxa"/>
            <w:vAlign w:val="center"/>
          </w:tcPr>
          <w:p>
            <w:pPr>
              <w:adjustRightInd w:val="0"/>
              <w:snapToGrid w:val="0"/>
              <w:jc w:val="center"/>
              <w:rPr>
                <w:szCs w:val="21"/>
              </w:rPr>
            </w:pPr>
            <w:r>
              <w:rPr>
                <w:szCs w:val="21"/>
              </w:rPr>
              <w:t>15</w:t>
            </w:r>
          </w:p>
        </w:tc>
        <w:tc>
          <w:tcPr>
            <w:tcW w:w="702" w:type="dxa"/>
            <w:vAlign w:val="center"/>
          </w:tcPr>
          <w:p>
            <w:pPr>
              <w:adjustRightInd w:val="0"/>
              <w:snapToGrid w:val="0"/>
              <w:jc w:val="center"/>
              <w:rPr>
                <w:szCs w:val="21"/>
              </w:rPr>
            </w:pPr>
            <w:r>
              <w:rPr>
                <w:szCs w:val="21"/>
              </w:rPr>
              <w:t>5</w:t>
            </w:r>
          </w:p>
        </w:tc>
        <w:tc>
          <w:tcPr>
            <w:tcW w:w="676" w:type="dxa"/>
            <w:vAlign w:val="center"/>
          </w:tcPr>
          <w:p>
            <w:pPr>
              <w:adjustRightInd w:val="0"/>
              <w:snapToGrid w:val="0"/>
              <w:jc w:val="center"/>
              <w:rPr>
                <w:szCs w:val="21"/>
              </w:rPr>
            </w:pPr>
            <w:r>
              <w:rPr>
                <w:szCs w:val="21"/>
              </w:rPr>
              <w:t>100</w:t>
            </w:r>
          </w:p>
        </w:tc>
        <w:tc>
          <w:tcPr>
            <w:tcW w:w="676" w:type="dxa"/>
            <w:vAlign w:val="center"/>
          </w:tcPr>
          <w:p>
            <w:pPr>
              <w:adjustRightInd w:val="0"/>
              <w:snapToGrid w:val="0"/>
              <w:jc w:val="center"/>
              <w:rPr>
                <w:szCs w:val="21"/>
              </w:rPr>
            </w:pPr>
            <w:r>
              <w:rPr>
                <w:szCs w:val="21"/>
              </w:rPr>
              <w:t>100</w:t>
            </w:r>
          </w:p>
        </w:tc>
        <w:tc>
          <w:tcPr>
            <w:tcW w:w="682" w:type="dxa"/>
            <w:vAlign w:val="center"/>
          </w:tcPr>
          <w:p>
            <w:pPr>
              <w:adjustRightInd w:val="0"/>
              <w:snapToGrid w:val="0"/>
              <w:jc w:val="center"/>
              <w:rPr>
                <w:szCs w:val="21"/>
              </w:rPr>
            </w:pPr>
            <w:r>
              <w:rPr>
                <w:szCs w:val="21"/>
              </w:rPr>
              <w:t>5</w:t>
            </w:r>
          </w:p>
        </w:tc>
        <w:tc>
          <w:tcPr>
            <w:tcW w:w="512" w:type="dxa"/>
            <w:vAlign w:val="center"/>
          </w:tcPr>
          <w:p>
            <w:pPr>
              <w:adjustRightInd w:val="0"/>
              <w:snapToGrid w:val="0"/>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48" w:type="dxa"/>
            <w:vAlign w:val="center"/>
          </w:tcPr>
          <w:p>
            <w:pPr>
              <w:adjustRightInd w:val="0"/>
              <w:snapToGrid w:val="0"/>
              <w:jc w:val="center"/>
              <w:rPr>
                <w:szCs w:val="21"/>
              </w:rPr>
            </w:pPr>
            <w:r>
              <w:rPr>
                <w:szCs w:val="21"/>
              </w:rPr>
              <w:t>GB8978-1996</w:t>
            </w:r>
          </w:p>
          <w:p>
            <w:pPr>
              <w:adjustRightInd w:val="0"/>
              <w:snapToGrid w:val="0"/>
              <w:jc w:val="center"/>
              <w:rPr>
                <w:szCs w:val="21"/>
              </w:rPr>
            </w:pPr>
            <w:r>
              <w:rPr>
                <w:szCs w:val="21"/>
              </w:rPr>
              <w:t>最高允许浓度</w:t>
            </w:r>
          </w:p>
        </w:tc>
        <w:tc>
          <w:tcPr>
            <w:tcW w:w="612" w:type="dxa"/>
            <w:vAlign w:val="center"/>
          </w:tcPr>
          <w:p>
            <w:pPr>
              <w:adjustRightInd w:val="0"/>
              <w:snapToGrid w:val="0"/>
              <w:jc w:val="center"/>
              <w:rPr>
                <w:szCs w:val="21"/>
              </w:rPr>
            </w:pPr>
            <w:r>
              <w:rPr>
                <w:szCs w:val="21"/>
              </w:rPr>
              <w:t>6~9</w:t>
            </w:r>
          </w:p>
        </w:tc>
        <w:tc>
          <w:tcPr>
            <w:tcW w:w="749" w:type="dxa"/>
            <w:vAlign w:val="center"/>
          </w:tcPr>
          <w:p>
            <w:pPr>
              <w:adjustRightInd w:val="0"/>
              <w:snapToGrid w:val="0"/>
              <w:jc w:val="center"/>
              <w:rPr>
                <w:szCs w:val="21"/>
              </w:rPr>
            </w:pPr>
            <w:r>
              <w:rPr>
                <w:szCs w:val="21"/>
              </w:rPr>
              <w:t>0.05</w:t>
            </w:r>
          </w:p>
        </w:tc>
        <w:tc>
          <w:tcPr>
            <w:tcW w:w="702" w:type="dxa"/>
            <w:vAlign w:val="center"/>
          </w:tcPr>
          <w:p>
            <w:pPr>
              <w:adjustRightInd w:val="0"/>
              <w:snapToGrid w:val="0"/>
              <w:jc w:val="center"/>
              <w:rPr>
                <w:szCs w:val="21"/>
              </w:rPr>
            </w:pPr>
            <w:r>
              <w:rPr>
                <w:szCs w:val="21"/>
              </w:rPr>
              <w:t>0.1</w:t>
            </w:r>
          </w:p>
        </w:tc>
        <w:tc>
          <w:tcPr>
            <w:tcW w:w="681" w:type="dxa"/>
            <w:vAlign w:val="center"/>
          </w:tcPr>
          <w:p>
            <w:pPr>
              <w:adjustRightInd w:val="0"/>
              <w:snapToGrid w:val="0"/>
              <w:jc w:val="center"/>
              <w:rPr>
                <w:szCs w:val="21"/>
              </w:rPr>
            </w:pPr>
            <w:r>
              <w:rPr>
                <w:szCs w:val="21"/>
              </w:rPr>
              <w:t>0.5</w:t>
            </w:r>
          </w:p>
        </w:tc>
        <w:tc>
          <w:tcPr>
            <w:tcW w:w="702" w:type="dxa"/>
            <w:vAlign w:val="center"/>
          </w:tcPr>
          <w:p>
            <w:pPr>
              <w:adjustRightInd w:val="0"/>
              <w:snapToGrid w:val="0"/>
              <w:jc w:val="center"/>
              <w:rPr>
                <w:szCs w:val="21"/>
              </w:rPr>
            </w:pPr>
            <w:r>
              <w:rPr>
                <w:szCs w:val="21"/>
              </w:rPr>
              <w:t>1.5</w:t>
            </w:r>
          </w:p>
        </w:tc>
        <w:tc>
          <w:tcPr>
            <w:tcW w:w="702" w:type="dxa"/>
            <w:vAlign w:val="center"/>
          </w:tcPr>
          <w:p>
            <w:pPr>
              <w:adjustRightInd w:val="0"/>
              <w:snapToGrid w:val="0"/>
              <w:jc w:val="center"/>
              <w:rPr>
                <w:szCs w:val="21"/>
              </w:rPr>
            </w:pPr>
            <w:r>
              <w:rPr>
                <w:szCs w:val="21"/>
              </w:rPr>
              <w:t>1.0</w:t>
            </w:r>
          </w:p>
        </w:tc>
        <w:tc>
          <w:tcPr>
            <w:tcW w:w="676" w:type="dxa"/>
            <w:vAlign w:val="center"/>
          </w:tcPr>
          <w:p>
            <w:pPr>
              <w:adjustRightInd w:val="0"/>
              <w:snapToGrid w:val="0"/>
              <w:jc w:val="center"/>
              <w:rPr>
                <w:szCs w:val="21"/>
              </w:rPr>
            </w:pPr>
            <w:r>
              <w:rPr>
                <w:szCs w:val="21"/>
              </w:rPr>
              <w:t>1.0</w:t>
            </w:r>
          </w:p>
        </w:tc>
        <w:tc>
          <w:tcPr>
            <w:tcW w:w="676" w:type="dxa"/>
            <w:vAlign w:val="center"/>
          </w:tcPr>
          <w:p>
            <w:pPr>
              <w:adjustRightInd w:val="0"/>
              <w:snapToGrid w:val="0"/>
              <w:jc w:val="center"/>
              <w:rPr>
                <w:szCs w:val="21"/>
              </w:rPr>
            </w:pPr>
            <w:r>
              <w:rPr>
                <w:szCs w:val="21"/>
              </w:rPr>
              <w:t>5.0</w:t>
            </w:r>
          </w:p>
        </w:tc>
        <w:tc>
          <w:tcPr>
            <w:tcW w:w="682" w:type="dxa"/>
            <w:vAlign w:val="center"/>
          </w:tcPr>
          <w:p>
            <w:pPr>
              <w:adjustRightInd w:val="0"/>
              <w:snapToGrid w:val="0"/>
              <w:jc w:val="center"/>
              <w:rPr>
                <w:szCs w:val="21"/>
              </w:rPr>
            </w:pPr>
            <w:r>
              <w:rPr>
                <w:szCs w:val="21"/>
              </w:rPr>
              <w:t>0.5</w:t>
            </w:r>
          </w:p>
        </w:tc>
        <w:tc>
          <w:tcPr>
            <w:tcW w:w="512" w:type="dxa"/>
            <w:vAlign w:val="center"/>
          </w:tcPr>
          <w:p>
            <w:pPr>
              <w:adjustRightInd w:val="0"/>
              <w:snapToGrid w:val="0"/>
              <w:jc w:val="center"/>
              <w:rPr>
                <w:szCs w:val="21"/>
              </w:rPr>
            </w:pPr>
            <w:r>
              <w:rPr>
                <w:szCs w:val="21"/>
              </w:rPr>
              <w:t>10</w:t>
            </w:r>
          </w:p>
        </w:tc>
      </w:tr>
    </w:tbl>
    <w:p>
      <w:pPr>
        <w:adjustRightInd w:val="0"/>
        <w:snapToGrid w:val="0"/>
        <w:spacing w:beforeLines="50" w:line="360" w:lineRule="auto"/>
        <w:ind w:firstLine="480" w:firstLineChars="200"/>
        <w:rPr>
          <w:sz w:val="24"/>
        </w:rPr>
      </w:pPr>
      <w:r>
        <w:rPr>
          <w:sz w:val="24"/>
        </w:rPr>
        <w:t>由表5.6-2知，尾矿渣浸出液中各项有毒有害元素浓度均低于《危险废物鉴别标准-浸出毒性鉴别》（GB5085.3-2007）中规定的限值要求，且pH在6~9之间，污染物浓度均未超过GB8978-1996最高允许排放浓度，根据《一般工业固体废物贮存、处置场污染控制标准》（GB18599-2001）中有关规定，该尾矿渣属于第Ⅰ类一般工业固体废弃物，其堆场应为Ⅰ类场地。</w:t>
      </w:r>
    </w:p>
    <w:p>
      <w:pPr>
        <w:pStyle w:val="10"/>
        <w:spacing w:line="360" w:lineRule="auto"/>
        <w:rPr>
          <w:rFonts w:ascii="Times New Roman" w:hAnsi="Times New Roman"/>
        </w:rPr>
      </w:pPr>
      <w:bookmarkStart w:id="612" w:name="_Toc420663707"/>
      <w:r>
        <w:rPr>
          <w:rFonts w:ascii="Times New Roman" w:hAnsi="Times New Roman"/>
        </w:rPr>
        <w:t>5.6.2 固体废弃物排放对环境影响分析</w:t>
      </w:r>
      <w:bookmarkEnd w:id="609"/>
      <w:bookmarkEnd w:id="610"/>
      <w:bookmarkEnd w:id="611"/>
      <w:bookmarkEnd w:id="612"/>
    </w:p>
    <w:p>
      <w:pPr>
        <w:pStyle w:val="5"/>
        <w:rPr>
          <w:rFonts w:ascii="Times New Roman" w:hAnsi="Times New Roman"/>
        </w:rPr>
      </w:pPr>
      <w:r>
        <w:rPr>
          <w:rFonts w:ascii="Times New Roman" w:hAnsi="Times New Roman"/>
        </w:rPr>
        <w:t>5.6.2.1废石排放对环境影响分析</w:t>
      </w:r>
    </w:p>
    <w:p>
      <w:pPr>
        <w:spacing w:line="360" w:lineRule="auto"/>
        <w:ind w:firstLine="480" w:firstLineChars="200"/>
        <w:rPr>
          <w:sz w:val="24"/>
        </w:rPr>
      </w:pPr>
      <w:r>
        <w:rPr>
          <w:sz w:val="24"/>
        </w:rPr>
        <w:t>（1）采矿废石的处置</w:t>
      </w:r>
    </w:p>
    <w:p>
      <w:pPr>
        <w:pStyle w:val="26"/>
        <w:spacing w:line="360" w:lineRule="auto"/>
        <w:ind w:firstLine="480" w:firstLineChars="200"/>
        <w:rPr>
          <w:rFonts w:ascii="Times New Roman" w:hAnsi="Times New Roman"/>
          <w:sz w:val="24"/>
          <w:szCs w:val="24"/>
        </w:rPr>
      </w:pPr>
      <w:r>
        <w:rPr>
          <w:rFonts w:ascii="Times New Roman" w:hAnsi="Times New Roman"/>
          <w:sz w:val="24"/>
          <w:szCs w:val="24"/>
        </w:rPr>
        <w:t>该工程营运期固体废物主要为采矿废石及生产工人生活垃圾。</w:t>
      </w:r>
    </w:p>
    <w:p>
      <w:pPr>
        <w:spacing w:line="360" w:lineRule="auto"/>
        <w:ind w:firstLine="488" w:firstLineChars="200"/>
        <w:rPr>
          <w:spacing w:val="2"/>
          <w:sz w:val="24"/>
        </w:rPr>
      </w:pPr>
      <w:r>
        <w:rPr>
          <w:rFonts w:hint="eastAsia"/>
          <w:spacing w:val="2"/>
          <w:sz w:val="24"/>
        </w:rPr>
        <w:t>根据</w:t>
      </w:r>
      <w:r>
        <w:rPr>
          <w:spacing w:val="2"/>
          <w:sz w:val="24"/>
        </w:rPr>
        <w:t>原设计及环评批复</w:t>
      </w:r>
      <w:r>
        <w:rPr>
          <w:rFonts w:hint="eastAsia"/>
          <w:spacing w:val="2"/>
          <w:sz w:val="24"/>
        </w:rPr>
        <w:t>，</w:t>
      </w:r>
      <w:r>
        <w:rPr>
          <w:spacing w:val="2"/>
          <w:sz w:val="24"/>
        </w:rPr>
        <w:t>本次扩建工程依托现有工程已建废石场</w:t>
      </w:r>
      <w:r>
        <w:rPr>
          <w:rFonts w:hint="eastAsia"/>
          <w:spacing w:val="2"/>
          <w:sz w:val="24"/>
        </w:rPr>
        <w:t>，</w:t>
      </w:r>
      <w:r>
        <w:rPr>
          <w:spacing w:val="2"/>
          <w:sz w:val="24"/>
        </w:rPr>
        <w:t>原20t/a采矿项目主竖井配套废石场，</w:t>
      </w:r>
      <w:r>
        <w:rPr>
          <w:sz w:val="24"/>
        </w:rPr>
        <w:t>位于主井工业广场下方边坡，废石沿着山坡堆积，坡低修筑有拦渣坝。废石堆场占地面积124300m</w:t>
      </w:r>
      <w:r>
        <w:rPr>
          <w:sz w:val="24"/>
          <w:vertAlign w:val="superscript"/>
        </w:rPr>
        <w:t>2</w:t>
      </w:r>
      <w:r>
        <w:rPr>
          <w:sz w:val="24"/>
        </w:rPr>
        <w:t>，堆高10m左右，可容纳124.3万m</w:t>
      </w:r>
      <w:r>
        <w:rPr>
          <w:sz w:val="24"/>
          <w:vertAlign w:val="superscript"/>
        </w:rPr>
        <w:t>3</w:t>
      </w:r>
      <w:r>
        <w:rPr>
          <w:sz w:val="24"/>
        </w:rPr>
        <w:t>废石。目前已经堆存废石近26万m</w:t>
      </w:r>
      <w:r>
        <w:rPr>
          <w:sz w:val="24"/>
          <w:vertAlign w:val="superscript"/>
        </w:rPr>
        <w:t>3</w:t>
      </w:r>
      <w:r>
        <w:rPr>
          <w:sz w:val="24"/>
        </w:rPr>
        <w:t>，剩余库容98.3万m</w:t>
      </w:r>
      <w:r>
        <w:rPr>
          <w:sz w:val="24"/>
          <w:vertAlign w:val="superscript"/>
        </w:rPr>
        <w:t>3</w:t>
      </w:r>
      <w:r>
        <w:rPr>
          <w:sz w:val="24"/>
        </w:rPr>
        <w:t>，可满足本项目废石堆存需求。</w:t>
      </w:r>
      <w:r>
        <w:rPr>
          <w:spacing w:val="2"/>
          <w:sz w:val="24"/>
        </w:rPr>
        <w:t>废石场按照环评批复在下游设置2m高240m挡渣墙，并在挡渣墙下游设置了排水沟(33cm*33cm)和20m</w:t>
      </w:r>
      <w:r>
        <w:rPr>
          <w:spacing w:val="2"/>
          <w:sz w:val="24"/>
          <w:vertAlign w:val="superscript"/>
        </w:rPr>
        <w:t>3</w:t>
      </w:r>
      <w:r>
        <w:rPr>
          <w:spacing w:val="2"/>
          <w:sz w:val="24"/>
        </w:rPr>
        <w:t>初期雨水沉淀池。</w:t>
      </w:r>
    </w:p>
    <w:p>
      <w:pPr>
        <w:spacing w:line="360" w:lineRule="auto"/>
        <w:ind w:firstLine="488"/>
        <w:rPr>
          <w:spacing w:val="2"/>
          <w:sz w:val="24"/>
        </w:rPr>
      </w:pPr>
      <w:r>
        <w:rPr>
          <w:spacing w:val="2"/>
          <w:sz w:val="24"/>
        </w:rPr>
        <w:t>生活垃圾7.5t/a,</w:t>
      </w:r>
      <w:r>
        <w:rPr>
          <w:sz w:val="24"/>
          <w:lang w:val="zh-CN"/>
        </w:rPr>
        <w:t xml:space="preserve"> 经3座12m</w:t>
      </w:r>
      <w:r>
        <w:rPr>
          <w:sz w:val="24"/>
          <w:vertAlign w:val="superscript"/>
          <w:lang w:val="zh-CN"/>
        </w:rPr>
        <w:t>3</w:t>
      </w:r>
      <w:r>
        <w:rPr>
          <w:sz w:val="24"/>
          <w:lang w:val="zh-CN"/>
        </w:rPr>
        <w:t>垃圾池和30个移动式垃圾桶统一收集后定期运至</w:t>
      </w:r>
      <w:r>
        <w:rPr>
          <w:spacing w:val="2"/>
          <w:sz w:val="24"/>
        </w:rPr>
        <w:t>朱阳镇环卫部门处置。</w:t>
      </w:r>
    </w:p>
    <w:p>
      <w:pPr>
        <w:pStyle w:val="26"/>
        <w:spacing w:line="360" w:lineRule="auto"/>
        <w:rPr>
          <w:rFonts w:ascii="Times New Roman" w:hAnsi="Times New Roman"/>
          <w:bCs/>
          <w:sz w:val="24"/>
        </w:rPr>
      </w:pPr>
      <w:r>
        <w:rPr>
          <w:rFonts w:ascii="Times New Roman" w:hAnsi="Times New Roman"/>
          <w:bCs/>
          <w:sz w:val="24"/>
        </w:rPr>
        <w:t xml:space="preserve">    由此可知，本项目固废均得到了合理的处置</w:t>
      </w:r>
    </w:p>
    <w:p>
      <w:pPr>
        <w:pStyle w:val="26"/>
        <w:spacing w:line="360" w:lineRule="auto"/>
        <w:rPr>
          <w:rFonts w:ascii="Times New Roman" w:hAnsi="Times New Roman"/>
          <w:sz w:val="24"/>
        </w:rPr>
      </w:pPr>
      <w:r>
        <w:rPr>
          <w:rFonts w:ascii="Times New Roman" w:hAnsi="Times New Roman"/>
          <w:bCs/>
          <w:sz w:val="24"/>
        </w:rPr>
        <w:t xml:space="preserve">   </w:t>
      </w:r>
      <w:r>
        <w:rPr>
          <w:rFonts w:ascii="Times New Roman" w:hAnsi="Times New Roman"/>
          <w:sz w:val="24"/>
        </w:rPr>
        <w:t>（2）对地表水的影响</w:t>
      </w:r>
    </w:p>
    <w:p>
      <w:pPr>
        <w:spacing w:line="360" w:lineRule="auto"/>
        <w:ind w:firstLine="480" w:firstLineChars="200"/>
        <w:rPr>
          <w:sz w:val="24"/>
        </w:rPr>
      </w:pPr>
      <w:r>
        <w:rPr>
          <w:sz w:val="24"/>
        </w:rPr>
        <w:t>本项目废石均设置有沉淀池收集废石场内雨水，并定期测定淋溶水pH值，如发现酸化情况及时投机石灰乳调节，根据废石浸出试验的监测结果（见表5.6-1），对照《危险废物鉴别标准—浸出毒性鉴别》（GB5085.3-2007）和《国家危险废物名录》可知，其危害成分含量低，均未超过标准要求，可以判定废矿石为第Ⅰ类一般工业固体废物。地表水检测结果表明，废石污染特征因子地表水检测结果均满足《地表水环境质量标准》（GB3838-2002）</w:t>
      </w: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类标准要求，与环评期间差别不大，并未地表水造成超标影响。</w:t>
      </w:r>
    </w:p>
    <w:p>
      <w:pPr>
        <w:spacing w:line="360" w:lineRule="auto"/>
        <w:ind w:firstLine="480" w:firstLineChars="200"/>
        <w:rPr>
          <w:sz w:val="24"/>
        </w:rPr>
      </w:pPr>
      <w:r>
        <w:rPr>
          <w:sz w:val="24"/>
        </w:rPr>
        <w:t>（3）对大气环境的影响</w:t>
      </w:r>
    </w:p>
    <w:p>
      <w:pPr>
        <w:spacing w:line="360" w:lineRule="auto"/>
        <w:ind w:firstLine="480" w:firstLineChars="200"/>
        <w:rPr>
          <w:sz w:val="24"/>
        </w:rPr>
      </w:pPr>
      <w:r>
        <w:rPr>
          <w:sz w:val="24"/>
        </w:rPr>
        <w:t>该项目废石场在有风时会形成一定的扬尘，但因受山体的阻隔作用，加上洒水抑尘措施，且废石场周围1000m范围内无敏感点分布，</w:t>
      </w:r>
      <w:r>
        <w:rPr>
          <w:sz w:val="24"/>
          <w:lang w:val="zh-CN"/>
        </w:rPr>
        <w:t>根据灵宝市环境监测站于</w:t>
      </w:r>
      <w:r>
        <w:rPr>
          <w:spacing w:val="2"/>
          <w:sz w:val="24"/>
        </w:rPr>
        <w:t>2016年8月25日~8月26日对大村和黑山村监测结果表明，TSP浓度可满足《环境空气质量标准》（GB3095-2012）二级标准限值要求，项目粉尘未对周围敏感点造成超标影响。</w:t>
      </w:r>
      <w:r>
        <w:rPr>
          <w:sz w:val="24"/>
        </w:rPr>
        <w:t>因此，本项目采矿工程产生的废气污染物对环境影响很小。</w:t>
      </w:r>
    </w:p>
    <w:p>
      <w:pPr>
        <w:spacing w:line="360" w:lineRule="auto"/>
        <w:ind w:firstLine="480" w:firstLineChars="200"/>
        <w:rPr>
          <w:sz w:val="24"/>
        </w:rPr>
      </w:pPr>
      <w:r>
        <w:rPr>
          <w:sz w:val="24"/>
        </w:rPr>
        <w:t>（4）对地下水的影响</w:t>
      </w:r>
    </w:p>
    <w:p>
      <w:pPr>
        <w:spacing w:line="360" w:lineRule="auto"/>
        <w:ind w:firstLine="480" w:firstLineChars="200"/>
        <w:rPr>
          <w:sz w:val="24"/>
        </w:rPr>
      </w:pPr>
      <w:r>
        <w:rPr>
          <w:sz w:val="24"/>
        </w:rPr>
        <w:t>根据本次验收废石浸出试验结果可知，尾矿为第Ⅰ类一般工业固体废物，其堆放为Ⅰ类场，不需防渗。根据本次验收灵宝检测站对地下水监测结果，地下水水质能够满足《地下水环境质量标准》（GB/T14848-93）</w:t>
      </w: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类标准限制要求，说明废石堆存未对地下水造成超标影响。</w:t>
      </w:r>
    </w:p>
    <w:p>
      <w:pPr>
        <w:pStyle w:val="5"/>
        <w:rPr>
          <w:rFonts w:ascii="Times New Roman" w:hAnsi="Times New Roman"/>
        </w:rPr>
      </w:pPr>
      <w:r>
        <w:rPr>
          <w:rFonts w:ascii="Times New Roman" w:hAnsi="Times New Roman"/>
        </w:rPr>
        <w:t>5.6.2.2尾矿排放环境影响分析</w:t>
      </w:r>
    </w:p>
    <w:p>
      <w:pPr>
        <w:spacing w:line="360" w:lineRule="auto"/>
        <w:rPr>
          <w:sz w:val="24"/>
        </w:rPr>
      </w:pPr>
      <w:r>
        <w:rPr>
          <w:sz w:val="24"/>
        </w:rPr>
        <w:t xml:space="preserve">    （1）对地表水的影响</w:t>
      </w:r>
    </w:p>
    <w:p>
      <w:pPr>
        <w:spacing w:line="360" w:lineRule="auto"/>
        <w:ind w:firstLine="480" w:firstLineChars="200"/>
        <w:rPr>
          <w:kern w:val="0"/>
          <w:sz w:val="24"/>
        </w:rPr>
      </w:pPr>
      <w:r>
        <w:rPr>
          <w:kern w:val="0"/>
          <w:sz w:val="24"/>
        </w:rPr>
        <w:t>Ⅰ正常情况下尾矿水对地表水环境影响分析</w:t>
      </w:r>
    </w:p>
    <w:p>
      <w:pPr>
        <w:spacing w:line="360" w:lineRule="auto"/>
        <w:ind w:firstLine="480" w:firstLineChars="200"/>
        <w:rPr>
          <w:kern w:val="0"/>
          <w:sz w:val="24"/>
        </w:rPr>
        <w:sectPr>
          <w:pgSz w:w="11906" w:h="16838"/>
          <w:pgMar w:top="1440" w:right="1797" w:bottom="1440" w:left="1797" w:header="851" w:footer="992" w:gutter="0"/>
          <w:cols w:space="425" w:num="1"/>
          <w:docGrid w:linePitch="312" w:charSpace="0"/>
        </w:sectPr>
      </w:pPr>
      <w:r>
        <w:rPr>
          <w:kern w:val="0"/>
          <w:sz w:val="24"/>
        </w:rPr>
        <w:t>本项目尾矿库澄清水通过回水池收集后，排入尾矿库下游40t/h废水处理站调节pH后，絮凝沉淀处理后返回选厂生产使用。根据灵宝环境监测站2016年8月25～27日对尾矿废水处理系统出水口水质进行监测，监测结果见表5.6-3。</w:t>
      </w:r>
    </w:p>
    <w:p>
      <w:pPr>
        <w:adjustRightInd w:val="0"/>
        <w:snapToGrid w:val="0"/>
        <w:ind w:firstLine="440" w:firstLineChars="200"/>
        <w:rPr>
          <w:rFonts w:eastAsia="黑体"/>
          <w:kern w:val="0"/>
          <w:sz w:val="22"/>
          <w:szCs w:val="22"/>
        </w:rPr>
      </w:pPr>
      <w:r>
        <w:rPr>
          <w:rFonts w:eastAsia="黑体"/>
          <w:kern w:val="0"/>
          <w:sz w:val="22"/>
          <w:szCs w:val="22"/>
        </w:rPr>
        <w:t>表5.6-3                                      尾矿废水处理系统出水口水质监测结果</w:t>
      </w:r>
    </w:p>
    <w:tbl>
      <w:tblPr>
        <w:tblStyle w:val="54"/>
        <w:tblW w:w="1417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422"/>
        <w:gridCol w:w="966"/>
        <w:gridCol w:w="725"/>
        <w:gridCol w:w="726"/>
        <w:gridCol w:w="726"/>
        <w:gridCol w:w="726"/>
        <w:gridCol w:w="726"/>
        <w:gridCol w:w="726"/>
        <w:gridCol w:w="726"/>
        <w:gridCol w:w="726"/>
        <w:gridCol w:w="726"/>
        <w:gridCol w:w="726"/>
        <w:gridCol w:w="726"/>
        <w:gridCol w:w="726"/>
        <w:gridCol w:w="726"/>
        <w:gridCol w:w="794"/>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671" w:type="dxa"/>
            <w:vAlign w:val="center"/>
          </w:tcPr>
          <w:p>
            <w:pPr>
              <w:adjustRightInd w:val="0"/>
              <w:snapToGrid w:val="0"/>
              <w:jc w:val="center"/>
              <w:rPr>
                <w:spacing w:val="-20"/>
                <w:sz w:val="20"/>
                <w:szCs w:val="20"/>
              </w:rPr>
            </w:pPr>
            <w:r>
              <w:rPr>
                <w:sz w:val="20"/>
                <w:szCs w:val="20"/>
              </w:rPr>
              <w:t>采样位置</w:t>
            </w:r>
          </w:p>
        </w:tc>
        <w:tc>
          <w:tcPr>
            <w:tcW w:w="1422" w:type="dxa"/>
            <w:vAlign w:val="center"/>
          </w:tcPr>
          <w:p>
            <w:pPr>
              <w:adjustRightInd w:val="0"/>
              <w:snapToGrid w:val="0"/>
              <w:jc w:val="center"/>
              <w:rPr>
                <w:sz w:val="20"/>
                <w:szCs w:val="20"/>
              </w:rPr>
            </w:pPr>
            <w:r>
              <w:rPr>
                <w:sz w:val="20"/>
                <w:szCs w:val="20"/>
              </w:rPr>
              <w:t>监测日期</w:t>
            </w:r>
          </w:p>
        </w:tc>
        <w:tc>
          <w:tcPr>
            <w:tcW w:w="966" w:type="dxa"/>
            <w:vAlign w:val="center"/>
          </w:tcPr>
          <w:p>
            <w:pPr>
              <w:adjustRightInd w:val="0"/>
              <w:snapToGrid w:val="0"/>
              <w:jc w:val="center"/>
              <w:rPr>
                <w:sz w:val="20"/>
                <w:szCs w:val="20"/>
              </w:rPr>
            </w:pPr>
            <w:r>
              <w:rPr>
                <w:sz w:val="20"/>
                <w:szCs w:val="20"/>
              </w:rPr>
              <w:t>pH</w:t>
            </w:r>
          </w:p>
        </w:tc>
        <w:tc>
          <w:tcPr>
            <w:tcW w:w="725" w:type="dxa"/>
            <w:vAlign w:val="center"/>
          </w:tcPr>
          <w:p>
            <w:pPr>
              <w:adjustRightInd w:val="0"/>
              <w:snapToGrid w:val="0"/>
              <w:jc w:val="center"/>
              <w:rPr>
                <w:spacing w:val="-4"/>
                <w:sz w:val="20"/>
                <w:szCs w:val="20"/>
              </w:rPr>
            </w:pPr>
            <w:r>
              <w:rPr>
                <w:spacing w:val="-4"/>
                <w:sz w:val="20"/>
                <w:szCs w:val="20"/>
              </w:rPr>
              <w:t>悬浮物</w:t>
            </w:r>
          </w:p>
        </w:tc>
        <w:tc>
          <w:tcPr>
            <w:tcW w:w="726" w:type="dxa"/>
            <w:vAlign w:val="center"/>
          </w:tcPr>
          <w:p>
            <w:pPr>
              <w:adjustRightInd w:val="0"/>
              <w:snapToGrid w:val="0"/>
              <w:jc w:val="center"/>
              <w:rPr>
                <w:spacing w:val="-4"/>
                <w:sz w:val="20"/>
                <w:szCs w:val="20"/>
              </w:rPr>
            </w:pPr>
            <w:r>
              <w:rPr>
                <w:spacing w:val="-4"/>
                <w:sz w:val="20"/>
                <w:szCs w:val="20"/>
              </w:rPr>
              <w:t>化学 需氧量</w:t>
            </w:r>
          </w:p>
        </w:tc>
        <w:tc>
          <w:tcPr>
            <w:tcW w:w="726" w:type="dxa"/>
            <w:vAlign w:val="center"/>
          </w:tcPr>
          <w:p>
            <w:pPr>
              <w:adjustRightInd w:val="0"/>
              <w:snapToGrid w:val="0"/>
              <w:jc w:val="center"/>
              <w:rPr>
                <w:spacing w:val="-4"/>
                <w:sz w:val="20"/>
                <w:szCs w:val="20"/>
              </w:rPr>
            </w:pPr>
            <w:r>
              <w:rPr>
                <w:spacing w:val="-4"/>
                <w:sz w:val="20"/>
                <w:szCs w:val="20"/>
              </w:rPr>
              <w:t>氨氮</w:t>
            </w:r>
          </w:p>
        </w:tc>
        <w:tc>
          <w:tcPr>
            <w:tcW w:w="726" w:type="dxa"/>
            <w:vAlign w:val="center"/>
          </w:tcPr>
          <w:p>
            <w:pPr>
              <w:adjustRightInd w:val="0"/>
              <w:snapToGrid w:val="0"/>
              <w:jc w:val="center"/>
              <w:rPr>
                <w:spacing w:val="-4"/>
                <w:sz w:val="20"/>
                <w:szCs w:val="20"/>
              </w:rPr>
            </w:pPr>
            <w:r>
              <w:rPr>
                <w:spacing w:val="-4"/>
                <w:sz w:val="20"/>
                <w:szCs w:val="20"/>
              </w:rPr>
              <w:t>生化 需氧量</w:t>
            </w:r>
          </w:p>
        </w:tc>
        <w:tc>
          <w:tcPr>
            <w:tcW w:w="726" w:type="dxa"/>
            <w:vAlign w:val="center"/>
          </w:tcPr>
          <w:p>
            <w:pPr>
              <w:adjustRightInd w:val="0"/>
              <w:snapToGrid w:val="0"/>
              <w:jc w:val="center"/>
              <w:rPr>
                <w:spacing w:val="-4"/>
                <w:sz w:val="20"/>
                <w:szCs w:val="20"/>
              </w:rPr>
            </w:pPr>
            <w:r>
              <w:rPr>
                <w:spacing w:val="-4"/>
                <w:sz w:val="20"/>
                <w:szCs w:val="20"/>
              </w:rPr>
              <w:t>氟化物</w:t>
            </w:r>
          </w:p>
        </w:tc>
        <w:tc>
          <w:tcPr>
            <w:tcW w:w="726" w:type="dxa"/>
            <w:vAlign w:val="center"/>
          </w:tcPr>
          <w:p>
            <w:pPr>
              <w:adjustRightInd w:val="0"/>
              <w:snapToGrid w:val="0"/>
              <w:jc w:val="center"/>
              <w:rPr>
                <w:spacing w:val="-4"/>
                <w:sz w:val="20"/>
                <w:szCs w:val="20"/>
              </w:rPr>
            </w:pPr>
            <w:r>
              <w:rPr>
                <w:spacing w:val="-4"/>
                <w:sz w:val="20"/>
                <w:szCs w:val="20"/>
              </w:rPr>
              <w:t>硫化物</w:t>
            </w:r>
          </w:p>
        </w:tc>
        <w:tc>
          <w:tcPr>
            <w:tcW w:w="726" w:type="dxa"/>
            <w:vAlign w:val="center"/>
          </w:tcPr>
          <w:p>
            <w:pPr>
              <w:adjustRightInd w:val="0"/>
              <w:snapToGrid w:val="0"/>
              <w:jc w:val="center"/>
              <w:rPr>
                <w:spacing w:val="-4"/>
                <w:sz w:val="20"/>
                <w:szCs w:val="20"/>
              </w:rPr>
            </w:pPr>
            <w:r>
              <w:rPr>
                <w:spacing w:val="-4"/>
                <w:sz w:val="20"/>
                <w:szCs w:val="20"/>
              </w:rPr>
              <w:t>石油类</w:t>
            </w:r>
          </w:p>
        </w:tc>
        <w:tc>
          <w:tcPr>
            <w:tcW w:w="726" w:type="dxa"/>
            <w:vAlign w:val="center"/>
          </w:tcPr>
          <w:p>
            <w:pPr>
              <w:adjustRightInd w:val="0"/>
              <w:snapToGrid w:val="0"/>
              <w:jc w:val="center"/>
              <w:rPr>
                <w:spacing w:val="-4"/>
                <w:sz w:val="20"/>
                <w:szCs w:val="20"/>
              </w:rPr>
            </w:pPr>
            <w:r>
              <w:rPr>
                <w:spacing w:val="-4"/>
                <w:sz w:val="20"/>
                <w:szCs w:val="20"/>
              </w:rPr>
              <w:t>六价铬</w:t>
            </w:r>
          </w:p>
        </w:tc>
        <w:tc>
          <w:tcPr>
            <w:tcW w:w="726" w:type="dxa"/>
            <w:vAlign w:val="center"/>
          </w:tcPr>
          <w:p>
            <w:pPr>
              <w:adjustRightInd w:val="0"/>
              <w:snapToGrid w:val="0"/>
              <w:jc w:val="center"/>
              <w:rPr>
                <w:spacing w:val="-4"/>
                <w:sz w:val="20"/>
                <w:szCs w:val="20"/>
              </w:rPr>
            </w:pPr>
            <w:r>
              <w:rPr>
                <w:spacing w:val="-4"/>
                <w:sz w:val="20"/>
                <w:szCs w:val="20"/>
              </w:rPr>
              <w:t>总铅</w:t>
            </w:r>
          </w:p>
        </w:tc>
        <w:tc>
          <w:tcPr>
            <w:tcW w:w="726" w:type="dxa"/>
            <w:vAlign w:val="center"/>
          </w:tcPr>
          <w:p>
            <w:pPr>
              <w:adjustRightInd w:val="0"/>
              <w:snapToGrid w:val="0"/>
              <w:jc w:val="center"/>
              <w:rPr>
                <w:spacing w:val="-4"/>
                <w:sz w:val="20"/>
                <w:szCs w:val="20"/>
              </w:rPr>
            </w:pPr>
            <w:r>
              <w:rPr>
                <w:spacing w:val="-4"/>
                <w:sz w:val="20"/>
                <w:szCs w:val="20"/>
              </w:rPr>
              <w:t>总镉</w:t>
            </w:r>
          </w:p>
        </w:tc>
        <w:tc>
          <w:tcPr>
            <w:tcW w:w="726" w:type="dxa"/>
            <w:vAlign w:val="center"/>
          </w:tcPr>
          <w:p>
            <w:pPr>
              <w:adjustRightInd w:val="0"/>
              <w:snapToGrid w:val="0"/>
              <w:jc w:val="center"/>
              <w:rPr>
                <w:spacing w:val="-4"/>
                <w:sz w:val="20"/>
                <w:szCs w:val="20"/>
              </w:rPr>
            </w:pPr>
            <w:r>
              <w:rPr>
                <w:spacing w:val="-4"/>
                <w:sz w:val="20"/>
                <w:szCs w:val="20"/>
              </w:rPr>
              <w:t>总铜</w:t>
            </w:r>
          </w:p>
        </w:tc>
        <w:tc>
          <w:tcPr>
            <w:tcW w:w="726" w:type="dxa"/>
            <w:vAlign w:val="center"/>
          </w:tcPr>
          <w:p>
            <w:pPr>
              <w:adjustRightInd w:val="0"/>
              <w:snapToGrid w:val="0"/>
              <w:jc w:val="center"/>
              <w:rPr>
                <w:spacing w:val="-4"/>
                <w:sz w:val="20"/>
                <w:szCs w:val="20"/>
              </w:rPr>
            </w:pPr>
            <w:r>
              <w:rPr>
                <w:spacing w:val="-4"/>
                <w:sz w:val="20"/>
                <w:szCs w:val="20"/>
              </w:rPr>
              <w:t>总锌</w:t>
            </w:r>
          </w:p>
        </w:tc>
        <w:tc>
          <w:tcPr>
            <w:tcW w:w="726" w:type="dxa"/>
            <w:vAlign w:val="center"/>
          </w:tcPr>
          <w:p>
            <w:pPr>
              <w:adjustRightInd w:val="0"/>
              <w:snapToGrid w:val="0"/>
              <w:jc w:val="center"/>
              <w:rPr>
                <w:spacing w:val="-4"/>
                <w:sz w:val="20"/>
                <w:szCs w:val="20"/>
              </w:rPr>
            </w:pPr>
            <w:r>
              <w:rPr>
                <w:spacing w:val="-4"/>
                <w:sz w:val="20"/>
                <w:szCs w:val="20"/>
              </w:rPr>
              <w:t>总铁</w:t>
            </w:r>
          </w:p>
        </w:tc>
        <w:tc>
          <w:tcPr>
            <w:tcW w:w="794" w:type="dxa"/>
            <w:vAlign w:val="center"/>
          </w:tcPr>
          <w:p>
            <w:pPr>
              <w:adjustRightInd w:val="0"/>
              <w:snapToGrid w:val="0"/>
              <w:jc w:val="center"/>
              <w:rPr>
                <w:spacing w:val="-4"/>
                <w:sz w:val="20"/>
                <w:szCs w:val="20"/>
              </w:rPr>
            </w:pPr>
            <w:r>
              <w:rPr>
                <w:spacing w:val="-4"/>
                <w:sz w:val="20"/>
                <w:szCs w:val="20"/>
              </w:rPr>
              <w:t>总砷</w:t>
            </w:r>
          </w:p>
        </w:tc>
        <w:tc>
          <w:tcPr>
            <w:tcW w:w="884" w:type="dxa"/>
            <w:vAlign w:val="center"/>
          </w:tcPr>
          <w:p>
            <w:pPr>
              <w:adjustRightInd w:val="0"/>
              <w:snapToGrid w:val="0"/>
              <w:jc w:val="center"/>
              <w:rPr>
                <w:spacing w:val="-4"/>
                <w:sz w:val="20"/>
                <w:szCs w:val="20"/>
              </w:rPr>
            </w:pPr>
            <w:r>
              <w:rPr>
                <w:spacing w:val="-4"/>
                <w:sz w:val="20"/>
                <w:szCs w:val="20"/>
              </w:rPr>
              <w:t>总汞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restart"/>
            <w:vAlign w:val="center"/>
          </w:tcPr>
          <w:p>
            <w:pPr>
              <w:adjustRightInd w:val="0"/>
              <w:snapToGrid w:val="0"/>
              <w:jc w:val="center"/>
              <w:rPr>
                <w:sz w:val="20"/>
                <w:szCs w:val="20"/>
              </w:rPr>
            </w:pPr>
            <w:r>
              <w:rPr>
                <w:sz w:val="20"/>
                <w:szCs w:val="20"/>
              </w:rPr>
              <w:t>尾矿库废水处理系统进水口</w:t>
            </w:r>
          </w:p>
        </w:tc>
        <w:tc>
          <w:tcPr>
            <w:tcW w:w="1422" w:type="dxa"/>
            <w:vAlign w:val="center"/>
          </w:tcPr>
          <w:p>
            <w:pPr>
              <w:adjustRightInd w:val="0"/>
              <w:snapToGrid w:val="0"/>
              <w:jc w:val="center"/>
              <w:rPr>
                <w:sz w:val="20"/>
                <w:szCs w:val="20"/>
              </w:rPr>
            </w:pPr>
            <w:r>
              <w:rPr>
                <w:sz w:val="20"/>
                <w:szCs w:val="20"/>
              </w:rPr>
              <w:t>2016-8-25  第一次</w:t>
            </w:r>
          </w:p>
        </w:tc>
        <w:tc>
          <w:tcPr>
            <w:tcW w:w="966" w:type="dxa"/>
            <w:vAlign w:val="center"/>
          </w:tcPr>
          <w:p>
            <w:pPr>
              <w:adjustRightInd w:val="0"/>
              <w:snapToGrid w:val="0"/>
              <w:jc w:val="center"/>
              <w:rPr>
                <w:sz w:val="20"/>
                <w:szCs w:val="20"/>
              </w:rPr>
            </w:pPr>
            <w:r>
              <w:rPr>
                <w:sz w:val="20"/>
                <w:szCs w:val="20"/>
              </w:rPr>
              <w:t>6.14</w:t>
            </w:r>
          </w:p>
        </w:tc>
        <w:tc>
          <w:tcPr>
            <w:tcW w:w="725" w:type="dxa"/>
            <w:vAlign w:val="center"/>
          </w:tcPr>
          <w:p>
            <w:pPr>
              <w:adjustRightInd w:val="0"/>
              <w:snapToGrid w:val="0"/>
              <w:jc w:val="center"/>
              <w:rPr>
                <w:spacing w:val="-4"/>
                <w:sz w:val="20"/>
                <w:szCs w:val="20"/>
              </w:rPr>
            </w:pPr>
            <w:r>
              <w:rPr>
                <w:spacing w:val="-4"/>
                <w:sz w:val="20"/>
                <w:szCs w:val="20"/>
              </w:rPr>
              <w:t>30</w:t>
            </w:r>
          </w:p>
        </w:tc>
        <w:tc>
          <w:tcPr>
            <w:tcW w:w="726" w:type="dxa"/>
            <w:vAlign w:val="center"/>
          </w:tcPr>
          <w:p>
            <w:pPr>
              <w:adjustRightInd w:val="0"/>
              <w:snapToGrid w:val="0"/>
              <w:jc w:val="center"/>
              <w:rPr>
                <w:spacing w:val="-4"/>
                <w:sz w:val="20"/>
                <w:szCs w:val="20"/>
              </w:rPr>
            </w:pPr>
            <w:r>
              <w:rPr>
                <w:spacing w:val="-4"/>
                <w:sz w:val="20"/>
                <w:szCs w:val="20"/>
              </w:rPr>
              <w:t>63.8</w:t>
            </w:r>
          </w:p>
        </w:tc>
        <w:tc>
          <w:tcPr>
            <w:tcW w:w="726" w:type="dxa"/>
            <w:vAlign w:val="center"/>
          </w:tcPr>
          <w:p>
            <w:pPr>
              <w:adjustRightInd w:val="0"/>
              <w:snapToGrid w:val="0"/>
              <w:jc w:val="center"/>
              <w:rPr>
                <w:spacing w:val="-4"/>
                <w:sz w:val="20"/>
                <w:szCs w:val="20"/>
              </w:rPr>
            </w:pPr>
            <w:r>
              <w:rPr>
                <w:spacing w:val="-4"/>
                <w:sz w:val="20"/>
                <w:szCs w:val="20"/>
              </w:rPr>
              <w:t>3.64</w:t>
            </w:r>
          </w:p>
        </w:tc>
        <w:tc>
          <w:tcPr>
            <w:tcW w:w="726" w:type="dxa"/>
            <w:vAlign w:val="center"/>
          </w:tcPr>
          <w:p>
            <w:pPr>
              <w:adjustRightInd w:val="0"/>
              <w:snapToGrid w:val="0"/>
              <w:jc w:val="center"/>
              <w:rPr>
                <w:spacing w:val="-4"/>
                <w:sz w:val="20"/>
                <w:szCs w:val="20"/>
              </w:rPr>
            </w:pPr>
            <w:r>
              <w:rPr>
                <w:spacing w:val="-4"/>
                <w:sz w:val="20"/>
                <w:szCs w:val="20"/>
              </w:rPr>
              <w:t>10.4</w:t>
            </w:r>
          </w:p>
        </w:tc>
        <w:tc>
          <w:tcPr>
            <w:tcW w:w="726" w:type="dxa"/>
            <w:vAlign w:val="center"/>
          </w:tcPr>
          <w:p>
            <w:pPr>
              <w:adjustRightInd w:val="0"/>
              <w:snapToGrid w:val="0"/>
              <w:jc w:val="center"/>
              <w:rPr>
                <w:spacing w:val="-4"/>
                <w:sz w:val="20"/>
                <w:szCs w:val="20"/>
              </w:rPr>
            </w:pPr>
            <w:r>
              <w:rPr>
                <w:spacing w:val="-4"/>
                <w:sz w:val="20"/>
                <w:szCs w:val="20"/>
              </w:rPr>
              <w:t>0.73</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0.024</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3.43</w:t>
            </w:r>
          </w:p>
        </w:tc>
        <w:tc>
          <w:tcPr>
            <w:tcW w:w="726" w:type="dxa"/>
            <w:vAlign w:val="center"/>
          </w:tcPr>
          <w:p>
            <w:pPr>
              <w:adjustRightInd w:val="0"/>
              <w:snapToGrid w:val="0"/>
              <w:jc w:val="center"/>
              <w:rPr>
                <w:spacing w:val="-4"/>
                <w:sz w:val="20"/>
                <w:szCs w:val="20"/>
              </w:rPr>
            </w:pPr>
            <w:r>
              <w:rPr>
                <w:spacing w:val="-4"/>
                <w:sz w:val="20"/>
                <w:szCs w:val="20"/>
              </w:rPr>
              <w:t>5.10</w:t>
            </w:r>
          </w:p>
        </w:tc>
        <w:tc>
          <w:tcPr>
            <w:tcW w:w="726" w:type="dxa"/>
            <w:vAlign w:val="center"/>
          </w:tcPr>
          <w:p>
            <w:pPr>
              <w:adjustRightInd w:val="0"/>
              <w:snapToGrid w:val="0"/>
              <w:jc w:val="center"/>
              <w:rPr>
                <w:spacing w:val="-4"/>
                <w:sz w:val="20"/>
                <w:szCs w:val="20"/>
              </w:rPr>
            </w:pPr>
            <w:r>
              <w:rPr>
                <w:spacing w:val="-4"/>
                <w:sz w:val="20"/>
                <w:szCs w:val="20"/>
              </w:rPr>
              <w:t>2.15</w:t>
            </w:r>
          </w:p>
        </w:tc>
        <w:tc>
          <w:tcPr>
            <w:tcW w:w="794" w:type="dxa"/>
            <w:vAlign w:val="center"/>
          </w:tcPr>
          <w:p>
            <w:pPr>
              <w:adjustRightInd w:val="0"/>
              <w:snapToGrid w:val="0"/>
              <w:jc w:val="center"/>
              <w:rPr>
                <w:spacing w:val="-4"/>
                <w:sz w:val="20"/>
                <w:szCs w:val="20"/>
              </w:rPr>
            </w:pPr>
            <w:r>
              <w:rPr>
                <w:spacing w:val="-4"/>
                <w:sz w:val="20"/>
                <w:szCs w:val="20"/>
              </w:rPr>
              <w:t>0.0033</w:t>
            </w:r>
          </w:p>
        </w:tc>
        <w:tc>
          <w:tcPr>
            <w:tcW w:w="884" w:type="dxa"/>
            <w:vAlign w:val="center"/>
          </w:tcPr>
          <w:p>
            <w:pPr>
              <w:adjustRightInd w:val="0"/>
              <w:snapToGrid w:val="0"/>
              <w:jc w:val="center"/>
              <w:rPr>
                <w:spacing w:val="-4"/>
                <w:sz w:val="20"/>
                <w:szCs w:val="20"/>
              </w:rPr>
            </w:pPr>
            <w:r>
              <w:rPr>
                <w:spacing w:val="-4"/>
                <w:sz w:val="20"/>
                <w:szCs w:val="20"/>
              </w:rPr>
              <w:t>0.00005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第二次</w:t>
            </w:r>
          </w:p>
        </w:tc>
        <w:tc>
          <w:tcPr>
            <w:tcW w:w="966" w:type="dxa"/>
            <w:vAlign w:val="center"/>
          </w:tcPr>
          <w:p>
            <w:pPr>
              <w:adjustRightInd w:val="0"/>
              <w:snapToGrid w:val="0"/>
              <w:jc w:val="center"/>
              <w:rPr>
                <w:sz w:val="20"/>
                <w:szCs w:val="20"/>
              </w:rPr>
            </w:pPr>
            <w:r>
              <w:rPr>
                <w:sz w:val="20"/>
                <w:szCs w:val="20"/>
              </w:rPr>
              <w:t>6.17</w:t>
            </w:r>
          </w:p>
        </w:tc>
        <w:tc>
          <w:tcPr>
            <w:tcW w:w="725" w:type="dxa"/>
            <w:vAlign w:val="center"/>
          </w:tcPr>
          <w:p>
            <w:pPr>
              <w:adjustRightInd w:val="0"/>
              <w:snapToGrid w:val="0"/>
              <w:jc w:val="center"/>
              <w:rPr>
                <w:spacing w:val="-4"/>
                <w:sz w:val="20"/>
                <w:szCs w:val="20"/>
              </w:rPr>
            </w:pPr>
            <w:r>
              <w:rPr>
                <w:spacing w:val="-4"/>
                <w:sz w:val="20"/>
                <w:szCs w:val="20"/>
              </w:rPr>
              <w:t>34</w:t>
            </w:r>
          </w:p>
        </w:tc>
        <w:tc>
          <w:tcPr>
            <w:tcW w:w="726" w:type="dxa"/>
            <w:vAlign w:val="center"/>
          </w:tcPr>
          <w:p>
            <w:pPr>
              <w:adjustRightInd w:val="0"/>
              <w:snapToGrid w:val="0"/>
              <w:jc w:val="center"/>
              <w:rPr>
                <w:spacing w:val="-4"/>
                <w:sz w:val="20"/>
                <w:szCs w:val="20"/>
              </w:rPr>
            </w:pPr>
            <w:r>
              <w:rPr>
                <w:spacing w:val="-4"/>
                <w:sz w:val="20"/>
                <w:szCs w:val="20"/>
              </w:rPr>
              <w:t>69.4</w:t>
            </w:r>
          </w:p>
        </w:tc>
        <w:tc>
          <w:tcPr>
            <w:tcW w:w="726" w:type="dxa"/>
            <w:vAlign w:val="center"/>
          </w:tcPr>
          <w:p>
            <w:pPr>
              <w:adjustRightInd w:val="0"/>
              <w:snapToGrid w:val="0"/>
              <w:jc w:val="center"/>
              <w:rPr>
                <w:spacing w:val="-4"/>
                <w:sz w:val="20"/>
                <w:szCs w:val="20"/>
              </w:rPr>
            </w:pPr>
            <w:r>
              <w:rPr>
                <w:spacing w:val="-4"/>
                <w:sz w:val="20"/>
                <w:szCs w:val="20"/>
              </w:rPr>
              <w:t>3.60</w:t>
            </w:r>
          </w:p>
        </w:tc>
        <w:tc>
          <w:tcPr>
            <w:tcW w:w="726" w:type="dxa"/>
            <w:vAlign w:val="center"/>
          </w:tcPr>
          <w:p>
            <w:pPr>
              <w:adjustRightInd w:val="0"/>
              <w:snapToGrid w:val="0"/>
              <w:jc w:val="center"/>
              <w:rPr>
                <w:spacing w:val="-4"/>
                <w:sz w:val="20"/>
                <w:szCs w:val="20"/>
              </w:rPr>
            </w:pPr>
            <w:r>
              <w:rPr>
                <w:spacing w:val="-4"/>
                <w:sz w:val="20"/>
                <w:szCs w:val="20"/>
              </w:rPr>
              <w:t>10.4</w:t>
            </w:r>
          </w:p>
        </w:tc>
        <w:tc>
          <w:tcPr>
            <w:tcW w:w="726" w:type="dxa"/>
            <w:vAlign w:val="center"/>
          </w:tcPr>
          <w:p>
            <w:pPr>
              <w:adjustRightInd w:val="0"/>
              <w:snapToGrid w:val="0"/>
              <w:jc w:val="center"/>
              <w:rPr>
                <w:spacing w:val="-4"/>
                <w:sz w:val="20"/>
                <w:szCs w:val="20"/>
              </w:rPr>
            </w:pPr>
            <w:r>
              <w:rPr>
                <w:spacing w:val="-4"/>
                <w:sz w:val="20"/>
                <w:szCs w:val="20"/>
              </w:rPr>
              <w:t>0.77</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0.020</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3.57</w:t>
            </w:r>
          </w:p>
        </w:tc>
        <w:tc>
          <w:tcPr>
            <w:tcW w:w="726" w:type="dxa"/>
            <w:vAlign w:val="center"/>
          </w:tcPr>
          <w:p>
            <w:pPr>
              <w:adjustRightInd w:val="0"/>
              <w:snapToGrid w:val="0"/>
              <w:jc w:val="center"/>
              <w:rPr>
                <w:spacing w:val="-4"/>
                <w:sz w:val="20"/>
                <w:szCs w:val="20"/>
              </w:rPr>
            </w:pPr>
            <w:r>
              <w:rPr>
                <w:spacing w:val="-4"/>
                <w:sz w:val="20"/>
                <w:szCs w:val="20"/>
              </w:rPr>
              <w:t>5.27</w:t>
            </w:r>
          </w:p>
        </w:tc>
        <w:tc>
          <w:tcPr>
            <w:tcW w:w="726" w:type="dxa"/>
            <w:vAlign w:val="center"/>
          </w:tcPr>
          <w:p>
            <w:pPr>
              <w:adjustRightInd w:val="0"/>
              <w:snapToGrid w:val="0"/>
              <w:jc w:val="center"/>
              <w:rPr>
                <w:spacing w:val="-4"/>
                <w:sz w:val="20"/>
                <w:szCs w:val="20"/>
              </w:rPr>
            </w:pPr>
            <w:r>
              <w:rPr>
                <w:spacing w:val="-4"/>
                <w:sz w:val="20"/>
                <w:szCs w:val="20"/>
              </w:rPr>
              <w:t>2.09</w:t>
            </w:r>
          </w:p>
        </w:tc>
        <w:tc>
          <w:tcPr>
            <w:tcW w:w="794" w:type="dxa"/>
            <w:vAlign w:val="center"/>
          </w:tcPr>
          <w:p>
            <w:pPr>
              <w:adjustRightInd w:val="0"/>
              <w:snapToGrid w:val="0"/>
              <w:jc w:val="center"/>
              <w:rPr>
                <w:spacing w:val="-4"/>
                <w:sz w:val="20"/>
                <w:szCs w:val="20"/>
              </w:rPr>
            </w:pPr>
            <w:r>
              <w:rPr>
                <w:spacing w:val="-4"/>
                <w:sz w:val="20"/>
                <w:szCs w:val="20"/>
              </w:rPr>
              <w:t>0.0014</w:t>
            </w:r>
          </w:p>
        </w:tc>
        <w:tc>
          <w:tcPr>
            <w:tcW w:w="884" w:type="dxa"/>
            <w:vAlign w:val="center"/>
          </w:tcPr>
          <w:p>
            <w:pPr>
              <w:adjustRightInd w:val="0"/>
              <w:snapToGrid w:val="0"/>
              <w:jc w:val="center"/>
              <w:rPr>
                <w:spacing w:val="-4"/>
                <w:sz w:val="20"/>
                <w:szCs w:val="20"/>
              </w:rPr>
            </w:pPr>
            <w:r>
              <w:rPr>
                <w:spacing w:val="-4"/>
                <w:sz w:val="20"/>
                <w:szCs w:val="20"/>
              </w:rPr>
              <w:t>0.00007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第三次</w:t>
            </w:r>
          </w:p>
        </w:tc>
        <w:tc>
          <w:tcPr>
            <w:tcW w:w="966" w:type="dxa"/>
            <w:vAlign w:val="center"/>
          </w:tcPr>
          <w:p>
            <w:pPr>
              <w:adjustRightInd w:val="0"/>
              <w:snapToGrid w:val="0"/>
              <w:jc w:val="center"/>
              <w:rPr>
                <w:sz w:val="20"/>
                <w:szCs w:val="20"/>
              </w:rPr>
            </w:pPr>
            <w:r>
              <w:rPr>
                <w:sz w:val="20"/>
                <w:szCs w:val="20"/>
              </w:rPr>
              <w:t>6.16</w:t>
            </w:r>
          </w:p>
        </w:tc>
        <w:tc>
          <w:tcPr>
            <w:tcW w:w="725" w:type="dxa"/>
            <w:vAlign w:val="center"/>
          </w:tcPr>
          <w:p>
            <w:pPr>
              <w:adjustRightInd w:val="0"/>
              <w:snapToGrid w:val="0"/>
              <w:jc w:val="center"/>
              <w:rPr>
                <w:spacing w:val="-4"/>
                <w:sz w:val="20"/>
                <w:szCs w:val="20"/>
              </w:rPr>
            </w:pPr>
            <w:r>
              <w:rPr>
                <w:spacing w:val="-4"/>
                <w:sz w:val="20"/>
                <w:szCs w:val="20"/>
              </w:rPr>
              <w:t>35</w:t>
            </w:r>
          </w:p>
        </w:tc>
        <w:tc>
          <w:tcPr>
            <w:tcW w:w="726" w:type="dxa"/>
            <w:vAlign w:val="center"/>
          </w:tcPr>
          <w:p>
            <w:pPr>
              <w:adjustRightInd w:val="0"/>
              <w:snapToGrid w:val="0"/>
              <w:jc w:val="center"/>
              <w:rPr>
                <w:spacing w:val="-4"/>
                <w:sz w:val="20"/>
                <w:szCs w:val="20"/>
              </w:rPr>
            </w:pPr>
            <w:r>
              <w:rPr>
                <w:spacing w:val="-4"/>
                <w:sz w:val="20"/>
                <w:szCs w:val="20"/>
              </w:rPr>
              <w:t>67.8</w:t>
            </w:r>
          </w:p>
        </w:tc>
        <w:tc>
          <w:tcPr>
            <w:tcW w:w="726" w:type="dxa"/>
            <w:vAlign w:val="center"/>
          </w:tcPr>
          <w:p>
            <w:pPr>
              <w:adjustRightInd w:val="0"/>
              <w:snapToGrid w:val="0"/>
              <w:jc w:val="center"/>
              <w:rPr>
                <w:spacing w:val="-4"/>
                <w:sz w:val="20"/>
                <w:szCs w:val="20"/>
              </w:rPr>
            </w:pPr>
            <w:r>
              <w:rPr>
                <w:spacing w:val="-4"/>
                <w:sz w:val="20"/>
                <w:szCs w:val="20"/>
              </w:rPr>
              <w:t>3.68</w:t>
            </w:r>
          </w:p>
        </w:tc>
        <w:tc>
          <w:tcPr>
            <w:tcW w:w="726" w:type="dxa"/>
            <w:vAlign w:val="center"/>
          </w:tcPr>
          <w:p>
            <w:pPr>
              <w:adjustRightInd w:val="0"/>
              <w:snapToGrid w:val="0"/>
              <w:jc w:val="center"/>
              <w:rPr>
                <w:spacing w:val="-4"/>
                <w:sz w:val="20"/>
                <w:szCs w:val="20"/>
              </w:rPr>
            </w:pPr>
            <w:r>
              <w:rPr>
                <w:spacing w:val="-4"/>
                <w:sz w:val="20"/>
                <w:szCs w:val="20"/>
              </w:rPr>
              <w:t>10.6</w:t>
            </w:r>
          </w:p>
        </w:tc>
        <w:tc>
          <w:tcPr>
            <w:tcW w:w="726" w:type="dxa"/>
            <w:vAlign w:val="center"/>
          </w:tcPr>
          <w:p>
            <w:pPr>
              <w:adjustRightInd w:val="0"/>
              <w:snapToGrid w:val="0"/>
              <w:jc w:val="center"/>
              <w:rPr>
                <w:spacing w:val="-4"/>
                <w:sz w:val="20"/>
                <w:szCs w:val="20"/>
              </w:rPr>
            </w:pPr>
            <w:r>
              <w:rPr>
                <w:spacing w:val="-4"/>
                <w:sz w:val="20"/>
                <w:szCs w:val="20"/>
              </w:rPr>
              <w:t>0.69</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0.027</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3.52</w:t>
            </w:r>
          </w:p>
        </w:tc>
        <w:tc>
          <w:tcPr>
            <w:tcW w:w="726" w:type="dxa"/>
            <w:vAlign w:val="center"/>
          </w:tcPr>
          <w:p>
            <w:pPr>
              <w:adjustRightInd w:val="0"/>
              <w:snapToGrid w:val="0"/>
              <w:jc w:val="center"/>
              <w:rPr>
                <w:spacing w:val="-4"/>
                <w:sz w:val="20"/>
                <w:szCs w:val="20"/>
              </w:rPr>
            </w:pPr>
            <w:r>
              <w:rPr>
                <w:spacing w:val="-4"/>
                <w:sz w:val="20"/>
                <w:szCs w:val="20"/>
              </w:rPr>
              <w:t>4.94</w:t>
            </w:r>
          </w:p>
        </w:tc>
        <w:tc>
          <w:tcPr>
            <w:tcW w:w="726" w:type="dxa"/>
            <w:vAlign w:val="center"/>
          </w:tcPr>
          <w:p>
            <w:pPr>
              <w:adjustRightInd w:val="0"/>
              <w:snapToGrid w:val="0"/>
              <w:jc w:val="center"/>
              <w:rPr>
                <w:spacing w:val="-4"/>
                <w:sz w:val="20"/>
                <w:szCs w:val="20"/>
              </w:rPr>
            </w:pPr>
            <w:r>
              <w:rPr>
                <w:spacing w:val="-4"/>
                <w:sz w:val="20"/>
                <w:szCs w:val="20"/>
              </w:rPr>
              <w:t>2.14</w:t>
            </w:r>
          </w:p>
        </w:tc>
        <w:tc>
          <w:tcPr>
            <w:tcW w:w="794" w:type="dxa"/>
            <w:vAlign w:val="center"/>
          </w:tcPr>
          <w:p>
            <w:pPr>
              <w:adjustRightInd w:val="0"/>
              <w:snapToGrid w:val="0"/>
              <w:jc w:val="center"/>
              <w:rPr>
                <w:spacing w:val="-4"/>
                <w:sz w:val="20"/>
                <w:szCs w:val="20"/>
              </w:rPr>
            </w:pPr>
            <w:r>
              <w:rPr>
                <w:spacing w:val="-4"/>
                <w:sz w:val="20"/>
                <w:szCs w:val="20"/>
              </w:rPr>
              <w:t>0.0012</w:t>
            </w:r>
          </w:p>
        </w:tc>
        <w:tc>
          <w:tcPr>
            <w:tcW w:w="884" w:type="dxa"/>
            <w:vAlign w:val="center"/>
          </w:tcPr>
          <w:p>
            <w:pPr>
              <w:adjustRightInd w:val="0"/>
              <w:snapToGrid w:val="0"/>
              <w:jc w:val="center"/>
              <w:rPr>
                <w:spacing w:val="-4"/>
                <w:sz w:val="20"/>
                <w:szCs w:val="20"/>
              </w:rPr>
            </w:pPr>
            <w:r>
              <w:rPr>
                <w:spacing w:val="-4"/>
                <w:sz w:val="20"/>
                <w:szCs w:val="20"/>
              </w:rPr>
              <w:t>0.00005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第四次</w:t>
            </w:r>
          </w:p>
        </w:tc>
        <w:tc>
          <w:tcPr>
            <w:tcW w:w="966" w:type="dxa"/>
            <w:vAlign w:val="center"/>
          </w:tcPr>
          <w:p>
            <w:pPr>
              <w:adjustRightInd w:val="0"/>
              <w:snapToGrid w:val="0"/>
              <w:jc w:val="center"/>
              <w:rPr>
                <w:sz w:val="20"/>
                <w:szCs w:val="20"/>
              </w:rPr>
            </w:pPr>
            <w:r>
              <w:rPr>
                <w:sz w:val="20"/>
                <w:szCs w:val="20"/>
              </w:rPr>
              <w:t>6.21</w:t>
            </w:r>
          </w:p>
        </w:tc>
        <w:tc>
          <w:tcPr>
            <w:tcW w:w="725" w:type="dxa"/>
            <w:vAlign w:val="center"/>
          </w:tcPr>
          <w:p>
            <w:pPr>
              <w:adjustRightInd w:val="0"/>
              <w:snapToGrid w:val="0"/>
              <w:jc w:val="center"/>
              <w:rPr>
                <w:spacing w:val="-4"/>
                <w:sz w:val="20"/>
                <w:szCs w:val="20"/>
              </w:rPr>
            </w:pPr>
            <w:r>
              <w:rPr>
                <w:spacing w:val="-4"/>
                <w:sz w:val="20"/>
                <w:szCs w:val="20"/>
              </w:rPr>
              <w:t>38</w:t>
            </w:r>
          </w:p>
        </w:tc>
        <w:tc>
          <w:tcPr>
            <w:tcW w:w="726" w:type="dxa"/>
            <w:vAlign w:val="center"/>
          </w:tcPr>
          <w:p>
            <w:pPr>
              <w:adjustRightInd w:val="0"/>
              <w:snapToGrid w:val="0"/>
              <w:jc w:val="center"/>
              <w:rPr>
                <w:spacing w:val="-4"/>
                <w:sz w:val="20"/>
                <w:szCs w:val="20"/>
              </w:rPr>
            </w:pPr>
            <w:r>
              <w:rPr>
                <w:spacing w:val="-4"/>
                <w:sz w:val="20"/>
                <w:szCs w:val="20"/>
              </w:rPr>
              <w:t>72.6</w:t>
            </w:r>
          </w:p>
        </w:tc>
        <w:tc>
          <w:tcPr>
            <w:tcW w:w="726" w:type="dxa"/>
            <w:vAlign w:val="center"/>
          </w:tcPr>
          <w:p>
            <w:pPr>
              <w:adjustRightInd w:val="0"/>
              <w:snapToGrid w:val="0"/>
              <w:jc w:val="center"/>
              <w:rPr>
                <w:spacing w:val="-4"/>
                <w:sz w:val="20"/>
                <w:szCs w:val="20"/>
              </w:rPr>
            </w:pPr>
            <w:r>
              <w:rPr>
                <w:spacing w:val="-4"/>
                <w:sz w:val="20"/>
                <w:szCs w:val="20"/>
              </w:rPr>
              <w:t>3.58</w:t>
            </w:r>
          </w:p>
        </w:tc>
        <w:tc>
          <w:tcPr>
            <w:tcW w:w="726" w:type="dxa"/>
            <w:vAlign w:val="center"/>
          </w:tcPr>
          <w:p>
            <w:pPr>
              <w:adjustRightInd w:val="0"/>
              <w:snapToGrid w:val="0"/>
              <w:jc w:val="center"/>
              <w:rPr>
                <w:spacing w:val="-4"/>
                <w:sz w:val="20"/>
                <w:szCs w:val="20"/>
              </w:rPr>
            </w:pPr>
            <w:r>
              <w:rPr>
                <w:spacing w:val="-4"/>
                <w:sz w:val="20"/>
                <w:szCs w:val="20"/>
              </w:rPr>
              <w:t>11.0</w:t>
            </w:r>
          </w:p>
        </w:tc>
        <w:tc>
          <w:tcPr>
            <w:tcW w:w="726" w:type="dxa"/>
            <w:vAlign w:val="center"/>
          </w:tcPr>
          <w:p>
            <w:pPr>
              <w:adjustRightInd w:val="0"/>
              <w:snapToGrid w:val="0"/>
              <w:jc w:val="center"/>
              <w:rPr>
                <w:spacing w:val="-4"/>
                <w:sz w:val="20"/>
                <w:szCs w:val="20"/>
              </w:rPr>
            </w:pPr>
            <w:r>
              <w:rPr>
                <w:spacing w:val="-4"/>
                <w:sz w:val="20"/>
                <w:szCs w:val="20"/>
              </w:rPr>
              <w:t>0.66</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0.019</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3.15</w:t>
            </w:r>
          </w:p>
        </w:tc>
        <w:tc>
          <w:tcPr>
            <w:tcW w:w="726" w:type="dxa"/>
            <w:vAlign w:val="center"/>
          </w:tcPr>
          <w:p>
            <w:pPr>
              <w:adjustRightInd w:val="0"/>
              <w:snapToGrid w:val="0"/>
              <w:jc w:val="center"/>
              <w:rPr>
                <w:spacing w:val="-4"/>
                <w:sz w:val="20"/>
                <w:szCs w:val="20"/>
              </w:rPr>
            </w:pPr>
            <w:r>
              <w:rPr>
                <w:spacing w:val="-4"/>
                <w:sz w:val="20"/>
                <w:szCs w:val="20"/>
              </w:rPr>
              <w:t>4.82</w:t>
            </w:r>
          </w:p>
        </w:tc>
        <w:tc>
          <w:tcPr>
            <w:tcW w:w="726" w:type="dxa"/>
            <w:vAlign w:val="center"/>
          </w:tcPr>
          <w:p>
            <w:pPr>
              <w:adjustRightInd w:val="0"/>
              <w:snapToGrid w:val="0"/>
              <w:jc w:val="center"/>
              <w:rPr>
                <w:spacing w:val="-4"/>
                <w:sz w:val="20"/>
                <w:szCs w:val="20"/>
              </w:rPr>
            </w:pPr>
            <w:r>
              <w:rPr>
                <w:spacing w:val="-4"/>
                <w:sz w:val="20"/>
                <w:szCs w:val="20"/>
              </w:rPr>
              <w:t>2.02</w:t>
            </w:r>
          </w:p>
        </w:tc>
        <w:tc>
          <w:tcPr>
            <w:tcW w:w="794" w:type="dxa"/>
            <w:vAlign w:val="center"/>
          </w:tcPr>
          <w:p>
            <w:pPr>
              <w:adjustRightInd w:val="0"/>
              <w:snapToGrid w:val="0"/>
              <w:jc w:val="center"/>
              <w:rPr>
                <w:spacing w:val="-4"/>
                <w:sz w:val="20"/>
                <w:szCs w:val="20"/>
              </w:rPr>
            </w:pPr>
            <w:r>
              <w:rPr>
                <w:spacing w:val="-4"/>
                <w:sz w:val="20"/>
                <w:szCs w:val="20"/>
              </w:rPr>
              <w:t>0.0008</w:t>
            </w:r>
          </w:p>
        </w:tc>
        <w:tc>
          <w:tcPr>
            <w:tcW w:w="884" w:type="dxa"/>
            <w:vAlign w:val="center"/>
          </w:tcPr>
          <w:p>
            <w:pPr>
              <w:adjustRightInd w:val="0"/>
              <w:snapToGrid w:val="0"/>
              <w:jc w:val="center"/>
              <w:rPr>
                <w:spacing w:val="-4"/>
                <w:sz w:val="20"/>
                <w:szCs w:val="20"/>
              </w:rPr>
            </w:pPr>
            <w:r>
              <w:rPr>
                <w:spacing w:val="-4"/>
                <w:sz w:val="20"/>
                <w:szCs w:val="20"/>
              </w:rPr>
              <w:t>0.00006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2016-8-26  第一次</w:t>
            </w:r>
          </w:p>
        </w:tc>
        <w:tc>
          <w:tcPr>
            <w:tcW w:w="966" w:type="dxa"/>
            <w:vAlign w:val="center"/>
          </w:tcPr>
          <w:p>
            <w:pPr>
              <w:adjustRightInd w:val="0"/>
              <w:snapToGrid w:val="0"/>
              <w:jc w:val="center"/>
              <w:rPr>
                <w:sz w:val="20"/>
                <w:szCs w:val="20"/>
              </w:rPr>
            </w:pPr>
            <w:r>
              <w:rPr>
                <w:sz w:val="20"/>
                <w:szCs w:val="20"/>
              </w:rPr>
              <w:t>6.14</w:t>
            </w:r>
          </w:p>
        </w:tc>
        <w:tc>
          <w:tcPr>
            <w:tcW w:w="725" w:type="dxa"/>
            <w:vAlign w:val="center"/>
          </w:tcPr>
          <w:p>
            <w:pPr>
              <w:adjustRightInd w:val="0"/>
              <w:snapToGrid w:val="0"/>
              <w:jc w:val="center"/>
              <w:rPr>
                <w:spacing w:val="-4"/>
                <w:sz w:val="20"/>
                <w:szCs w:val="20"/>
              </w:rPr>
            </w:pPr>
            <w:r>
              <w:rPr>
                <w:spacing w:val="-4"/>
                <w:sz w:val="20"/>
                <w:szCs w:val="20"/>
              </w:rPr>
              <w:t>39</w:t>
            </w:r>
          </w:p>
        </w:tc>
        <w:tc>
          <w:tcPr>
            <w:tcW w:w="726" w:type="dxa"/>
            <w:vAlign w:val="center"/>
          </w:tcPr>
          <w:p>
            <w:pPr>
              <w:adjustRightInd w:val="0"/>
              <w:snapToGrid w:val="0"/>
              <w:jc w:val="center"/>
              <w:rPr>
                <w:spacing w:val="-4"/>
                <w:sz w:val="20"/>
                <w:szCs w:val="20"/>
              </w:rPr>
            </w:pPr>
            <w:r>
              <w:rPr>
                <w:spacing w:val="-4"/>
                <w:sz w:val="20"/>
                <w:szCs w:val="20"/>
              </w:rPr>
              <w:t>77.4</w:t>
            </w:r>
          </w:p>
        </w:tc>
        <w:tc>
          <w:tcPr>
            <w:tcW w:w="726" w:type="dxa"/>
            <w:vAlign w:val="center"/>
          </w:tcPr>
          <w:p>
            <w:pPr>
              <w:adjustRightInd w:val="0"/>
              <w:snapToGrid w:val="0"/>
              <w:jc w:val="center"/>
              <w:rPr>
                <w:spacing w:val="-4"/>
                <w:sz w:val="20"/>
                <w:szCs w:val="20"/>
              </w:rPr>
            </w:pPr>
            <w:r>
              <w:rPr>
                <w:spacing w:val="-4"/>
                <w:sz w:val="20"/>
                <w:szCs w:val="20"/>
              </w:rPr>
              <w:t>3.46</w:t>
            </w:r>
          </w:p>
        </w:tc>
        <w:tc>
          <w:tcPr>
            <w:tcW w:w="726" w:type="dxa"/>
            <w:vAlign w:val="center"/>
          </w:tcPr>
          <w:p>
            <w:pPr>
              <w:adjustRightInd w:val="0"/>
              <w:snapToGrid w:val="0"/>
              <w:jc w:val="center"/>
              <w:rPr>
                <w:spacing w:val="-4"/>
                <w:sz w:val="20"/>
                <w:szCs w:val="20"/>
              </w:rPr>
            </w:pPr>
            <w:r>
              <w:rPr>
                <w:spacing w:val="-4"/>
                <w:sz w:val="20"/>
                <w:szCs w:val="20"/>
              </w:rPr>
              <w:t>10.7</w:t>
            </w:r>
          </w:p>
        </w:tc>
        <w:tc>
          <w:tcPr>
            <w:tcW w:w="726" w:type="dxa"/>
            <w:vAlign w:val="center"/>
          </w:tcPr>
          <w:p>
            <w:pPr>
              <w:adjustRightInd w:val="0"/>
              <w:snapToGrid w:val="0"/>
              <w:jc w:val="center"/>
              <w:rPr>
                <w:spacing w:val="-4"/>
                <w:sz w:val="20"/>
                <w:szCs w:val="20"/>
              </w:rPr>
            </w:pPr>
            <w:r>
              <w:rPr>
                <w:spacing w:val="-4"/>
                <w:sz w:val="20"/>
                <w:szCs w:val="20"/>
              </w:rPr>
              <w:t>0.72</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0.023</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3.27</w:t>
            </w:r>
          </w:p>
        </w:tc>
        <w:tc>
          <w:tcPr>
            <w:tcW w:w="726" w:type="dxa"/>
            <w:vAlign w:val="center"/>
          </w:tcPr>
          <w:p>
            <w:pPr>
              <w:adjustRightInd w:val="0"/>
              <w:snapToGrid w:val="0"/>
              <w:jc w:val="center"/>
              <w:rPr>
                <w:spacing w:val="-4"/>
                <w:sz w:val="20"/>
                <w:szCs w:val="20"/>
              </w:rPr>
            </w:pPr>
            <w:r>
              <w:rPr>
                <w:spacing w:val="-4"/>
                <w:sz w:val="20"/>
                <w:szCs w:val="20"/>
              </w:rPr>
              <w:t>5.18</w:t>
            </w:r>
          </w:p>
        </w:tc>
        <w:tc>
          <w:tcPr>
            <w:tcW w:w="726" w:type="dxa"/>
            <w:vAlign w:val="center"/>
          </w:tcPr>
          <w:p>
            <w:pPr>
              <w:adjustRightInd w:val="0"/>
              <w:snapToGrid w:val="0"/>
              <w:jc w:val="center"/>
              <w:rPr>
                <w:spacing w:val="-4"/>
                <w:sz w:val="20"/>
                <w:szCs w:val="20"/>
              </w:rPr>
            </w:pPr>
            <w:r>
              <w:rPr>
                <w:spacing w:val="-4"/>
                <w:sz w:val="20"/>
                <w:szCs w:val="20"/>
              </w:rPr>
              <w:t>2.07</w:t>
            </w:r>
          </w:p>
        </w:tc>
        <w:tc>
          <w:tcPr>
            <w:tcW w:w="794" w:type="dxa"/>
            <w:vAlign w:val="center"/>
          </w:tcPr>
          <w:p>
            <w:pPr>
              <w:adjustRightInd w:val="0"/>
              <w:snapToGrid w:val="0"/>
              <w:jc w:val="center"/>
              <w:rPr>
                <w:spacing w:val="-4"/>
                <w:sz w:val="20"/>
                <w:szCs w:val="20"/>
              </w:rPr>
            </w:pPr>
            <w:r>
              <w:rPr>
                <w:spacing w:val="-4"/>
                <w:sz w:val="20"/>
                <w:szCs w:val="20"/>
              </w:rPr>
              <w:t>0.0011</w:t>
            </w:r>
          </w:p>
        </w:tc>
        <w:tc>
          <w:tcPr>
            <w:tcW w:w="884" w:type="dxa"/>
            <w:vAlign w:val="center"/>
          </w:tcPr>
          <w:p>
            <w:pPr>
              <w:adjustRightInd w:val="0"/>
              <w:snapToGrid w:val="0"/>
              <w:jc w:val="center"/>
              <w:rPr>
                <w:spacing w:val="-4"/>
                <w:sz w:val="20"/>
                <w:szCs w:val="20"/>
              </w:rPr>
            </w:pPr>
            <w:r>
              <w:rPr>
                <w:spacing w:val="-4"/>
                <w:sz w:val="20"/>
                <w:szCs w:val="20"/>
              </w:rPr>
              <w:t>0.00005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第二次</w:t>
            </w:r>
          </w:p>
        </w:tc>
        <w:tc>
          <w:tcPr>
            <w:tcW w:w="966" w:type="dxa"/>
            <w:vAlign w:val="center"/>
          </w:tcPr>
          <w:p>
            <w:pPr>
              <w:adjustRightInd w:val="0"/>
              <w:snapToGrid w:val="0"/>
              <w:jc w:val="center"/>
              <w:rPr>
                <w:sz w:val="20"/>
                <w:szCs w:val="20"/>
              </w:rPr>
            </w:pPr>
            <w:r>
              <w:rPr>
                <w:sz w:val="20"/>
                <w:szCs w:val="20"/>
              </w:rPr>
              <w:t>6.17</w:t>
            </w:r>
          </w:p>
        </w:tc>
        <w:tc>
          <w:tcPr>
            <w:tcW w:w="725" w:type="dxa"/>
            <w:vAlign w:val="center"/>
          </w:tcPr>
          <w:p>
            <w:pPr>
              <w:adjustRightInd w:val="0"/>
              <w:snapToGrid w:val="0"/>
              <w:jc w:val="center"/>
              <w:rPr>
                <w:spacing w:val="-4"/>
                <w:sz w:val="20"/>
                <w:szCs w:val="20"/>
              </w:rPr>
            </w:pPr>
            <w:r>
              <w:rPr>
                <w:spacing w:val="-4"/>
                <w:sz w:val="20"/>
                <w:szCs w:val="20"/>
              </w:rPr>
              <w:t>36</w:t>
            </w:r>
          </w:p>
        </w:tc>
        <w:tc>
          <w:tcPr>
            <w:tcW w:w="726" w:type="dxa"/>
            <w:vAlign w:val="center"/>
          </w:tcPr>
          <w:p>
            <w:pPr>
              <w:adjustRightInd w:val="0"/>
              <w:snapToGrid w:val="0"/>
              <w:jc w:val="center"/>
              <w:rPr>
                <w:spacing w:val="-4"/>
                <w:sz w:val="20"/>
                <w:szCs w:val="20"/>
              </w:rPr>
            </w:pPr>
            <w:r>
              <w:rPr>
                <w:spacing w:val="-4"/>
                <w:sz w:val="20"/>
                <w:szCs w:val="20"/>
              </w:rPr>
              <w:t>71.0</w:t>
            </w:r>
          </w:p>
        </w:tc>
        <w:tc>
          <w:tcPr>
            <w:tcW w:w="726" w:type="dxa"/>
            <w:vAlign w:val="center"/>
          </w:tcPr>
          <w:p>
            <w:pPr>
              <w:adjustRightInd w:val="0"/>
              <w:snapToGrid w:val="0"/>
              <w:jc w:val="center"/>
              <w:rPr>
                <w:spacing w:val="-4"/>
                <w:sz w:val="20"/>
                <w:szCs w:val="20"/>
              </w:rPr>
            </w:pPr>
            <w:r>
              <w:rPr>
                <w:spacing w:val="-4"/>
                <w:sz w:val="20"/>
                <w:szCs w:val="20"/>
              </w:rPr>
              <w:t>3.43</w:t>
            </w:r>
          </w:p>
        </w:tc>
        <w:tc>
          <w:tcPr>
            <w:tcW w:w="726" w:type="dxa"/>
            <w:vAlign w:val="center"/>
          </w:tcPr>
          <w:p>
            <w:pPr>
              <w:adjustRightInd w:val="0"/>
              <w:snapToGrid w:val="0"/>
              <w:jc w:val="center"/>
              <w:rPr>
                <w:spacing w:val="-4"/>
                <w:sz w:val="20"/>
                <w:szCs w:val="20"/>
              </w:rPr>
            </w:pPr>
            <w:r>
              <w:rPr>
                <w:spacing w:val="-4"/>
                <w:sz w:val="20"/>
                <w:szCs w:val="20"/>
              </w:rPr>
              <w:t>11.0</w:t>
            </w:r>
          </w:p>
        </w:tc>
        <w:tc>
          <w:tcPr>
            <w:tcW w:w="726" w:type="dxa"/>
            <w:vAlign w:val="center"/>
          </w:tcPr>
          <w:p>
            <w:pPr>
              <w:adjustRightInd w:val="0"/>
              <w:snapToGrid w:val="0"/>
              <w:jc w:val="center"/>
              <w:rPr>
                <w:spacing w:val="-4"/>
                <w:sz w:val="20"/>
                <w:szCs w:val="20"/>
              </w:rPr>
            </w:pPr>
            <w:r>
              <w:rPr>
                <w:spacing w:val="-4"/>
                <w:sz w:val="20"/>
                <w:szCs w:val="20"/>
              </w:rPr>
              <w:t>0.66</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0.019</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3.85</w:t>
            </w:r>
          </w:p>
        </w:tc>
        <w:tc>
          <w:tcPr>
            <w:tcW w:w="726" w:type="dxa"/>
            <w:vAlign w:val="center"/>
          </w:tcPr>
          <w:p>
            <w:pPr>
              <w:adjustRightInd w:val="0"/>
              <w:snapToGrid w:val="0"/>
              <w:jc w:val="center"/>
              <w:rPr>
                <w:spacing w:val="-4"/>
                <w:sz w:val="20"/>
                <w:szCs w:val="20"/>
              </w:rPr>
            </w:pPr>
            <w:r>
              <w:rPr>
                <w:spacing w:val="-4"/>
                <w:sz w:val="20"/>
                <w:szCs w:val="20"/>
              </w:rPr>
              <w:t>5.27</w:t>
            </w:r>
          </w:p>
        </w:tc>
        <w:tc>
          <w:tcPr>
            <w:tcW w:w="726" w:type="dxa"/>
            <w:vAlign w:val="center"/>
          </w:tcPr>
          <w:p>
            <w:pPr>
              <w:adjustRightInd w:val="0"/>
              <w:snapToGrid w:val="0"/>
              <w:jc w:val="center"/>
              <w:rPr>
                <w:spacing w:val="-4"/>
                <w:sz w:val="20"/>
                <w:szCs w:val="20"/>
              </w:rPr>
            </w:pPr>
            <w:r>
              <w:rPr>
                <w:spacing w:val="-4"/>
                <w:sz w:val="20"/>
                <w:szCs w:val="20"/>
              </w:rPr>
              <w:t>2.09</w:t>
            </w:r>
          </w:p>
        </w:tc>
        <w:tc>
          <w:tcPr>
            <w:tcW w:w="794" w:type="dxa"/>
            <w:vAlign w:val="center"/>
          </w:tcPr>
          <w:p>
            <w:pPr>
              <w:adjustRightInd w:val="0"/>
              <w:snapToGrid w:val="0"/>
              <w:jc w:val="center"/>
              <w:rPr>
                <w:spacing w:val="-4"/>
                <w:sz w:val="20"/>
                <w:szCs w:val="20"/>
              </w:rPr>
            </w:pPr>
            <w:r>
              <w:rPr>
                <w:spacing w:val="-4"/>
                <w:sz w:val="20"/>
                <w:szCs w:val="20"/>
              </w:rPr>
              <w:t>0.0013</w:t>
            </w:r>
          </w:p>
        </w:tc>
        <w:tc>
          <w:tcPr>
            <w:tcW w:w="884" w:type="dxa"/>
            <w:vAlign w:val="center"/>
          </w:tcPr>
          <w:p>
            <w:pPr>
              <w:adjustRightInd w:val="0"/>
              <w:snapToGrid w:val="0"/>
              <w:jc w:val="center"/>
              <w:rPr>
                <w:spacing w:val="-4"/>
                <w:sz w:val="20"/>
                <w:szCs w:val="20"/>
              </w:rPr>
            </w:pPr>
            <w:r>
              <w:rPr>
                <w:spacing w:val="-4"/>
                <w:sz w:val="20"/>
                <w:szCs w:val="20"/>
              </w:rPr>
              <w:t>0.00006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第三次</w:t>
            </w:r>
          </w:p>
        </w:tc>
        <w:tc>
          <w:tcPr>
            <w:tcW w:w="966" w:type="dxa"/>
            <w:vAlign w:val="center"/>
          </w:tcPr>
          <w:p>
            <w:pPr>
              <w:adjustRightInd w:val="0"/>
              <w:snapToGrid w:val="0"/>
              <w:jc w:val="center"/>
              <w:rPr>
                <w:sz w:val="20"/>
                <w:szCs w:val="20"/>
              </w:rPr>
            </w:pPr>
            <w:r>
              <w:rPr>
                <w:sz w:val="20"/>
                <w:szCs w:val="20"/>
              </w:rPr>
              <w:t>6.21</w:t>
            </w:r>
          </w:p>
        </w:tc>
        <w:tc>
          <w:tcPr>
            <w:tcW w:w="725" w:type="dxa"/>
            <w:vAlign w:val="center"/>
          </w:tcPr>
          <w:p>
            <w:pPr>
              <w:adjustRightInd w:val="0"/>
              <w:snapToGrid w:val="0"/>
              <w:jc w:val="center"/>
              <w:rPr>
                <w:spacing w:val="-4"/>
                <w:sz w:val="20"/>
                <w:szCs w:val="20"/>
              </w:rPr>
            </w:pPr>
            <w:r>
              <w:rPr>
                <w:spacing w:val="-4"/>
                <w:sz w:val="20"/>
                <w:szCs w:val="20"/>
              </w:rPr>
              <w:t>31</w:t>
            </w:r>
          </w:p>
        </w:tc>
        <w:tc>
          <w:tcPr>
            <w:tcW w:w="726" w:type="dxa"/>
            <w:vAlign w:val="center"/>
          </w:tcPr>
          <w:p>
            <w:pPr>
              <w:adjustRightInd w:val="0"/>
              <w:snapToGrid w:val="0"/>
              <w:jc w:val="center"/>
              <w:rPr>
                <w:spacing w:val="-4"/>
                <w:sz w:val="20"/>
                <w:szCs w:val="20"/>
              </w:rPr>
            </w:pPr>
            <w:r>
              <w:rPr>
                <w:spacing w:val="-4"/>
                <w:sz w:val="20"/>
                <w:szCs w:val="20"/>
              </w:rPr>
              <w:t>64.6</w:t>
            </w:r>
          </w:p>
        </w:tc>
        <w:tc>
          <w:tcPr>
            <w:tcW w:w="726" w:type="dxa"/>
            <w:vAlign w:val="center"/>
          </w:tcPr>
          <w:p>
            <w:pPr>
              <w:adjustRightInd w:val="0"/>
              <w:snapToGrid w:val="0"/>
              <w:jc w:val="center"/>
              <w:rPr>
                <w:spacing w:val="-4"/>
                <w:sz w:val="20"/>
                <w:szCs w:val="20"/>
              </w:rPr>
            </w:pPr>
            <w:r>
              <w:rPr>
                <w:spacing w:val="-4"/>
                <w:sz w:val="20"/>
                <w:szCs w:val="20"/>
              </w:rPr>
              <w:t>3.40</w:t>
            </w:r>
          </w:p>
        </w:tc>
        <w:tc>
          <w:tcPr>
            <w:tcW w:w="726" w:type="dxa"/>
            <w:vAlign w:val="center"/>
          </w:tcPr>
          <w:p>
            <w:pPr>
              <w:adjustRightInd w:val="0"/>
              <w:snapToGrid w:val="0"/>
              <w:jc w:val="center"/>
              <w:rPr>
                <w:spacing w:val="-4"/>
                <w:sz w:val="20"/>
                <w:szCs w:val="20"/>
              </w:rPr>
            </w:pPr>
            <w:r>
              <w:rPr>
                <w:spacing w:val="-4"/>
                <w:sz w:val="20"/>
                <w:szCs w:val="20"/>
              </w:rPr>
              <w:t>11.2</w:t>
            </w:r>
          </w:p>
        </w:tc>
        <w:tc>
          <w:tcPr>
            <w:tcW w:w="726" w:type="dxa"/>
            <w:vAlign w:val="center"/>
          </w:tcPr>
          <w:p>
            <w:pPr>
              <w:adjustRightInd w:val="0"/>
              <w:snapToGrid w:val="0"/>
              <w:jc w:val="center"/>
              <w:rPr>
                <w:spacing w:val="-4"/>
                <w:sz w:val="20"/>
                <w:szCs w:val="20"/>
              </w:rPr>
            </w:pPr>
            <w:r>
              <w:rPr>
                <w:spacing w:val="-4"/>
                <w:sz w:val="20"/>
                <w:szCs w:val="20"/>
              </w:rPr>
              <w:t>0.69</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0.024</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3.94</w:t>
            </w:r>
          </w:p>
        </w:tc>
        <w:tc>
          <w:tcPr>
            <w:tcW w:w="726" w:type="dxa"/>
            <w:vAlign w:val="center"/>
          </w:tcPr>
          <w:p>
            <w:pPr>
              <w:adjustRightInd w:val="0"/>
              <w:snapToGrid w:val="0"/>
              <w:jc w:val="center"/>
              <w:rPr>
                <w:spacing w:val="-4"/>
                <w:sz w:val="20"/>
                <w:szCs w:val="20"/>
              </w:rPr>
            </w:pPr>
            <w:r>
              <w:rPr>
                <w:spacing w:val="-4"/>
                <w:sz w:val="20"/>
                <w:szCs w:val="20"/>
              </w:rPr>
              <w:t>5.35</w:t>
            </w:r>
          </w:p>
        </w:tc>
        <w:tc>
          <w:tcPr>
            <w:tcW w:w="726" w:type="dxa"/>
            <w:vAlign w:val="center"/>
          </w:tcPr>
          <w:p>
            <w:pPr>
              <w:adjustRightInd w:val="0"/>
              <w:snapToGrid w:val="0"/>
              <w:jc w:val="center"/>
              <w:rPr>
                <w:spacing w:val="-4"/>
                <w:sz w:val="20"/>
                <w:szCs w:val="20"/>
              </w:rPr>
            </w:pPr>
            <w:r>
              <w:rPr>
                <w:spacing w:val="-4"/>
                <w:sz w:val="20"/>
                <w:szCs w:val="20"/>
              </w:rPr>
              <w:t>2.11</w:t>
            </w:r>
          </w:p>
        </w:tc>
        <w:tc>
          <w:tcPr>
            <w:tcW w:w="794" w:type="dxa"/>
            <w:vAlign w:val="center"/>
          </w:tcPr>
          <w:p>
            <w:pPr>
              <w:adjustRightInd w:val="0"/>
              <w:snapToGrid w:val="0"/>
              <w:jc w:val="center"/>
              <w:rPr>
                <w:spacing w:val="-4"/>
                <w:sz w:val="20"/>
                <w:szCs w:val="20"/>
              </w:rPr>
            </w:pPr>
            <w:r>
              <w:rPr>
                <w:spacing w:val="-4"/>
                <w:sz w:val="20"/>
                <w:szCs w:val="20"/>
              </w:rPr>
              <w:t>0.0012</w:t>
            </w:r>
          </w:p>
        </w:tc>
        <w:tc>
          <w:tcPr>
            <w:tcW w:w="884" w:type="dxa"/>
            <w:vAlign w:val="center"/>
          </w:tcPr>
          <w:p>
            <w:pPr>
              <w:adjustRightInd w:val="0"/>
              <w:snapToGrid w:val="0"/>
              <w:jc w:val="center"/>
              <w:rPr>
                <w:spacing w:val="-4"/>
                <w:sz w:val="20"/>
                <w:szCs w:val="20"/>
              </w:rPr>
            </w:pPr>
            <w:r>
              <w:rPr>
                <w:spacing w:val="-4"/>
                <w:sz w:val="20"/>
                <w:szCs w:val="20"/>
              </w:rPr>
              <w:t>0.00005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第四次</w:t>
            </w:r>
          </w:p>
        </w:tc>
        <w:tc>
          <w:tcPr>
            <w:tcW w:w="966" w:type="dxa"/>
            <w:vAlign w:val="center"/>
          </w:tcPr>
          <w:p>
            <w:pPr>
              <w:adjustRightInd w:val="0"/>
              <w:snapToGrid w:val="0"/>
              <w:jc w:val="center"/>
              <w:rPr>
                <w:sz w:val="20"/>
                <w:szCs w:val="20"/>
              </w:rPr>
            </w:pPr>
            <w:r>
              <w:rPr>
                <w:sz w:val="20"/>
                <w:szCs w:val="20"/>
              </w:rPr>
              <w:t>6.19</w:t>
            </w:r>
          </w:p>
        </w:tc>
        <w:tc>
          <w:tcPr>
            <w:tcW w:w="725" w:type="dxa"/>
            <w:vAlign w:val="center"/>
          </w:tcPr>
          <w:p>
            <w:pPr>
              <w:adjustRightInd w:val="0"/>
              <w:snapToGrid w:val="0"/>
              <w:jc w:val="center"/>
              <w:rPr>
                <w:spacing w:val="-4"/>
                <w:sz w:val="20"/>
                <w:szCs w:val="20"/>
              </w:rPr>
            </w:pPr>
            <w:r>
              <w:rPr>
                <w:spacing w:val="-4"/>
                <w:sz w:val="20"/>
                <w:szCs w:val="20"/>
              </w:rPr>
              <w:t>38</w:t>
            </w:r>
          </w:p>
        </w:tc>
        <w:tc>
          <w:tcPr>
            <w:tcW w:w="726" w:type="dxa"/>
            <w:vAlign w:val="center"/>
          </w:tcPr>
          <w:p>
            <w:pPr>
              <w:adjustRightInd w:val="0"/>
              <w:snapToGrid w:val="0"/>
              <w:jc w:val="center"/>
              <w:rPr>
                <w:spacing w:val="-4"/>
                <w:sz w:val="20"/>
                <w:szCs w:val="20"/>
              </w:rPr>
            </w:pPr>
            <w:r>
              <w:rPr>
                <w:spacing w:val="-4"/>
                <w:sz w:val="20"/>
                <w:szCs w:val="20"/>
              </w:rPr>
              <w:t>71.0</w:t>
            </w:r>
          </w:p>
        </w:tc>
        <w:tc>
          <w:tcPr>
            <w:tcW w:w="726" w:type="dxa"/>
            <w:vAlign w:val="center"/>
          </w:tcPr>
          <w:p>
            <w:pPr>
              <w:adjustRightInd w:val="0"/>
              <w:snapToGrid w:val="0"/>
              <w:jc w:val="center"/>
              <w:rPr>
                <w:spacing w:val="-4"/>
                <w:sz w:val="20"/>
                <w:szCs w:val="20"/>
              </w:rPr>
            </w:pPr>
            <w:r>
              <w:rPr>
                <w:spacing w:val="-4"/>
                <w:sz w:val="20"/>
                <w:szCs w:val="20"/>
              </w:rPr>
              <w:t>3.48</w:t>
            </w:r>
          </w:p>
        </w:tc>
        <w:tc>
          <w:tcPr>
            <w:tcW w:w="726" w:type="dxa"/>
            <w:vAlign w:val="center"/>
          </w:tcPr>
          <w:p>
            <w:pPr>
              <w:adjustRightInd w:val="0"/>
              <w:snapToGrid w:val="0"/>
              <w:jc w:val="center"/>
              <w:rPr>
                <w:spacing w:val="-4"/>
                <w:sz w:val="20"/>
                <w:szCs w:val="20"/>
              </w:rPr>
            </w:pPr>
            <w:r>
              <w:rPr>
                <w:spacing w:val="-4"/>
                <w:sz w:val="20"/>
                <w:szCs w:val="20"/>
              </w:rPr>
              <w:t>10.9</w:t>
            </w:r>
          </w:p>
        </w:tc>
        <w:tc>
          <w:tcPr>
            <w:tcW w:w="726" w:type="dxa"/>
            <w:vAlign w:val="center"/>
          </w:tcPr>
          <w:p>
            <w:pPr>
              <w:adjustRightInd w:val="0"/>
              <w:snapToGrid w:val="0"/>
              <w:jc w:val="center"/>
              <w:rPr>
                <w:spacing w:val="-4"/>
                <w:sz w:val="20"/>
                <w:szCs w:val="20"/>
              </w:rPr>
            </w:pPr>
            <w:r>
              <w:rPr>
                <w:spacing w:val="-4"/>
                <w:sz w:val="20"/>
                <w:szCs w:val="20"/>
              </w:rPr>
              <w:t>0.72</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0.018</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3.70</w:t>
            </w:r>
          </w:p>
        </w:tc>
        <w:tc>
          <w:tcPr>
            <w:tcW w:w="726" w:type="dxa"/>
            <w:vAlign w:val="center"/>
          </w:tcPr>
          <w:p>
            <w:pPr>
              <w:adjustRightInd w:val="0"/>
              <w:snapToGrid w:val="0"/>
              <w:jc w:val="center"/>
              <w:rPr>
                <w:spacing w:val="-4"/>
                <w:sz w:val="20"/>
                <w:szCs w:val="20"/>
              </w:rPr>
            </w:pPr>
            <w:r>
              <w:rPr>
                <w:spacing w:val="-4"/>
                <w:sz w:val="20"/>
                <w:szCs w:val="20"/>
              </w:rPr>
              <w:t>5.00</w:t>
            </w:r>
          </w:p>
        </w:tc>
        <w:tc>
          <w:tcPr>
            <w:tcW w:w="726" w:type="dxa"/>
            <w:vAlign w:val="center"/>
          </w:tcPr>
          <w:p>
            <w:pPr>
              <w:adjustRightInd w:val="0"/>
              <w:snapToGrid w:val="0"/>
              <w:jc w:val="center"/>
              <w:rPr>
                <w:spacing w:val="-4"/>
                <w:sz w:val="20"/>
                <w:szCs w:val="20"/>
              </w:rPr>
            </w:pPr>
            <w:r>
              <w:rPr>
                <w:spacing w:val="-4"/>
                <w:sz w:val="20"/>
                <w:szCs w:val="20"/>
              </w:rPr>
              <w:t>2.19</w:t>
            </w:r>
          </w:p>
        </w:tc>
        <w:tc>
          <w:tcPr>
            <w:tcW w:w="794" w:type="dxa"/>
            <w:vAlign w:val="center"/>
          </w:tcPr>
          <w:p>
            <w:pPr>
              <w:adjustRightInd w:val="0"/>
              <w:snapToGrid w:val="0"/>
              <w:jc w:val="center"/>
              <w:rPr>
                <w:spacing w:val="-4"/>
                <w:sz w:val="20"/>
                <w:szCs w:val="20"/>
              </w:rPr>
            </w:pPr>
            <w:r>
              <w:rPr>
                <w:spacing w:val="-4"/>
                <w:sz w:val="20"/>
                <w:szCs w:val="20"/>
              </w:rPr>
              <w:t>0.0009</w:t>
            </w:r>
          </w:p>
        </w:tc>
        <w:tc>
          <w:tcPr>
            <w:tcW w:w="884" w:type="dxa"/>
            <w:vAlign w:val="center"/>
          </w:tcPr>
          <w:p>
            <w:pPr>
              <w:adjustRightInd w:val="0"/>
              <w:snapToGrid w:val="0"/>
              <w:jc w:val="center"/>
              <w:rPr>
                <w:spacing w:val="-4"/>
                <w:sz w:val="20"/>
                <w:szCs w:val="20"/>
              </w:rPr>
            </w:pPr>
            <w:r>
              <w:rPr>
                <w:spacing w:val="-4"/>
                <w:sz w:val="20"/>
                <w:szCs w:val="20"/>
              </w:rPr>
              <w:t>0.00006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2016-8-27  第一次</w:t>
            </w:r>
          </w:p>
        </w:tc>
        <w:tc>
          <w:tcPr>
            <w:tcW w:w="966" w:type="dxa"/>
            <w:vAlign w:val="center"/>
          </w:tcPr>
          <w:p>
            <w:pPr>
              <w:adjustRightInd w:val="0"/>
              <w:snapToGrid w:val="0"/>
              <w:jc w:val="center"/>
              <w:rPr>
                <w:sz w:val="20"/>
                <w:szCs w:val="20"/>
              </w:rPr>
            </w:pPr>
            <w:r>
              <w:rPr>
                <w:sz w:val="20"/>
                <w:szCs w:val="20"/>
              </w:rPr>
              <w:t>6.27</w:t>
            </w:r>
          </w:p>
        </w:tc>
        <w:tc>
          <w:tcPr>
            <w:tcW w:w="725" w:type="dxa"/>
            <w:vAlign w:val="center"/>
          </w:tcPr>
          <w:p>
            <w:pPr>
              <w:adjustRightInd w:val="0"/>
              <w:snapToGrid w:val="0"/>
              <w:jc w:val="center"/>
              <w:rPr>
                <w:spacing w:val="-4"/>
                <w:sz w:val="20"/>
                <w:szCs w:val="20"/>
              </w:rPr>
            </w:pPr>
            <w:r>
              <w:rPr>
                <w:spacing w:val="-4"/>
                <w:sz w:val="20"/>
                <w:szCs w:val="20"/>
              </w:rPr>
              <w:t>49</w:t>
            </w:r>
          </w:p>
        </w:tc>
        <w:tc>
          <w:tcPr>
            <w:tcW w:w="726" w:type="dxa"/>
            <w:vAlign w:val="center"/>
          </w:tcPr>
          <w:p>
            <w:pPr>
              <w:adjustRightInd w:val="0"/>
              <w:snapToGrid w:val="0"/>
              <w:jc w:val="center"/>
              <w:rPr>
                <w:spacing w:val="-4"/>
                <w:sz w:val="20"/>
                <w:szCs w:val="20"/>
              </w:rPr>
            </w:pPr>
            <w:r>
              <w:rPr>
                <w:spacing w:val="-4"/>
                <w:sz w:val="20"/>
                <w:szCs w:val="20"/>
              </w:rPr>
              <w:t>80.6</w:t>
            </w:r>
          </w:p>
        </w:tc>
        <w:tc>
          <w:tcPr>
            <w:tcW w:w="726" w:type="dxa"/>
            <w:vAlign w:val="center"/>
          </w:tcPr>
          <w:p>
            <w:pPr>
              <w:adjustRightInd w:val="0"/>
              <w:snapToGrid w:val="0"/>
              <w:jc w:val="center"/>
              <w:rPr>
                <w:spacing w:val="-4"/>
                <w:sz w:val="20"/>
                <w:szCs w:val="20"/>
              </w:rPr>
            </w:pPr>
            <w:r>
              <w:rPr>
                <w:spacing w:val="-4"/>
                <w:sz w:val="20"/>
                <w:szCs w:val="20"/>
              </w:rPr>
              <w:t>3.75</w:t>
            </w:r>
          </w:p>
        </w:tc>
        <w:tc>
          <w:tcPr>
            <w:tcW w:w="726" w:type="dxa"/>
            <w:vAlign w:val="center"/>
          </w:tcPr>
          <w:p>
            <w:pPr>
              <w:adjustRightInd w:val="0"/>
              <w:snapToGrid w:val="0"/>
              <w:jc w:val="center"/>
              <w:rPr>
                <w:spacing w:val="-4"/>
                <w:sz w:val="20"/>
                <w:szCs w:val="20"/>
              </w:rPr>
            </w:pPr>
            <w:r>
              <w:rPr>
                <w:spacing w:val="-4"/>
                <w:sz w:val="20"/>
                <w:szCs w:val="20"/>
              </w:rPr>
              <w:t>9.5</w:t>
            </w:r>
          </w:p>
        </w:tc>
        <w:tc>
          <w:tcPr>
            <w:tcW w:w="726" w:type="dxa"/>
            <w:vAlign w:val="center"/>
          </w:tcPr>
          <w:p>
            <w:pPr>
              <w:adjustRightInd w:val="0"/>
              <w:snapToGrid w:val="0"/>
              <w:jc w:val="center"/>
              <w:rPr>
                <w:spacing w:val="-4"/>
                <w:sz w:val="20"/>
                <w:szCs w:val="20"/>
              </w:rPr>
            </w:pPr>
            <w:r>
              <w:rPr>
                <w:spacing w:val="-4"/>
                <w:sz w:val="20"/>
                <w:szCs w:val="20"/>
              </w:rPr>
              <w:t>0.74</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0.024</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3.62</w:t>
            </w:r>
          </w:p>
        </w:tc>
        <w:tc>
          <w:tcPr>
            <w:tcW w:w="726" w:type="dxa"/>
            <w:vAlign w:val="center"/>
          </w:tcPr>
          <w:p>
            <w:pPr>
              <w:adjustRightInd w:val="0"/>
              <w:snapToGrid w:val="0"/>
              <w:jc w:val="center"/>
              <w:rPr>
                <w:spacing w:val="-4"/>
                <w:sz w:val="20"/>
                <w:szCs w:val="20"/>
              </w:rPr>
            </w:pPr>
            <w:r>
              <w:rPr>
                <w:spacing w:val="-4"/>
                <w:sz w:val="20"/>
                <w:szCs w:val="20"/>
              </w:rPr>
              <w:t>5.12</w:t>
            </w:r>
          </w:p>
        </w:tc>
        <w:tc>
          <w:tcPr>
            <w:tcW w:w="726" w:type="dxa"/>
            <w:vAlign w:val="center"/>
          </w:tcPr>
          <w:p>
            <w:pPr>
              <w:adjustRightInd w:val="0"/>
              <w:snapToGrid w:val="0"/>
              <w:jc w:val="center"/>
              <w:rPr>
                <w:spacing w:val="-4"/>
                <w:sz w:val="20"/>
                <w:szCs w:val="20"/>
              </w:rPr>
            </w:pPr>
            <w:r>
              <w:rPr>
                <w:spacing w:val="-4"/>
                <w:sz w:val="20"/>
                <w:szCs w:val="20"/>
              </w:rPr>
              <w:t>2.14</w:t>
            </w:r>
          </w:p>
        </w:tc>
        <w:tc>
          <w:tcPr>
            <w:tcW w:w="794" w:type="dxa"/>
            <w:vAlign w:val="center"/>
          </w:tcPr>
          <w:p>
            <w:pPr>
              <w:adjustRightInd w:val="0"/>
              <w:snapToGrid w:val="0"/>
              <w:jc w:val="center"/>
              <w:rPr>
                <w:spacing w:val="-4"/>
                <w:sz w:val="20"/>
                <w:szCs w:val="20"/>
              </w:rPr>
            </w:pPr>
            <w:r>
              <w:rPr>
                <w:spacing w:val="-4"/>
                <w:sz w:val="20"/>
                <w:szCs w:val="20"/>
              </w:rPr>
              <w:t>未检出</w:t>
            </w:r>
          </w:p>
        </w:tc>
        <w:tc>
          <w:tcPr>
            <w:tcW w:w="884" w:type="dxa"/>
            <w:vAlign w:val="center"/>
          </w:tcPr>
          <w:p>
            <w:pPr>
              <w:adjustRightInd w:val="0"/>
              <w:snapToGrid w:val="0"/>
              <w:jc w:val="center"/>
              <w:rPr>
                <w:spacing w:val="-4"/>
                <w:sz w:val="20"/>
                <w:szCs w:val="20"/>
              </w:rPr>
            </w:pPr>
            <w:r>
              <w:rPr>
                <w:spacing w:val="-4"/>
                <w:sz w:val="20"/>
                <w:szCs w:val="20"/>
              </w:rPr>
              <w:t>0.00007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第二次</w:t>
            </w:r>
          </w:p>
        </w:tc>
        <w:tc>
          <w:tcPr>
            <w:tcW w:w="966" w:type="dxa"/>
            <w:vAlign w:val="center"/>
          </w:tcPr>
          <w:p>
            <w:pPr>
              <w:adjustRightInd w:val="0"/>
              <w:snapToGrid w:val="0"/>
              <w:jc w:val="center"/>
              <w:rPr>
                <w:sz w:val="20"/>
                <w:szCs w:val="20"/>
              </w:rPr>
            </w:pPr>
            <w:r>
              <w:rPr>
                <w:sz w:val="20"/>
                <w:szCs w:val="20"/>
              </w:rPr>
              <w:t>6.29</w:t>
            </w:r>
          </w:p>
        </w:tc>
        <w:tc>
          <w:tcPr>
            <w:tcW w:w="725" w:type="dxa"/>
            <w:vAlign w:val="center"/>
          </w:tcPr>
          <w:p>
            <w:pPr>
              <w:adjustRightInd w:val="0"/>
              <w:snapToGrid w:val="0"/>
              <w:jc w:val="center"/>
              <w:rPr>
                <w:spacing w:val="-4"/>
                <w:sz w:val="20"/>
                <w:szCs w:val="20"/>
              </w:rPr>
            </w:pPr>
            <w:r>
              <w:rPr>
                <w:spacing w:val="-4"/>
                <w:sz w:val="20"/>
                <w:szCs w:val="20"/>
              </w:rPr>
              <w:t>44</w:t>
            </w:r>
          </w:p>
        </w:tc>
        <w:tc>
          <w:tcPr>
            <w:tcW w:w="726" w:type="dxa"/>
            <w:vAlign w:val="center"/>
          </w:tcPr>
          <w:p>
            <w:pPr>
              <w:adjustRightInd w:val="0"/>
              <w:snapToGrid w:val="0"/>
              <w:jc w:val="center"/>
              <w:rPr>
                <w:spacing w:val="-4"/>
                <w:sz w:val="20"/>
                <w:szCs w:val="20"/>
              </w:rPr>
            </w:pPr>
            <w:r>
              <w:rPr>
                <w:spacing w:val="-4"/>
                <w:sz w:val="20"/>
                <w:szCs w:val="20"/>
              </w:rPr>
              <w:t>77.4</w:t>
            </w:r>
          </w:p>
        </w:tc>
        <w:tc>
          <w:tcPr>
            <w:tcW w:w="726" w:type="dxa"/>
            <w:vAlign w:val="center"/>
          </w:tcPr>
          <w:p>
            <w:pPr>
              <w:adjustRightInd w:val="0"/>
              <w:snapToGrid w:val="0"/>
              <w:jc w:val="center"/>
              <w:rPr>
                <w:spacing w:val="-4"/>
                <w:sz w:val="20"/>
                <w:szCs w:val="20"/>
              </w:rPr>
            </w:pPr>
            <w:r>
              <w:rPr>
                <w:spacing w:val="-4"/>
                <w:sz w:val="20"/>
                <w:szCs w:val="20"/>
              </w:rPr>
              <w:t>3.78</w:t>
            </w:r>
          </w:p>
        </w:tc>
        <w:tc>
          <w:tcPr>
            <w:tcW w:w="726" w:type="dxa"/>
            <w:vAlign w:val="center"/>
          </w:tcPr>
          <w:p>
            <w:pPr>
              <w:adjustRightInd w:val="0"/>
              <w:snapToGrid w:val="0"/>
              <w:jc w:val="center"/>
              <w:rPr>
                <w:spacing w:val="-4"/>
                <w:sz w:val="20"/>
                <w:szCs w:val="20"/>
              </w:rPr>
            </w:pPr>
            <w:r>
              <w:rPr>
                <w:spacing w:val="-4"/>
                <w:sz w:val="20"/>
                <w:szCs w:val="20"/>
              </w:rPr>
              <w:t>9.8</w:t>
            </w:r>
          </w:p>
        </w:tc>
        <w:tc>
          <w:tcPr>
            <w:tcW w:w="726" w:type="dxa"/>
            <w:vAlign w:val="center"/>
          </w:tcPr>
          <w:p>
            <w:pPr>
              <w:adjustRightInd w:val="0"/>
              <w:snapToGrid w:val="0"/>
              <w:jc w:val="center"/>
              <w:rPr>
                <w:spacing w:val="-4"/>
                <w:sz w:val="20"/>
                <w:szCs w:val="20"/>
              </w:rPr>
            </w:pPr>
            <w:r>
              <w:rPr>
                <w:spacing w:val="-4"/>
                <w:sz w:val="20"/>
                <w:szCs w:val="20"/>
              </w:rPr>
              <w:t>0.77</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0.018</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3.54</w:t>
            </w:r>
          </w:p>
        </w:tc>
        <w:tc>
          <w:tcPr>
            <w:tcW w:w="726" w:type="dxa"/>
            <w:vAlign w:val="center"/>
          </w:tcPr>
          <w:p>
            <w:pPr>
              <w:adjustRightInd w:val="0"/>
              <w:snapToGrid w:val="0"/>
              <w:jc w:val="center"/>
              <w:rPr>
                <w:spacing w:val="-4"/>
                <w:sz w:val="20"/>
                <w:szCs w:val="20"/>
              </w:rPr>
            </w:pPr>
            <w:r>
              <w:rPr>
                <w:spacing w:val="-4"/>
                <w:sz w:val="20"/>
                <w:szCs w:val="20"/>
              </w:rPr>
              <w:t>5.22</w:t>
            </w:r>
          </w:p>
        </w:tc>
        <w:tc>
          <w:tcPr>
            <w:tcW w:w="726" w:type="dxa"/>
            <w:vAlign w:val="center"/>
          </w:tcPr>
          <w:p>
            <w:pPr>
              <w:adjustRightInd w:val="0"/>
              <w:snapToGrid w:val="0"/>
              <w:jc w:val="center"/>
              <w:rPr>
                <w:spacing w:val="-4"/>
                <w:sz w:val="20"/>
                <w:szCs w:val="20"/>
              </w:rPr>
            </w:pPr>
            <w:r>
              <w:rPr>
                <w:spacing w:val="-4"/>
                <w:sz w:val="20"/>
                <w:szCs w:val="20"/>
              </w:rPr>
              <w:t>2.19</w:t>
            </w:r>
          </w:p>
        </w:tc>
        <w:tc>
          <w:tcPr>
            <w:tcW w:w="794" w:type="dxa"/>
            <w:vAlign w:val="center"/>
          </w:tcPr>
          <w:p>
            <w:pPr>
              <w:adjustRightInd w:val="0"/>
              <w:snapToGrid w:val="0"/>
              <w:jc w:val="center"/>
              <w:rPr>
                <w:spacing w:val="-4"/>
                <w:sz w:val="20"/>
                <w:szCs w:val="20"/>
              </w:rPr>
            </w:pPr>
            <w:r>
              <w:rPr>
                <w:spacing w:val="-4"/>
                <w:sz w:val="20"/>
                <w:szCs w:val="20"/>
              </w:rPr>
              <w:t>未检出</w:t>
            </w:r>
          </w:p>
        </w:tc>
        <w:tc>
          <w:tcPr>
            <w:tcW w:w="884" w:type="dxa"/>
            <w:vAlign w:val="center"/>
          </w:tcPr>
          <w:p>
            <w:pPr>
              <w:adjustRightInd w:val="0"/>
              <w:snapToGrid w:val="0"/>
              <w:jc w:val="center"/>
              <w:rPr>
                <w:spacing w:val="-4"/>
                <w:sz w:val="20"/>
                <w:szCs w:val="20"/>
              </w:rPr>
            </w:pPr>
            <w:r>
              <w:rPr>
                <w:spacing w:val="-4"/>
                <w:sz w:val="20"/>
                <w:szCs w:val="20"/>
              </w:rPr>
              <w:t>0.00006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第三次</w:t>
            </w:r>
          </w:p>
        </w:tc>
        <w:tc>
          <w:tcPr>
            <w:tcW w:w="966" w:type="dxa"/>
            <w:vAlign w:val="center"/>
          </w:tcPr>
          <w:p>
            <w:pPr>
              <w:adjustRightInd w:val="0"/>
              <w:snapToGrid w:val="0"/>
              <w:jc w:val="center"/>
              <w:rPr>
                <w:sz w:val="20"/>
                <w:szCs w:val="20"/>
              </w:rPr>
            </w:pPr>
            <w:r>
              <w:rPr>
                <w:sz w:val="20"/>
                <w:szCs w:val="20"/>
              </w:rPr>
              <w:t>6.19</w:t>
            </w:r>
          </w:p>
        </w:tc>
        <w:tc>
          <w:tcPr>
            <w:tcW w:w="725" w:type="dxa"/>
            <w:vAlign w:val="center"/>
          </w:tcPr>
          <w:p>
            <w:pPr>
              <w:adjustRightInd w:val="0"/>
              <w:snapToGrid w:val="0"/>
              <w:jc w:val="center"/>
              <w:rPr>
                <w:spacing w:val="-4"/>
                <w:sz w:val="20"/>
                <w:szCs w:val="20"/>
              </w:rPr>
            </w:pPr>
            <w:r>
              <w:rPr>
                <w:spacing w:val="-4"/>
                <w:sz w:val="20"/>
                <w:szCs w:val="20"/>
              </w:rPr>
              <w:t>47</w:t>
            </w:r>
          </w:p>
        </w:tc>
        <w:tc>
          <w:tcPr>
            <w:tcW w:w="726" w:type="dxa"/>
            <w:vAlign w:val="center"/>
          </w:tcPr>
          <w:p>
            <w:pPr>
              <w:adjustRightInd w:val="0"/>
              <w:snapToGrid w:val="0"/>
              <w:jc w:val="center"/>
              <w:rPr>
                <w:spacing w:val="-4"/>
                <w:sz w:val="20"/>
                <w:szCs w:val="20"/>
              </w:rPr>
            </w:pPr>
            <w:r>
              <w:rPr>
                <w:spacing w:val="-4"/>
                <w:sz w:val="20"/>
                <w:szCs w:val="20"/>
              </w:rPr>
              <w:t>75.8</w:t>
            </w:r>
          </w:p>
        </w:tc>
        <w:tc>
          <w:tcPr>
            <w:tcW w:w="726" w:type="dxa"/>
            <w:vAlign w:val="center"/>
          </w:tcPr>
          <w:p>
            <w:pPr>
              <w:adjustRightInd w:val="0"/>
              <w:snapToGrid w:val="0"/>
              <w:jc w:val="center"/>
              <w:rPr>
                <w:spacing w:val="-4"/>
                <w:sz w:val="20"/>
                <w:szCs w:val="20"/>
              </w:rPr>
            </w:pPr>
            <w:r>
              <w:rPr>
                <w:spacing w:val="-4"/>
                <w:sz w:val="20"/>
                <w:szCs w:val="20"/>
              </w:rPr>
              <w:t>3.73</w:t>
            </w:r>
          </w:p>
        </w:tc>
        <w:tc>
          <w:tcPr>
            <w:tcW w:w="726" w:type="dxa"/>
            <w:vAlign w:val="center"/>
          </w:tcPr>
          <w:p>
            <w:pPr>
              <w:adjustRightInd w:val="0"/>
              <w:snapToGrid w:val="0"/>
              <w:jc w:val="center"/>
              <w:rPr>
                <w:spacing w:val="-4"/>
                <w:sz w:val="20"/>
                <w:szCs w:val="20"/>
              </w:rPr>
            </w:pPr>
            <w:r>
              <w:rPr>
                <w:spacing w:val="-4"/>
                <w:sz w:val="20"/>
                <w:szCs w:val="20"/>
              </w:rPr>
              <w:t>9.1</w:t>
            </w:r>
          </w:p>
        </w:tc>
        <w:tc>
          <w:tcPr>
            <w:tcW w:w="726" w:type="dxa"/>
            <w:vAlign w:val="center"/>
          </w:tcPr>
          <w:p>
            <w:pPr>
              <w:adjustRightInd w:val="0"/>
              <w:snapToGrid w:val="0"/>
              <w:jc w:val="center"/>
              <w:rPr>
                <w:spacing w:val="-4"/>
                <w:sz w:val="20"/>
                <w:szCs w:val="20"/>
              </w:rPr>
            </w:pPr>
            <w:r>
              <w:rPr>
                <w:spacing w:val="-4"/>
                <w:sz w:val="20"/>
                <w:szCs w:val="20"/>
              </w:rPr>
              <w:t>0.69</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0.026</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3.22</w:t>
            </w:r>
          </w:p>
        </w:tc>
        <w:tc>
          <w:tcPr>
            <w:tcW w:w="726" w:type="dxa"/>
            <w:vAlign w:val="center"/>
          </w:tcPr>
          <w:p>
            <w:pPr>
              <w:adjustRightInd w:val="0"/>
              <w:snapToGrid w:val="0"/>
              <w:jc w:val="center"/>
              <w:rPr>
                <w:spacing w:val="-4"/>
                <w:sz w:val="20"/>
                <w:szCs w:val="20"/>
              </w:rPr>
            </w:pPr>
            <w:r>
              <w:rPr>
                <w:spacing w:val="-4"/>
                <w:sz w:val="20"/>
                <w:szCs w:val="20"/>
              </w:rPr>
              <w:t>5.10</w:t>
            </w:r>
          </w:p>
        </w:tc>
        <w:tc>
          <w:tcPr>
            <w:tcW w:w="726" w:type="dxa"/>
            <w:vAlign w:val="center"/>
          </w:tcPr>
          <w:p>
            <w:pPr>
              <w:adjustRightInd w:val="0"/>
              <w:snapToGrid w:val="0"/>
              <w:jc w:val="center"/>
              <w:rPr>
                <w:spacing w:val="-4"/>
                <w:sz w:val="20"/>
                <w:szCs w:val="20"/>
              </w:rPr>
            </w:pPr>
            <w:r>
              <w:rPr>
                <w:spacing w:val="-4"/>
                <w:sz w:val="20"/>
                <w:szCs w:val="20"/>
              </w:rPr>
              <w:t>2.02</w:t>
            </w:r>
          </w:p>
        </w:tc>
        <w:tc>
          <w:tcPr>
            <w:tcW w:w="794" w:type="dxa"/>
            <w:vAlign w:val="center"/>
          </w:tcPr>
          <w:p>
            <w:pPr>
              <w:adjustRightInd w:val="0"/>
              <w:snapToGrid w:val="0"/>
              <w:jc w:val="center"/>
              <w:rPr>
                <w:spacing w:val="-4"/>
                <w:sz w:val="20"/>
                <w:szCs w:val="20"/>
              </w:rPr>
            </w:pPr>
            <w:r>
              <w:rPr>
                <w:spacing w:val="-4"/>
                <w:sz w:val="20"/>
                <w:szCs w:val="20"/>
              </w:rPr>
              <w:t>0.0006</w:t>
            </w:r>
          </w:p>
        </w:tc>
        <w:tc>
          <w:tcPr>
            <w:tcW w:w="884" w:type="dxa"/>
            <w:vAlign w:val="center"/>
          </w:tcPr>
          <w:p>
            <w:pPr>
              <w:adjustRightInd w:val="0"/>
              <w:snapToGrid w:val="0"/>
              <w:jc w:val="center"/>
              <w:rPr>
                <w:spacing w:val="-4"/>
                <w:sz w:val="20"/>
                <w:szCs w:val="20"/>
              </w:rPr>
            </w:pPr>
            <w:r>
              <w:rPr>
                <w:spacing w:val="-4"/>
                <w:sz w:val="20"/>
                <w:szCs w:val="20"/>
              </w:rPr>
              <w:t>0.00006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671" w:type="dxa"/>
            <w:vMerge w:val="continue"/>
            <w:vAlign w:val="center"/>
          </w:tcPr>
          <w:p>
            <w:pPr>
              <w:adjustRightInd w:val="0"/>
              <w:snapToGrid w:val="0"/>
              <w:jc w:val="center"/>
              <w:rPr>
                <w:sz w:val="20"/>
                <w:szCs w:val="20"/>
              </w:rPr>
            </w:pPr>
          </w:p>
        </w:tc>
        <w:tc>
          <w:tcPr>
            <w:tcW w:w="1422" w:type="dxa"/>
            <w:vAlign w:val="center"/>
          </w:tcPr>
          <w:p>
            <w:pPr>
              <w:adjustRightInd w:val="0"/>
              <w:snapToGrid w:val="0"/>
              <w:jc w:val="center"/>
              <w:rPr>
                <w:sz w:val="20"/>
                <w:szCs w:val="20"/>
              </w:rPr>
            </w:pPr>
            <w:r>
              <w:rPr>
                <w:sz w:val="20"/>
                <w:szCs w:val="20"/>
              </w:rPr>
              <w:t>第四次</w:t>
            </w:r>
          </w:p>
        </w:tc>
        <w:tc>
          <w:tcPr>
            <w:tcW w:w="966" w:type="dxa"/>
            <w:vAlign w:val="center"/>
          </w:tcPr>
          <w:p>
            <w:pPr>
              <w:adjustRightInd w:val="0"/>
              <w:snapToGrid w:val="0"/>
              <w:jc w:val="center"/>
              <w:rPr>
                <w:sz w:val="20"/>
                <w:szCs w:val="20"/>
              </w:rPr>
            </w:pPr>
            <w:r>
              <w:rPr>
                <w:sz w:val="20"/>
                <w:szCs w:val="20"/>
              </w:rPr>
              <w:t>6.20</w:t>
            </w:r>
          </w:p>
        </w:tc>
        <w:tc>
          <w:tcPr>
            <w:tcW w:w="725" w:type="dxa"/>
            <w:vAlign w:val="center"/>
          </w:tcPr>
          <w:p>
            <w:pPr>
              <w:adjustRightInd w:val="0"/>
              <w:snapToGrid w:val="0"/>
              <w:jc w:val="center"/>
              <w:rPr>
                <w:spacing w:val="-4"/>
                <w:sz w:val="20"/>
                <w:szCs w:val="20"/>
              </w:rPr>
            </w:pPr>
            <w:r>
              <w:rPr>
                <w:spacing w:val="-4"/>
                <w:sz w:val="20"/>
                <w:szCs w:val="20"/>
              </w:rPr>
              <w:t>42</w:t>
            </w:r>
          </w:p>
        </w:tc>
        <w:tc>
          <w:tcPr>
            <w:tcW w:w="726" w:type="dxa"/>
            <w:vAlign w:val="center"/>
          </w:tcPr>
          <w:p>
            <w:pPr>
              <w:adjustRightInd w:val="0"/>
              <w:snapToGrid w:val="0"/>
              <w:jc w:val="center"/>
              <w:rPr>
                <w:spacing w:val="-4"/>
                <w:sz w:val="20"/>
                <w:szCs w:val="20"/>
              </w:rPr>
            </w:pPr>
            <w:r>
              <w:rPr>
                <w:spacing w:val="-4"/>
                <w:sz w:val="20"/>
                <w:szCs w:val="20"/>
              </w:rPr>
              <w:t>82.2</w:t>
            </w:r>
          </w:p>
        </w:tc>
        <w:tc>
          <w:tcPr>
            <w:tcW w:w="726" w:type="dxa"/>
            <w:vAlign w:val="center"/>
          </w:tcPr>
          <w:p>
            <w:pPr>
              <w:adjustRightInd w:val="0"/>
              <w:snapToGrid w:val="0"/>
              <w:jc w:val="center"/>
              <w:rPr>
                <w:spacing w:val="-4"/>
                <w:sz w:val="20"/>
                <w:szCs w:val="20"/>
              </w:rPr>
            </w:pPr>
            <w:r>
              <w:rPr>
                <w:spacing w:val="-4"/>
                <w:sz w:val="20"/>
                <w:szCs w:val="20"/>
              </w:rPr>
              <w:t>3.81</w:t>
            </w:r>
          </w:p>
        </w:tc>
        <w:tc>
          <w:tcPr>
            <w:tcW w:w="726" w:type="dxa"/>
            <w:vAlign w:val="center"/>
          </w:tcPr>
          <w:p>
            <w:pPr>
              <w:adjustRightInd w:val="0"/>
              <w:snapToGrid w:val="0"/>
              <w:jc w:val="center"/>
              <w:rPr>
                <w:spacing w:val="-4"/>
                <w:sz w:val="20"/>
                <w:szCs w:val="20"/>
              </w:rPr>
            </w:pPr>
            <w:r>
              <w:rPr>
                <w:spacing w:val="-4"/>
                <w:sz w:val="20"/>
                <w:szCs w:val="20"/>
              </w:rPr>
              <w:t>9.5</w:t>
            </w:r>
          </w:p>
        </w:tc>
        <w:tc>
          <w:tcPr>
            <w:tcW w:w="726" w:type="dxa"/>
            <w:vAlign w:val="center"/>
          </w:tcPr>
          <w:p>
            <w:pPr>
              <w:adjustRightInd w:val="0"/>
              <w:snapToGrid w:val="0"/>
              <w:jc w:val="center"/>
              <w:rPr>
                <w:spacing w:val="-4"/>
                <w:sz w:val="20"/>
                <w:szCs w:val="20"/>
              </w:rPr>
            </w:pPr>
            <w:r>
              <w:rPr>
                <w:spacing w:val="-4"/>
                <w:sz w:val="20"/>
                <w:szCs w:val="20"/>
              </w:rPr>
              <w:t>0.74</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0.020</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未检出</w:t>
            </w:r>
          </w:p>
        </w:tc>
        <w:tc>
          <w:tcPr>
            <w:tcW w:w="726" w:type="dxa"/>
            <w:vAlign w:val="center"/>
          </w:tcPr>
          <w:p>
            <w:pPr>
              <w:adjustRightInd w:val="0"/>
              <w:snapToGrid w:val="0"/>
              <w:jc w:val="center"/>
              <w:rPr>
                <w:spacing w:val="-4"/>
                <w:sz w:val="20"/>
                <w:szCs w:val="20"/>
              </w:rPr>
            </w:pPr>
            <w:r>
              <w:rPr>
                <w:spacing w:val="-4"/>
                <w:sz w:val="20"/>
                <w:szCs w:val="20"/>
              </w:rPr>
              <w:t>3.08</w:t>
            </w:r>
          </w:p>
        </w:tc>
        <w:tc>
          <w:tcPr>
            <w:tcW w:w="726" w:type="dxa"/>
            <w:vAlign w:val="center"/>
          </w:tcPr>
          <w:p>
            <w:pPr>
              <w:adjustRightInd w:val="0"/>
              <w:snapToGrid w:val="0"/>
              <w:jc w:val="center"/>
              <w:rPr>
                <w:spacing w:val="-4"/>
                <w:sz w:val="20"/>
                <w:szCs w:val="20"/>
              </w:rPr>
            </w:pPr>
            <w:r>
              <w:rPr>
                <w:spacing w:val="-4"/>
                <w:sz w:val="20"/>
                <w:szCs w:val="20"/>
              </w:rPr>
              <w:t>5.64</w:t>
            </w:r>
          </w:p>
        </w:tc>
        <w:tc>
          <w:tcPr>
            <w:tcW w:w="726" w:type="dxa"/>
            <w:vAlign w:val="center"/>
          </w:tcPr>
          <w:p>
            <w:pPr>
              <w:adjustRightInd w:val="0"/>
              <w:snapToGrid w:val="0"/>
              <w:jc w:val="center"/>
              <w:rPr>
                <w:spacing w:val="-4"/>
                <w:sz w:val="20"/>
                <w:szCs w:val="20"/>
              </w:rPr>
            </w:pPr>
            <w:r>
              <w:rPr>
                <w:spacing w:val="-4"/>
                <w:sz w:val="20"/>
                <w:szCs w:val="20"/>
              </w:rPr>
              <w:t>2.09</w:t>
            </w:r>
          </w:p>
        </w:tc>
        <w:tc>
          <w:tcPr>
            <w:tcW w:w="794" w:type="dxa"/>
            <w:vAlign w:val="center"/>
          </w:tcPr>
          <w:p>
            <w:pPr>
              <w:adjustRightInd w:val="0"/>
              <w:snapToGrid w:val="0"/>
              <w:jc w:val="center"/>
              <w:rPr>
                <w:spacing w:val="-4"/>
                <w:sz w:val="20"/>
                <w:szCs w:val="20"/>
              </w:rPr>
            </w:pPr>
            <w:r>
              <w:rPr>
                <w:spacing w:val="-4"/>
                <w:sz w:val="20"/>
                <w:szCs w:val="20"/>
              </w:rPr>
              <w:t>0.0008</w:t>
            </w:r>
          </w:p>
        </w:tc>
        <w:tc>
          <w:tcPr>
            <w:tcW w:w="884" w:type="dxa"/>
            <w:vAlign w:val="center"/>
          </w:tcPr>
          <w:p>
            <w:pPr>
              <w:adjustRightInd w:val="0"/>
              <w:snapToGrid w:val="0"/>
              <w:jc w:val="center"/>
              <w:rPr>
                <w:spacing w:val="-4"/>
                <w:sz w:val="20"/>
                <w:szCs w:val="20"/>
              </w:rPr>
            </w:pPr>
            <w:r>
              <w:rPr>
                <w:spacing w:val="-4"/>
                <w:sz w:val="20"/>
                <w:szCs w:val="20"/>
              </w:rPr>
              <w:t>0.00004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093" w:type="dxa"/>
            <w:gridSpan w:val="2"/>
            <w:vAlign w:val="center"/>
          </w:tcPr>
          <w:p>
            <w:pPr>
              <w:adjustRightInd w:val="0"/>
              <w:snapToGrid w:val="0"/>
              <w:jc w:val="center"/>
              <w:rPr>
                <w:sz w:val="20"/>
                <w:szCs w:val="20"/>
              </w:rPr>
            </w:pPr>
            <w:r>
              <w:rPr>
                <w:sz w:val="20"/>
                <w:szCs w:val="20"/>
              </w:rPr>
              <w:t>检出限</w:t>
            </w:r>
          </w:p>
        </w:tc>
        <w:tc>
          <w:tcPr>
            <w:tcW w:w="966" w:type="dxa"/>
            <w:vAlign w:val="center"/>
          </w:tcPr>
          <w:p>
            <w:pPr>
              <w:adjustRightInd w:val="0"/>
              <w:snapToGrid w:val="0"/>
              <w:jc w:val="center"/>
              <w:rPr>
                <w:sz w:val="20"/>
                <w:szCs w:val="20"/>
              </w:rPr>
            </w:pPr>
            <w:r>
              <w:rPr>
                <w:sz w:val="20"/>
                <w:szCs w:val="20"/>
              </w:rPr>
              <w:t>/</w:t>
            </w:r>
          </w:p>
        </w:tc>
        <w:tc>
          <w:tcPr>
            <w:tcW w:w="725" w:type="dxa"/>
            <w:vAlign w:val="center"/>
          </w:tcPr>
          <w:p>
            <w:pPr>
              <w:adjustRightInd w:val="0"/>
              <w:snapToGrid w:val="0"/>
              <w:jc w:val="center"/>
              <w:rPr>
                <w:spacing w:val="-4"/>
                <w:sz w:val="20"/>
                <w:szCs w:val="20"/>
              </w:rPr>
            </w:pPr>
            <w:r>
              <w:rPr>
                <w:spacing w:val="-4"/>
                <w:sz w:val="20"/>
                <w:szCs w:val="20"/>
              </w:rPr>
              <w:t>/</w:t>
            </w:r>
          </w:p>
        </w:tc>
        <w:tc>
          <w:tcPr>
            <w:tcW w:w="726" w:type="dxa"/>
            <w:vAlign w:val="center"/>
          </w:tcPr>
          <w:p>
            <w:pPr>
              <w:adjustRightInd w:val="0"/>
              <w:snapToGrid w:val="0"/>
              <w:jc w:val="center"/>
              <w:rPr>
                <w:spacing w:val="-4"/>
                <w:sz w:val="20"/>
                <w:szCs w:val="20"/>
              </w:rPr>
            </w:pPr>
            <w:r>
              <w:rPr>
                <w:spacing w:val="-4"/>
                <w:sz w:val="20"/>
                <w:szCs w:val="20"/>
              </w:rPr>
              <w:t>/</w:t>
            </w:r>
          </w:p>
        </w:tc>
        <w:tc>
          <w:tcPr>
            <w:tcW w:w="726" w:type="dxa"/>
            <w:vAlign w:val="center"/>
          </w:tcPr>
          <w:p>
            <w:pPr>
              <w:adjustRightInd w:val="0"/>
              <w:snapToGrid w:val="0"/>
              <w:jc w:val="center"/>
              <w:rPr>
                <w:spacing w:val="-4"/>
                <w:sz w:val="20"/>
                <w:szCs w:val="20"/>
              </w:rPr>
            </w:pPr>
            <w:r>
              <w:rPr>
                <w:spacing w:val="-4"/>
                <w:sz w:val="20"/>
                <w:szCs w:val="20"/>
              </w:rPr>
              <w:t>/</w:t>
            </w:r>
          </w:p>
        </w:tc>
        <w:tc>
          <w:tcPr>
            <w:tcW w:w="726" w:type="dxa"/>
            <w:vAlign w:val="center"/>
          </w:tcPr>
          <w:p>
            <w:pPr>
              <w:adjustRightInd w:val="0"/>
              <w:snapToGrid w:val="0"/>
              <w:jc w:val="center"/>
              <w:rPr>
                <w:spacing w:val="-4"/>
                <w:sz w:val="20"/>
                <w:szCs w:val="20"/>
              </w:rPr>
            </w:pPr>
            <w:r>
              <w:rPr>
                <w:spacing w:val="-4"/>
                <w:sz w:val="20"/>
                <w:szCs w:val="20"/>
              </w:rPr>
              <w:t>/</w:t>
            </w:r>
          </w:p>
        </w:tc>
        <w:tc>
          <w:tcPr>
            <w:tcW w:w="726" w:type="dxa"/>
            <w:vAlign w:val="center"/>
          </w:tcPr>
          <w:p>
            <w:pPr>
              <w:adjustRightInd w:val="0"/>
              <w:snapToGrid w:val="0"/>
              <w:jc w:val="center"/>
              <w:rPr>
                <w:spacing w:val="-4"/>
                <w:sz w:val="20"/>
                <w:szCs w:val="20"/>
              </w:rPr>
            </w:pPr>
            <w:r>
              <w:rPr>
                <w:spacing w:val="-4"/>
                <w:sz w:val="20"/>
                <w:szCs w:val="20"/>
              </w:rPr>
              <w:t>/</w:t>
            </w:r>
          </w:p>
        </w:tc>
        <w:tc>
          <w:tcPr>
            <w:tcW w:w="726" w:type="dxa"/>
            <w:vAlign w:val="center"/>
          </w:tcPr>
          <w:p>
            <w:pPr>
              <w:adjustRightInd w:val="0"/>
              <w:snapToGrid w:val="0"/>
              <w:jc w:val="center"/>
              <w:rPr>
                <w:spacing w:val="-4"/>
                <w:sz w:val="20"/>
                <w:szCs w:val="20"/>
              </w:rPr>
            </w:pPr>
            <w:r>
              <w:rPr>
                <w:spacing w:val="-4"/>
                <w:sz w:val="20"/>
                <w:szCs w:val="20"/>
              </w:rPr>
              <w:t>0.005</w:t>
            </w:r>
          </w:p>
        </w:tc>
        <w:tc>
          <w:tcPr>
            <w:tcW w:w="726" w:type="dxa"/>
            <w:vAlign w:val="center"/>
          </w:tcPr>
          <w:p>
            <w:pPr>
              <w:adjustRightInd w:val="0"/>
              <w:snapToGrid w:val="0"/>
              <w:jc w:val="center"/>
              <w:rPr>
                <w:spacing w:val="-4"/>
                <w:sz w:val="20"/>
                <w:szCs w:val="20"/>
              </w:rPr>
            </w:pPr>
            <w:r>
              <w:rPr>
                <w:spacing w:val="-4"/>
                <w:sz w:val="20"/>
                <w:szCs w:val="20"/>
              </w:rPr>
              <w:t>0.04</w:t>
            </w:r>
          </w:p>
        </w:tc>
        <w:tc>
          <w:tcPr>
            <w:tcW w:w="726" w:type="dxa"/>
            <w:vAlign w:val="center"/>
          </w:tcPr>
          <w:p>
            <w:pPr>
              <w:adjustRightInd w:val="0"/>
              <w:snapToGrid w:val="0"/>
              <w:jc w:val="center"/>
              <w:rPr>
                <w:spacing w:val="-4"/>
                <w:sz w:val="20"/>
                <w:szCs w:val="20"/>
              </w:rPr>
            </w:pPr>
            <w:r>
              <w:rPr>
                <w:spacing w:val="-4"/>
                <w:sz w:val="20"/>
                <w:szCs w:val="20"/>
              </w:rPr>
              <w:t>/</w:t>
            </w:r>
          </w:p>
        </w:tc>
        <w:tc>
          <w:tcPr>
            <w:tcW w:w="726" w:type="dxa"/>
            <w:vAlign w:val="center"/>
          </w:tcPr>
          <w:p>
            <w:pPr>
              <w:adjustRightInd w:val="0"/>
              <w:snapToGrid w:val="0"/>
              <w:jc w:val="center"/>
              <w:rPr>
                <w:spacing w:val="-4"/>
                <w:sz w:val="20"/>
                <w:szCs w:val="20"/>
              </w:rPr>
            </w:pPr>
            <w:r>
              <w:rPr>
                <w:spacing w:val="-4"/>
                <w:sz w:val="20"/>
                <w:szCs w:val="20"/>
              </w:rPr>
              <w:t>0.2</w:t>
            </w:r>
          </w:p>
        </w:tc>
        <w:tc>
          <w:tcPr>
            <w:tcW w:w="726" w:type="dxa"/>
            <w:vAlign w:val="center"/>
          </w:tcPr>
          <w:p>
            <w:pPr>
              <w:adjustRightInd w:val="0"/>
              <w:snapToGrid w:val="0"/>
              <w:jc w:val="center"/>
              <w:rPr>
                <w:spacing w:val="-4"/>
                <w:sz w:val="20"/>
                <w:szCs w:val="20"/>
              </w:rPr>
            </w:pPr>
            <w:r>
              <w:rPr>
                <w:spacing w:val="-4"/>
                <w:sz w:val="20"/>
                <w:szCs w:val="20"/>
              </w:rPr>
              <w:t>0.05</w:t>
            </w:r>
          </w:p>
        </w:tc>
        <w:tc>
          <w:tcPr>
            <w:tcW w:w="726" w:type="dxa"/>
            <w:vAlign w:val="center"/>
          </w:tcPr>
          <w:p>
            <w:pPr>
              <w:adjustRightInd w:val="0"/>
              <w:snapToGrid w:val="0"/>
              <w:jc w:val="center"/>
              <w:rPr>
                <w:spacing w:val="-4"/>
                <w:sz w:val="20"/>
                <w:szCs w:val="20"/>
              </w:rPr>
            </w:pPr>
          </w:p>
        </w:tc>
        <w:tc>
          <w:tcPr>
            <w:tcW w:w="726" w:type="dxa"/>
            <w:vAlign w:val="center"/>
          </w:tcPr>
          <w:p>
            <w:pPr>
              <w:adjustRightInd w:val="0"/>
              <w:snapToGrid w:val="0"/>
              <w:jc w:val="center"/>
              <w:rPr>
                <w:spacing w:val="-4"/>
                <w:sz w:val="20"/>
                <w:szCs w:val="20"/>
              </w:rPr>
            </w:pPr>
            <w:r>
              <w:rPr>
                <w:spacing w:val="-4"/>
                <w:sz w:val="20"/>
                <w:szCs w:val="20"/>
              </w:rPr>
              <w:t>/</w:t>
            </w:r>
          </w:p>
        </w:tc>
        <w:tc>
          <w:tcPr>
            <w:tcW w:w="726" w:type="dxa"/>
            <w:vAlign w:val="center"/>
          </w:tcPr>
          <w:p>
            <w:pPr>
              <w:adjustRightInd w:val="0"/>
              <w:snapToGrid w:val="0"/>
              <w:jc w:val="center"/>
              <w:rPr>
                <w:spacing w:val="-4"/>
                <w:sz w:val="20"/>
                <w:szCs w:val="20"/>
              </w:rPr>
            </w:pPr>
            <w:r>
              <w:rPr>
                <w:spacing w:val="-4"/>
                <w:sz w:val="20"/>
                <w:szCs w:val="20"/>
              </w:rPr>
              <w:t>/</w:t>
            </w:r>
          </w:p>
        </w:tc>
        <w:tc>
          <w:tcPr>
            <w:tcW w:w="794" w:type="dxa"/>
            <w:vAlign w:val="center"/>
          </w:tcPr>
          <w:p>
            <w:pPr>
              <w:adjustRightInd w:val="0"/>
              <w:snapToGrid w:val="0"/>
              <w:jc w:val="center"/>
              <w:rPr>
                <w:spacing w:val="-4"/>
                <w:sz w:val="20"/>
                <w:szCs w:val="20"/>
              </w:rPr>
            </w:pPr>
            <w:r>
              <w:rPr>
                <w:spacing w:val="-4"/>
                <w:sz w:val="20"/>
                <w:szCs w:val="20"/>
              </w:rPr>
              <w:t>0.0003</w:t>
            </w:r>
          </w:p>
        </w:tc>
        <w:tc>
          <w:tcPr>
            <w:tcW w:w="884" w:type="dxa"/>
            <w:vAlign w:val="center"/>
          </w:tcPr>
          <w:p>
            <w:pPr>
              <w:adjustRightInd w:val="0"/>
              <w:snapToGrid w:val="0"/>
              <w:jc w:val="center"/>
              <w:rPr>
                <w:spacing w:val="-4"/>
                <w:sz w:val="20"/>
                <w:szCs w:val="20"/>
              </w:rPr>
            </w:pPr>
            <w:r>
              <w:rPr>
                <w:spacing w:val="-4"/>
                <w:sz w:val="20"/>
                <w:szCs w:val="20"/>
              </w:rPr>
              <w:t>/</w:t>
            </w:r>
          </w:p>
        </w:tc>
      </w:tr>
    </w:tbl>
    <w:p>
      <w:pPr>
        <w:spacing w:line="360" w:lineRule="auto"/>
        <w:ind w:firstLine="480" w:firstLineChars="200"/>
        <w:rPr>
          <w:kern w:val="0"/>
          <w:sz w:val="24"/>
        </w:rPr>
        <w:sectPr>
          <w:pgSz w:w="16838" w:h="11906" w:orient="landscape"/>
          <w:pgMar w:top="1797" w:right="1440" w:bottom="1797" w:left="1440" w:header="851" w:footer="992" w:gutter="0"/>
          <w:cols w:space="425" w:num="1"/>
          <w:docGrid w:linePitch="312" w:charSpace="0"/>
        </w:sectPr>
      </w:pPr>
    </w:p>
    <w:p>
      <w:pPr>
        <w:spacing w:line="360" w:lineRule="auto"/>
        <w:ind w:firstLine="480" w:firstLineChars="200"/>
        <w:rPr>
          <w:kern w:val="0"/>
          <w:sz w:val="24"/>
        </w:rPr>
      </w:pPr>
      <w:r>
        <w:rPr>
          <w:kern w:val="0"/>
          <w:sz w:val="24"/>
        </w:rPr>
        <w:t>尾矿库废水处理后满足《污水综合排放标准》</w:t>
      </w:r>
      <w:r>
        <w:rPr>
          <w:sz w:val="24"/>
        </w:rPr>
        <w:t>（GB8978－1996）表4中一级标准回用选厂生产，不外排</w:t>
      </w:r>
      <w:r>
        <w:rPr>
          <w:kern w:val="0"/>
          <w:sz w:val="24"/>
        </w:rPr>
        <w:t>，</w:t>
      </w:r>
      <w:r>
        <w:rPr>
          <w:sz w:val="24"/>
        </w:rPr>
        <w:t>因此，正常情况下选厂生产废水不会对地表水体</w:t>
      </w:r>
      <w:r>
        <w:rPr>
          <w:kern w:val="0"/>
          <w:sz w:val="24"/>
        </w:rPr>
        <w:t>造成影响。</w:t>
      </w:r>
    </w:p>
    <w:p>
      <w:pPr>
        <w:spacing w:line="360" w:lineRule="auto"/>
        <w:ind w:firstLine="480" w:firstLineChars="200"/>
        <w:rPr>
          <w:kern w:val="0"/>
          <w:sz w:val="24"/>
        </w:rPr>
      </w:pPr>
      <w:r>
        <w:rPr>
          <w:kern w:val="0"/>
          <w:sz w:val="24"/>
        </w:rPr>
        <w:t>Ⅱ事故情况下尾矿水对地表水的影响分析</w:t>
      </w:r>
    </w:p>
    <w:p>
      <w:pPr>
        <w:spacing w:line="360" w:lineRule="auto"/>
        <w:ind w:firstLine="480" w:firstLineChars="200"/>
        <w:rPr>
          <w:kern w:val="0"/>
          <w:sz w:val="24"/>
        </w:rPr>
      </w:pPr>
      <w:r>
        <w:rPr>
          <w:kern w:val="0"/>
          <w:sz w:val="24"/>
        </w:rPr>
        <w:t>在尾矿库初级坝下设120m</w:t>
      </w:r>
      <w:r>
        <w:rPr>
          <w:kern w:val="0"/>
          <w:sz w:val="24"/>
          <w:vertAlign w:val="superscript"/>
        </w:rPr>
        <w:t>3</w:t>
      </w:r>
      <w:r>
        <w:rPr>
          <w:kern w:val="0"/>
          <w:sz w:val="24"/>
        </w:rPr>
        <w:t>回水池1座，尾矿水通过2座f处理能力分别为200t/h的废水处理站“pH调节+絮凝沉淀池”处理后返回选产生产使用，同时在坝下1座事故池，容积分别为1864m</w:t>
      </w:r>
      <w:r>
        <w:rPr>
          <w:kern w:val="0"/>
          <w:sz w:val="24"/>
          <w:vertAlign w:val="superscript"/>
        </w:rPr>
        <w:t>3</w:t>
      </w:r>
      <w:r>
        <w:rPr>
          <w:kern w:val="0"/>
          <w:sz w:val="24"/>
        </w:rPr>
        <w:t>，并配备应急备用柴油发电机1台，水泵2台，一用一备，当发生事故选厂不能正常生产时，为确保事故情况下尾矿澄清水不外排，先将尾矿库水排入回水池、事故池，然后启用备用柴油发电机，将回水池、事故池的尾矿澄清水排入尾矿库形成闭路循环，待选厂正常生产时将回水池的水打入选厂使用，不外排。</w:t>
      </w:r>
    </w:p>
    <w:p>
      <w:pPr>
        <w:pStyle w:val="5"/>
      </w:pPr>
      <w:r>
        <w:t>5.2.6.3对地下水的影响</w:t>
      </w:r>
    </w:p>
    <w:p>
      <w:pPr>
        <w:spacing w:line="360" w:lineRule="auto"/>
        <w:ind w:firstLine="480" w:firstLineChars="200"/>
        <w:rPr>
          <w:sz w:val="24"/>
        </w:rPr>
      </w:pPr>
      <w:r>
        <w:rPr>
          <w:sz w:val="24"/>
        </w:rPr>
        <w:t>根据本次验收尾矿渣浸出试验结果可知，尾矿为第Ⅰ类一般工业固体废物，其堆放为Ⅰ类场，不需防渗。根据本次验收灵宝检测站对地下水监测结果，地下水水质能够满足《地下水环境质量标准》（GB/T14848-93）</w:t>
      </w: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类标准限制要求，说明废石堆存未对地下水造成超标影响。</w:t>
      </w:r>
    </w:p>
    <w:p>
      <w:pPr>
        <w:pStyle w:val="5"/>
      </w:pPr>
      <w:r>
        <w:t>5.2.6.4对大气环境的影响</w:t>
      </w:r>
    </w:p>
    <w:p>
      <w:pPr>
        <w:spacing w:line="360" w:lineRule="auto"/>
        <w:ind w:firstLine="480" w:firstLineChars="200"/>
        <w:rPr>
          <w:spacing w:val="2"/>
          <w:sz w:val="24"/>
        </w:rPr>
      </w:pPr>
      <w:r>
        <w:rPr>
          <w:sz w:val="24"/>
        </w:rPr>
        <w:t>本项目尾矿经管道压力输送至尾矿库，不会产生粉尘污染。尾矿含水率较大，堆存期间不易产生扬尘，形成干滩服务期满后及时覆土播撒草籽进行生态恢复， 因此，对环境空气影响很小。选厂进料口正常位皮带运输近况，原矿偶尔少量堆存。</w:t>
      </w:r>
      <w:r>
        <w:rPr>
          <w:sz w:val="24"/>
          <w:lang w:val="zh-CN"/>
        </w:rPr>
        <w:t>根据灵宝市环境监测站于</w:t>
      </w:r>
      <w:r>
        <w:rPr>
          <w:spacing w:val="2"/>
          <w:sz w:val="24"/>
        </w:rPr>
        <w:t>2016年8月25日~8月26日对大村和黑山村监测结果表明，TSP浓度可满足《环境空气质量标准》（GB3095-2012）二级标准限值要求，项目粉尘未对周围敏感点造成超标影响。</w:t>
      </w:r>
    </w:p>
    <w:p>
      <w:pPr>
        <w:pStyle w:val="3"/>
        <w:rPr>
          <w:rFonts w:ascii="Times New Roman" w:hAnsi="Times New Roman"/>
        </w:rPr>
      </w:pPr>
      <w:bookmarkStart w:id="613" w:name="_Toc488578919"/>
      <w:bookmarkStart w:id="614" w:name="_Toc470358697"/>
      <w:bookmarkStart w:id="615" w:name="_Toc422237407"/>
      <w:r>
        <w:rPr>
          <w:rFonts w:ascii="Times New Roman" w:hAnsi="Times New Roman"/>
        </w:rPr>
        <w:t>5.7 土壤环境影响调查</w:t>
      </w:r>
      <w:bookmarkEnd w:id="613"/>
      <w:bookmarkEnd w:id="614"/>
      <w:bookmarkEnd w:id="615"/>
    </w:p>
    <w:p>
      <w:pPr>
        <w:pStyle w:val="10"/>
        <w:rPr>
          <w:rFonts w:ascii="Times New Roman" w:hAnsi="Times New Roman"/>
        </w:rPr>
      </w:pPr>
      <w:r>
        <w:rPr>
          <w:rFonts w:ascii="Times New Roman" w:hAnsi="Times New Roman"/>
        </w:rPr>
        <w:t>5.7.1监测布点、项目</w:t>
      </w:r>
    </w:p>
    <w:p>
      <w:pPr>
        <w:spacing w:line="360" w:lineRule="auto"/>
        <w:ind w:firstLine="480" w:firstLineChars="200"/>
        <w:rPr>
          <w:sz w:val="24"/>
        </w:rPr>
      </w:pPr>
      <w:r>
        <w:rPr>
          <w:sz w:val="24"/>
        </w:rPr>
        <w:t>监测布点、项目见表5.7-1。</w:t>
      </w:r>
    </w:p>
    <w:p>
      <w:pPr>
        <w:adjustRightInd w:val="0"/>
        <w:snapToGrid w:val="0"/>
        <w:ind w:firstLine="448" w:firstLineChars="200"/>
        <w:rPr>
          <w:rFonts w:eastAsia="黑体"/>
          <w:spacing w:val="2"/>
          <w:sz w:val="22"/>
          <w:szCs w:val="22"/>
        </w:rPr>
      </w:pPr>
      <w:r>
        <w:rPr>
          <w:rFonts w:eastAsia="黑体"/>
          <w:spacing w:val="2"/>
          <w:sz w:val="22"/>
          <w:szCs w:val="22"/>
        </w:rPr>
        <w:t>表5.7-1          土壤环境监测点位、项目、频次一览表</w:t>
      </w:r>
    </w:p>
    <w:tbl>
      <w:tblPr>
        <w:tblStyle w:val="54"/>
        <w:tblW w:w="831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59"/>
        <w:gridCol w:w="1345"/>
        <w:gridCol w:w="2660"/>
        <w:gridCol w:w="2660"/>
        <w:gridCol w:w="7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3" w:hRule="atLeast"/>
          <w:tblHeader/>
        </w:trPr>
        <w:tc>
          <w:tcPr>
            <w:tcW w:w="859" w:type="dxa"/>
            <w:tcBorders>
              <w:top w:val="single" w:color="auto" w:sz="12" w:space="0"/>
              <w:left w:val="single" w:color="auto" w:sz="12" w:space="0"/>
            </w:tcBorders>
            <w:vAlign w:val="center"/>
          </w:tcPr>
          <w:p>
            <w:pPr>
              <w:adjustRightInd w:val="0"/>
              <w:snapToGrid w:val="0"/>
              <w:jc w:val="center"/>
              <w:rPr>
                <w:szCs w:val="21"/>
              </w:rPr>
            </w:pPr>
            <w:r>
              <w:rPr>
                <w:szCs w:val="21"/>
              </w:rPr>
              <w:t>检测</w:t>
            </w:r>
          </w:p>
          <w:p>
            <w:pPr>
              <w:adjustRightInd w:val="0"/>
              <w:snapToGrid w:val="0"/>
              <w:jc w:val="center"/>
              <w:rPr>
                <w:szCs w:val="21"/>
              </w:rPr>
            </w:pPr>
            <w:r>
              <w:rPr>
                <w:szCs w:val="21"/>
              </w:rPr>
              <w:t>时间</w:t>
            </w:r>
          </w:p>
        </w:tc>
        <w:tc>
          <w:tcPr>
            <w:tcW w:w="1345" w:type="dxa"/>
            <w:tcBorders>
              <w:top w:val="single" w:color="auto" w:sz="12" w:space="0"/>
            </w:tcBorders>
            <w:vAlign w:val="center"/>
          </w:tcPr>
          <w:p>
            <w:pPr>
              <w:adjustRightInd w:val="0"/>
              <w:snapToGrid w:val="0"/>
              <w:jc w:val="center"/>
              <w:rPr>
                <w:szCs w:val="21"/>
              </w:rPr>
            </w:pPr>
            <w:r>
              <w:rPr>
                <w:szCs w:val="21"/>
              </w:rPr>
              <w:t>监测点位</w:t>
            </w:r>
          </w:p>
        </w:tc>
        <w:tc>
          <w:tcPr>
            <w:tcW w:w="2660" w:type="dxa"/>
            <w:tcBorders>
              <w:top w:val="single" w:color="auto" w:sz="12" w:space="0"/>
            </w:tcBorders>
            <w:vAlign w:val="center"/>
          </w:tcPr>
          <w:p>
            <w:pPr>
              <w:adjustRightInd w:val="0"/>
              <w:snapToGrid w:val="0"/>
              <w:jc w:val="center"/>
              <w:rPr>
                <w:szCs w:val="21"/>
              </w:rPr>
            </w:pPr>
            <w:r>
              <w:rPr>
                <w:szCs w:val="21"/>
              </w:rPr>
              <w:t>监测点位名称</w:t>
            </w:r>
          </w:p>
        </w:tc>
        <w:tc>
          <w:tcPr>
            <w:tcW w:w="2660" w:type="dxa"/>
            <w:tcBorders>
              <w:top w:val="single" w:color="auto" w:sz="12" w:space="0"/>
            </w:tcBorders>
            <w:vAlign w:val="center"/>
          </w:tcPr>
          <w:p>
            <w:pPr>
              <w:adjustRightInd w:val="0"/>
              <w:snapToGrid w:val="0"/>
              <w:jc w:val="center"/>
              <w:rPr>
                <w:szCs w:val="21"/>
              </w:rPr>
            </w:pPr>
            <w:r>
              <w:rPr>
                <w:szCs w:val="21"/>
              </w:rPr>
              <w:t>监测项目</w:t>
            </w:r>
          </w:p>
        </w:tc>
        <w:tc>
          <w:tcPr>
            <w:tcW w:w="788" w:type="dxa"/>
            <w:tcBorders>
              <w:top w:val="single" w:color="auto" w:sz="12" w:space="0"/>
              <w:right w:val="single" w:color="auto" w:sz="12" w:space="0"/>
            </w:tcBorders>
            <w:vAlign w:val="center"/>
          </w:tcPr>
          <w:p>
            <w:pPr>
              <w:adjustRightInd w:val="0"/>
              <w:snapToGrid w:val="0"/>
              <w:jc w:val="center"/>
              <w:rPr>
                <w:szCs w:val="21"/>
              </w:rPr>
            </w:pPr>
            <w:r>
              <w:rPr>
                <w:szCs w:val="21"/>
              </w:rPr>
              <w:t>监测</w:t>
            </w:r>
          </w:p>
          <w:p>
            <w:pPr>
              <w:adjustRightInd w:val="0"/>
              <w:snapToGrid w:val="0"/>
              <w:jc w:val="center"/>
              <w:rPr>
                <w:szCs w:val="21"/>
              </w:rPr>
            </w:pPr>
            <w:r>
              <w:rPr>
                <w:szCs w:val="21"/>
              </w:rPr>
              <w:t>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3" w:hRule="atLeast"/>
        </w:trPr>
        <w:tc>
          <w:tcPr>
            <w:tcW w:w="859" w:type="dxa"/>
            <w:vMerge w:val="restart"/>
            <w:tcBorders>
              <w:left w:val="single" w:color="auto" w:sz="12" w:space="0"/>
            </w:tcBorders>
            <w:shd w:val="clear" w:color="auto" w:fill="auto"/>
            <w:vAlign w:val="center"/>
          </w:tcPr>
          <w:p>
            <w:pPr>
              <w:jc w:val="center"/>
              <w:rPr>
                <w:szCs w:val="21"/>
              </w:rPr>
            </w:pPr>
            <w:r>
              <w:rPr>
                <w:szCs w:val="21"/>
              </w:rPr>
              <w:t>2016年8月</w:t>
            </w:r>
          </w:p>
        </w:tc>
        <w:tc>
          <w:tcPr>
            <w:tcW w:w="1345" w:type="dxa"/>
            <w:tcBorders>
              <w:bottom w:val="single" w:color="auto" w:sz="4" w:space="0"/>
            </w:tcBorders>
            <w:vAlign w:val="center"/>
          </w:tcPr>
          <w:p>
            <w:pPr>
              <w:adjustRightInd w:val="0"/>
              <w:snapToGrid w:val="0"/>
              <w:jc w:val="center"/>
              <w:rPr>
                <w:szCs w:val="21"/>
              </w:rPr>
            </w:pPr>
            <w:r>
              <w:rPr>
                <w:szCs w:val="21"/>
              </w:rPr>
              <w:t>1#</w:t>
            </w:r>
          </w:p>
        </w:tc>
        <w:tc>
          <w:tcPr>
            <w:tcW w:w="2660" w:type="dxa"/>
            <w:vAlign w:val="center"/>
          </w:tcPr>
          <w:p>
            <w:pPr>
              <w:adjustRightInd w:val="0"/>
              <w:snapToGrid w:val="0"/>
              <w:jc w:val="center"/>
              <w:rPr>
                <w:szCs w:val="21"/>
              </w:rPr>
            </w:pPr>
            <w:r>
              <w:rPr>
                <w:spacing w:val="-4"/>
                <w:szCs w:val="21"/>
              </w:rPr>
              <w:t>选厂工业场地东南60m</w:t>
            </w:r>
          </w:p>
        </w:tc>
        <w:tc>
          <w:tcPr>
            <w:tcW w:w="2660" w:type="dxa"/>
            <w:vMerge w:val="restart"/>
            <w:vAlign w:val="center"/>
          </w:tcPr>
          <w:p>
            <w:pPr>
              <w:adjustRightInd w:val="0"/>
              <w:snapToGrid w:val="0"/>
              <w:jc w:val="center"/>
              <w:rPr>
                <w:spacing w:val="-4"/>
                <w:szCs w:val="21"/>
              </w:rPr>
            </w:pPr>
            <w:r>
              <w:rPr>
                <w:rFonts w:eastAsia="仿宋_GB2312"/>
                <w:kern w:val="0"/>
                <w:sz w:val="16"/>
                <w:szCs w:val="16"/>
              </w:rPr>
              <w:t>P</w:t>
            </w:r>
            <w:r>
              <w:rPr>
                <w:szCs w:val="21"/>
              </w:rPr>
              <w:t>H、汞、铅、镉、铜、锌、砷、铬</w:t>
            </w:r>
          </w:p>
        </w:tc>
        <w:tc>
          <w:tcPr>
            <w:tcW w:w="788" w:type="dxa"/>
            <w:vMerge w:val="restart"/>
            <w:tcBorders>
              <w:right w:val="single" w:color="auto" w:sz="12" w:space="0"/>
            </w:tcBorders>
            <w:shd w:val="clear" w:color="auto" w:fill="auto"/>
            <w:vAlign w:val="center"/>
          </w:tcPr>
          <w:p>
            <w:pPr>
              <w:adjustRightInd w:val="0"/>
              <w:snapToGrid w:val="0"/>
              <w:jc w:val="center"/>
              <w:rPr>
                <w:szCs w:val="21"/>
              </w:rPr>
            </w:pPr>
            <w:r>
              <w:rPr>
                <w:szCs w:val="21"/>
              </w:rPr>
              <w:t>监测1天，每天监测1次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3" w:hRule="atLeast"/>
        </w:trPr>
        <w:tc>
          <w:tcPr>
            <w:tcW w:w="859" w:type="dxa"/>
            <w:vMerge w:val="continue"/>
            <w:tcBorders>
              <w:left w:val="single" w:color="auto" w:sz="12" w:space="0"/>
            </w:tcBorders>
            <w:shd w:val="clear" w:color="auto" w:fill="auto"/>
            <w:vAlign w:val="center"/>
          </w:tcPr>
          <w:p>
            <w:pPr>
              <w:jc w:val="center"/>
              <w:rPr>
                <w:szCs w:val="21"/>
              </w:rPr>
            </w:pPr>
          </w:p>
        </w:tc>
        <w:tc>
          <w:tcPr>
            <w:tcW w:w="1345" w:type="dxa"/>
            <w:tcBorders>
              <w:top w:val="single" w:color="auto" w:sz="4" w:space="0"/>
              <w:bottom w:val="single" w:color="auto" w:sz="4" w:space="0"/>
            </w:tcBorders>
            <w:vAlign w:val="center"/>
          </w:tcPr>
          <w:p>
            <w:pPr>
              <w:jc w:val="center"/>
              <w:rPr>
                <w:szCs w:val="21"/>
              </w:rPr>
            </w:pPr>
            <w:r>
              <w:rPr>
                <w:szCs w:val="21"/>
              </w:rPr>
              <w:t>2#</w:t>
            </w:r>
          </w:p>
        </w:tc>
        <w:tc>
          <w:tcPr>
            <w:tcW w:w="2660" w:type="dxa"/>
            <w:vAlign w:val="center"/>
          </w:tcPr>
          <w:p>
            <w:pPr>
              <w:jc w:val="center"/>
              <w:rPr>
                <w:spacing w:val="-4"/>
                <w:szCs w:val="21"/>
              </w:rPr>
            </w:pPr>
            <w:r>
              <w:rPr>
                <w:spacing w:val="-4"/>
                <w:szCs w:val="21"/>
              </w:rPr>
              <w:t>废石堆场东南70m</w:t>
            </w:r>
          </w:p>
        </w:tc>
        <w:tc>
          <w:tcPr>
            <w:tcW w:w="2660" w:type="dxa"/>
            <w:vMerge w:val="continue"/>
            <w:vAlign w:val="center"/>
          </w:tcPr>
          <w:p>
            <w:pPr>
              <w:jc w:val="center"/>
              <w:rPr>
                <w:rFonts w:eastAsia="仿宋_GB2312"/>
                <w:kern w:val="0"/>
                <w:sz w:val="16"/>
                <w:szCs w:val="16"/>
              </w:rPr>
            </w:pPr>
          </w:p>
        </w:tc>
        <w:tc>
          <w:tcPr>
            <w:tcW w:w="788" w:type="dxa"/>
            <w:vMerge w:val="continue"/>
            <w:tcBorders>
              <w:right w:val="single" w:color="auto" w:sz="12" w:space="0"/>
            </w:tcBorders>
            <w:shd w:val="clear" w:color="auto" w:fill="auto"/>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12" w:hRule="atLeast"/>
        </w:trPr>
        <w:tc>
          <w:tcPr>
            <w:tcW w:w="859" w:type="dxa"/>
            <w:vMerge w:val="continue"/>
            <w:tcBorders>
              <w:left w:val="single" w:color="auto" w:sz="12" w:space="0"/>
            </w:tcBorders>
            <w:shd w:val="clear" w:color="auto" w:fill="auto"/>
            <w:vAlign w:val="center"/>
          </w:tcPr>
          <w:p>
            <w:pPr>
              <w:jc w:val="center"/>
              <w:rPr>
                <w:szCs w:val="21"/>
              </w:rPr>
            </w:pPr>
          </w:p>
        </w:tc>
        <w:tc>
          <w:tcPr>
            <w:tcW w:w="1345" w:type="dxa"/>
            <w:tcBorders>
              <w:top w:val="single" w:color="auto" w:sz="4" w:space="0"/>
              <w:bottom w:val="single" w:color="auto" w:sz="4" w:space="0"/>
            </w:tcBorders>
            <w:vAlign w:val="center"/>
          </w:tcPr>
          <w:p>
            <w:pPr>
              <w:adjustRightInd w:val="0"/>
              <w:snapToGrid w:val="0"/>
              <w:jc w:val="center"/>
              <w:rPr>
                <w:szCs w:val="21"/>
              </w:rPr>
            </w:pPr>
            <w:r>
              <w:rPr>
                <w:szCs w:val="21"/>
              </w:rPr>
              <w:t>3#</w:t>
            </w:r>
          </w:p>
        </w:tc>
        <w:tc>
          <w:tcPr>
            <w:tcW w:w="2660" w:type="dxa"/>
            <w:vAlign w:val="center"/>
          </w:tcPr>
          <w:p>
            <w:pPr>
              <w:jc w:val="center"/>
              <w:rPr>
                <w:spacing w:val="-4"/>
                <w:szCs w:val="21"/>
              </w:rPr>
            </w:pPr>
            <w:r>
              <w:rPr>
                <w:spacing w:val="-4"/>
                <w:szCs w:val="21"/>
              </w:rPr>
              <w:t>尾矿库南70m</w:t>
            </w:r>
          </w:p>
        </w:tc>
        <w:tc>
          <w:tcPr>
            <w:tcW w:w="2660" w:type="dxa"/>
            <w:vMerge w:val="continue"/>
            <w:vAlign w:val="center"/>
          </w:tcPr>
          <w:p>
            <w:pPr>
              <w:jc w:val="center"/>
              <w:rPr>
                <w:rFonts w:eastAsia="仿宋_GB2312"/>
                <w:kern w:val="0"/>
                <w:sz w:val="16"/>
                <w:szCs w:val="16"/>
              </w:rPr>
            </w:pPr>
          </w:p>
        </w:tc>
        <w:tc>
          <w:tcPr>
            <w:tcW w:w="788" w:type="dxa"/>
            <w:vMerge w:val="continue"/>
            <w:tcBorders>
              <w:right w:val="single" w:color="auto" w:sz="12" w:space="0"/>
            </w:tcBorders>
            <w:shd w:val="clear" w:color="auto" w:fill="auto"/>
            <w:vAlign w:val="center"/>
          </w:tcPr>
          <w:p>
            <w:pPr>
              <w:spacing w:line="24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50" w:hRule="atLeast"/>
        </w:trPr>
        <w:tc>
          <w:tcPr>
            <w:tcW w:w="859" w:type="dxa"/>
            <w:vMerge w:val="continue"/>
            <w:tcBorders>
              <w:left w:val="single" w:color="auto" w:sz="12" w:space="0"/>
              <w:bottom w:val="single" w:color="auto" w:sz="12" w:space="0"/>
            </w:tcBorders>
            <w:shd w:val="clear" w:color="auto" w:fill="auto"/>
            <w:vAlign w:val="center"/>
          </w:tcPr>
          <w:p>
            <w:pPr>
              <w:jc w:val="center"/>
              <w:rPr>
                <w:szCs w:val="21"/>
              </w:rPr>
            </w:pPr>
          </w:p>
        </w:tc>
        <w:tc>
          <w:tcPr>
            <w:tcW w:w="1345" w:type="dxa"/>
            <w:tcBorders>
              <w:top w:val="single" w:color="auto" w:sz="4" w:space="0"/>
              <w:bottom w:val="single" w:color="auto" w:sz="12" w:space="0"/>
            </w:tcBorders>
            <w:vAlign w:val="center"/>
          </w:tcPr>
          <w:p>
            <w:pPr>
              <w:jc w:val="center"/>
              <w:rPr>
                <w:szCs w:val="21"/>
              </w:rPr>
            </w:pPr>
            <w:r>
              <w:rPr>
                <w:szCs w:val="21"/>
              </w:rPr>
              <w:t>4#</w:t>
            </w:r>
          </w:p>
        </w:tc>
        <w:tc>
          <w:tcPr>
            <w:tcW w:w="2660" w:type="dxa"/>
            <w:tcBorders>
              <w:bottom w:val="single" w:color="auto" w:sz="12" w:space="0"/>
            </w:tcBorders>
          </w:tcPr>
          <w:p>
            <w:pPr>
              <w:jc w:val="center"/>
              <w:rPr>
                <w:rFonts w:eastAsia="仿宋_GB2312"/>
                <w:kern w:val="0"/>
                <w:sz w:val="16"/>
                <w:szCs w:val="16"/>
              </w:rPr>
            </w:pPr>
            <w:r>
              <w:rPr>
                <w:spacing w:val="-4"/>
                <w:szCs w:val="21"/>
              </w:rPr>
              <w:t>选厂工业场地东南600</w:t>
            </w:r>
          </w:p>
        </w:tc>
        <w:tc>
          <w:tcPr>
            <w:tcW w:w="2660" w:type="dxa"/>
            <w:vMerge w:val="continue"/>
            <w:tcBorders>
              <w:bottom w:val="single" w:color="auto" w:sz="12" w:space="0"/>
            </w:tcBorders>
            <w:vAlign w:val="center"/>
          </w:tcPr>
          <w:p>
            <w:pPr>
              <w:jc w:val="center"/>
              <w:rPr>
                <w:rFonts w:eastAsia="仿宋_GB2312"/>
                <w:kern w:val="0"/>
                <w:sz w:val="16"/>
                <w:szCs w:val="16"/>
              </w:rPr>
            </w:pPr>
          </w:p>
        </w:tc>
        <w:tc>
          <w:tcPr>
            <w:tcW w:w="788" w:type="dxa"/>
            <w:vMerge w:val="continue"/>
            <w:tcBorders>
              <w:bottom w:val="single" w:color="auto" w:sz="12" w:space="0"/>
              <w:right w:val="single" w:color="auto" w:sz="12" w:space="0"/>
            </w:tcBorders>
            <w:shd w:val="clear" w:color="auto" w:fill="auto"/>
            <w:vAlign w:val="center"/>
          </w:tcPr>
          <w:p>
            <w:pPr>
              <w:spacing w:line="240" w:lineRule="exact"/>
              <w:jc w:val="center"/>
              <w:rPr>
                <w:szCs w:val="21"/>
              </w:rPr>
            </w:pPr>
          </w:p>
        </w:tc>
      </w:tr>
    </w:tbl>
    <w:p>
      <w:pPr>
        <w:pStyle w:val="10"/>
        <w:spacing w:beforeLines="50" w:line="360" w:lineRule="auto"/>
        <w:rPr>
          <w:rFonts w:ascii="Times New Roman" w:hAnsi="Times New Roman"/>
        </w:rPr>
      </w:pPr>
      <w:r>
        <w:rPr>
          <w:rFonts w:ascii="Times New Roman" w:hAnsi="Times New Roman"/>
        </w:rPr>
        <w:t>5.7.2采样和分析方法</w:t>
      </w:r>
    </w:p>
    <w:p>
      <w:pPr>
        <w:spacing w:line="360" w:lineRule="auto"/>
        <w:ind w:firstLine="480" w:firstLineChars="200"/>
        <w:rPr>
          <w:sz w:val="24"/>
        </w:rPr>
      </w:pPr>
      <w:r>
        <w:rPr>
          <w:sz w:val="24"/>
        </w:rPr>
        <w:t>采样按《土壤环境监测技术规范》（HJ/T166-2004）有关规定进行，分析方法按《土壤环境质量标准》（GB15618-1995）中“土壤环境质量标准选配分析方法”执行。</w:t>
      </w:r>
    </w:p>
    <w:p>
      <w:pPr>
        <w:pStyle w:val="10"/>
        <w:spacing w:line="360" w:lineRule="auto"/>
        <w:rPr>
          <w:rFonts w:ascii="Times New Roman" w:hAnsi="Times New Roman"/>
        </w:rPr>
      </w:pPr>
      <w:r>
        <w:rPr>
          <w:rFonts w:ascii="Times New Roman" w:hAnsi="Times New Roman"/>
        </w:rPr>
        <w:t>5.7.3监测结果及分析</w:t>
      </w:r>
    </w:p>
    <w:p>
      <w:pPr>
        <w:spacing w:line="360" w:lineRule="auto"/>
        <w:ind w:firstLine="480" w:firstLineChars="200"/>
        <w:rPr>
          <w:sz w:val="24"/>
        </w:rPr>
      </w:pPr>
      <w:r>
        <w:rPr>
          <w:sz w:val="24"/>
        </w:rPr>
        <w:t>谱尼测试土壤监测结果见表5.7-2。</w:t>
      </w:r>
    </w:p>
    <w:p>
      <w:pPr>
        <w:adjustRightInd w:val="0"/>
        <w:snapToGrid w:val="0"/>
        <w:ind w:right="561" w:firstLine="448" w:firstLineChars="200"/>
        <w:rPr>
          <w:rFonts w:eastAsia="黑体"/>
          <w:sz w:val="22"/>
          <w:szCs w:val="22"/>
        </w:rPr>
      </w:pPr>
      <w:r>
        <w:rPr>
          <w:rFonts w:eastAsia="黑体"/>
          <w:spacing w:val="2"/>
          <w:sz w:val="22"/>
          <w:szCs w:val="22"/>
        </w:rPr>
        <w:t xml:space="preserve">表5.7-2              土壤环境监测结果一览表       </w:t>
      </w:r>
      <w:r>
        <w:rPr>
          <w:rFonts w:eastAsia="黑体"/>
          <w:sz w:val="22"/>
          <w:szCs w:val="22"/>
        </w:rPr>
        <w:t>单位： mg/kg</w:t>
      </w:r>
    </w:p>
    <w:tbl>
      <w:tblPr>
        <w:tblStyle w:val="54"/>
        <w:tblW w:w="8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10"/>
        <w:gridCol w:w="836"/>
        <w:gridCol w:w="838"/>
        <w:gridCol w:w="838"/>
        <w:gridCol w:w="838"/>
        <w:gridCol w:w="838"/>
        <w:gridCol w:w="838"/>
        <w:gridCol w:w="838"/>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52" w:hRule="atLeast"/>
          <w:jc w:val="center"/>
        </w:trPr>
        <w:tc>
          <w:tcPr>
            <w:tcW w:w="1610" w:type="dxa"/>
            <w:tcBorders>
              <w:top w:val="single" w:color="auto" w:sz="12" w:space="0"/>
              <w:left w:val="single" w:color="auto" w:sz="12" w:space="0"/>
              <w:tl2br w:val="single" w:color="auto" w:sz="4" w:space="0"/>
            </w:tcBorders>
            <w:shd w:val="clear" w:color="auto" w:fill="auto"/>
          </w:tcPr>
          <w:p>
            <w:pPr>
              <w:tabs>
                <w:tab w:val="left" w:pos="2797"/>
              </w:tabs>
              <w:adjustRightInd w:val="0"/>
              <w:snapToGrid w:val="0"/>
              <w:jc w:val="center"/>
              <w:rPr>
                <w:kern w:val="0"/>
                <w:szCs w:val="21"/>
              </w:rPr>
            </w:pPr>
            <w:r>
              <w:rPr>
                <w:kern w:val="0"/>
                <w:szCs w:val="21"/>
              </w:rPr>
              <w:t xml:space="preserve">     检测因子</w:t>
            </w:r>
          </w:p>
          <w:p>
            <w:pPr>
              <w:tabs>
                <w:tab w:val="left" w:pos="2797"/>
              </w:tabs>
              <w:adjustRightInd w:val="0"/>
              <w:snapToGrid w:val="0"/>
              <w:rPr>
                <w:kern w:val="0"/>
                <w:szCs w:val="21"/>
              </w:rPr>
            </w:pPr>
            <w:r>
              <w:rPr>
                <w:kern w:val="0"/>
                <w:szCs w:val="21"/>
              </w:rPr>
              <w:t>监测结果</w:t>
            </w:r>
          </w:p>
        </w:tc>
        <w:tc>
          <w:tcPr>
            <w:tcW w:w="836" w:type="dxa"/>
            <w:tcBorders>
              <w:top w:val="single" w:color="auto" w:sz="12" w:space="0"/>
              <w:left w:val="single" w:color="auto" w:sz="4" w:space="0"/>
              <w:right w:val="single" w:color="auto" w:sz="4" w:space="0"/>
            </w:tcBorders>
            <w:shd w:val="clear" w:color="auto" w:fill="auto"/>
            <w:vAlign w:val="center"/>
          </w:tcPr>
          <w:p>
            <w:pPr>
              <w:tabs>
                <w:tab w:val="left" w:pos="2797"/>
              </w:tabs>
              <w:adjustRightInd w:val="0"/>
              <w:snapToGrid w:val="0"/>
              <w:jc w:val="center"/>
              <w:rPr>
                <w:kern w:val="0"/>
                <w:szCs w:val="21"/>
              </w:rPr>
            </w:pPr>
            <w:r>
              <w:rPr>
                <w:kern w:val="0"/>
                <w:szCs w:val="21"/>
              </w:rPr>
              <w:t xml:space="preserve">pH </w:t>
            </w:r>
          </w:p>
        </w:tc>
        <w:tc>
          <w:tcPr>
            <w:tcW w:w="838" w:type="dxa"/>
            <w:tcBorders>
              <w:top w:val="single" w:color="auto" w:sz="12" w:space="0"/>
              <w:left w:val="single" w:color="auto" w:sz="4" w:space="0"/>
              <w:right w:val="single" w:color="auto" w:sz="4" w:space="0"/>
            </w:tcBorders>
            <w:shd w:val="clear" w:color="auto" w:fill="auto"/>
            <w:vAlign w:val="center"/>
          </w:tcPr>
          <w:p>
            <w:pPr>
              <w:tabs>
                <w:tab w:val="left" w:pos="2797"/>
              </w:tabs>
              <w:adjustRightInd w:val="0"/>
              <w:snapToGrid w:val="0"/>
              <w:jc w:val="center"/>
              <w:rPr>
                <w:kern w:val="0"/>
                <w:szCs w:val="21"/>
              </w:rPr>
            </w:pPr>
            <w:r>
              <w:rPr>
                <w:kern w:val="0"/>
                <w:szCs w:val="21"/>
              </w:rPr>
              <w:t>Hg</w:t>
            </w:r>
          </w:p>
        </w:tc>
        <w:tc>
          <w:tcPr>
            <w:tcW w:w="838" w:type="dxa"/>
            <w:tcBorders>
              <w:top w:val="single" w:color="auto" w:sz="12" w:space="0"/>
              <w:left w:val="single" w:color="auto" w:sz="4" w:space="0"/>
              <w:right w:val="single" w:color="auto" w:sz="4" w:space="0"/>
            </w:tcBorders>
            <w:shd w:val="clear" w:color="auto" w:fill="auto"/>
            <w:vAlign w:val="center"/>
          </w:tcPr>
          <w:p>
            <w:pPr>
              <w:tabs>
                <w:tab w:val="left" w:pos="2797"/>
              </w:tabs>
              <w:adjustRightInd w:val="0"/>
              <w:snapToGrid w:val="0"/>
              <w:jc w:val="center"/>
              <w:rPr>
                <w:kern w:val="0"/>
                <w:szCs w:val="21"/>
              </w:rPr>
            </w:pPr>
            <w:r>
              <w:rPr>
                <w:kern w:val="0"/>
                <w:szCs w:val="21"/>
              </w:rPr>
              <w:t>Pb</w:t>
            </w:r>
          </w:p>
        </w:tc>
        <w:tc>
          <w:tcPr>
            <w:tcW w:w="838" w:type="dxa"/>
            <w:tcBorders>
              <w:top w:val="single" w:color="auto" w:sz="12" w:space="0"/>
              <w:left w:val="single" w:color="auto" w:sz="4" w:space="0"/>
              <w:right w:val="single" w:color="auto" w:sz="4" w:space="0"/>
            </w:tcBorders>
            <w:shd w:val="clear" w:color="auto" w:fill="auto"/>
            <w:vAlign w:val="center"/>
          </w:tcPr>
          <w:p>
            <w:pPr>
              <w:tabs>
                <w:tab w:val="left" w:pos="2797"/>
              </w:tabs>
              <w:adjustRightInd w:val="0"/>
              <w:snapToGrid w:val="0"/>
              <w:jc w:val="center"/>
              <w:rPr>
                <w:kern w:val="0"/>
                <w:szCs w:val="21"/>
              </w:rPr>
            </w:pPr>
            <w:r>
              <w:rPr>
                <w:kern w:val="0"/>
                <w:szCs w:val="21"/>
              </w:rPr>
              <w:t>Cd</w:t>
            </w:r>
          </w:p>
        </w:tc>
        <w:tc>
          <w:tcPr>
            <w:tcW w:w="838" w:type="dxa"/>
            <w:tcBorders>
              <w:top w:val="single" w:color="auto" w:sz="12" w:space="0"/>
              <w:left w:val="single" w:color="auto" w:sz="4" w:space="0"/>
              <w:right w:val="single" w:color="auto" w:sz="4" w:space="0"/>
            </w:tcBorders>
            <w:shd w:val="clear" w:color="auto" w:fill="auto"/>
            <w:vAlign w:val="center"/>
          </w:tcPr>
          <w:p>
            <w:pPr>
              <w:tabs>
                <w:tab w:val="left" w:pos="2797"/>
              </w:tabs>
              <w:adjustRightInd w:val="0"/>
              <w:snapToGrid w:val="0"/>
              <w:jc w:val="center"/>
              <w:rPr>
                <w:kern w:val="0"/>
                <w:szCs w:val="21"/>
              </w:rPr>
            </w:pPr>
            <w:r>
              <w:rPr>
                <w:kern w:val="0"/>
                <w:szCs w:val="21"/>
              </w:rPr>
              <w:t>Cu</w:t>
            </w:r>
          </w:p>
        </w:tc>
        <w:tc>
          <w:tcPr>
            <w:tcW w:w="838" w:type="dxa"/>
            <w:tcBorders>
              <w:top w:val="single" w:color="auto" w:sz="12" w:space="0"/>
              <w:left w:val="single" w:color="auto" w:sz="4" w:space="0"/>
              <w:right w:val="single" w:color="auto" w:sz="4" w:space="0"/>
            </w:tcBorders>
            <w:shd w:val="clear" w:color="auto" w:fill="auto"/>
            <w:vAlign w:val="center"/>
          </w:tcPr>
          <w:p>
            <w:pPr>
              <w:tabs>
                <w:tab w:val="left" w:pos="2797"/>
              </w:tabs>
              <w:adjustRightInd w:val="0"/>
              <w:snapToGrid w:val="0"/>
              <w:jc w:val="center"/>
              <w:rPr>
                <w:kern w:val="0"/>
                <w:szCs w:val="21"/>
              </w:rPr>
            </w:pPr>
            <w:r>
              <w:rPr>
                <w:kern w:val="0"/>
                <w:szCs w:val="21"/>
              </w:rPr>
              <w:t>Zn</w:t>
            </w:r>
          </w:p>
        </w:tc>
        <w:tc>
          <w:tcPr>
            <w:tcW w:w="838" w:type="dxa"/>
            <w:tcBorders>
              <w:top w:val="single" w:color="auto" w:sz="12" w:space="0"/>
              <w:left w:val="single" w:color="auto" w:sz="4" w:space="0"/>
              <w:right w:val="single" w:color="auto" w:sz="4" w:space="0"/>
            </w:tcBorders>
            <w:vAlign w:val="center"/>
          </w:tcPr>
          <w:p>
            <w:pPr>
              <w:tabs>
                <w:tab w:val="left" w:pos="2797"/>
              </w:tabs>
              <w:adjustRightInd w:val="0"/>
              <w:snapToGrid w:val="0"/>
              <w:jc w:val="center"/>
              <w:rPr>
                <w:kern w:val="0"/>
                <w:szCs w:val="21"/>
              </w:rPr>
            </w:pPr>
            <w:r>
              <w:rPr>
                <w:kern w:val="0"/>
                <w:szCs w:val="21"/>
              </w:rPr>
              <w:t>As</w:t>
            </w:r>
          </w:p>
        </w:tc>
        <w:tc>
          <w:tcPr>
            <w:tcW w:w="838" w:type="dxa"/>
            <w:tcBorders>
              <w:top w:val="single" w:color="auto" w:sz="12" w:space="0"/>
              <w:left w:val="single" w:color="auto" w:sz="4" w:space="0"/>
              <w:right w:val="single" w:color="auto" w:sz="12" w:space="0"/>
            </w:tcBorders>
            <w:shd w:val="clear" w:color="auto" w:fill="auto"/>
            <w:vAlign w:val="center"/>
          </w:tcPr>
          <w:p>
            <w:pPr>
              <w:tabs>
                <w:tab w:val="left" w:pos="2797"/>
              </w:tabs>
              <w:adjustRightInd w:val="0"/>
              <w:snapToGrid w:val="0"/>
              <w:jc w:val="center"/>
              <w:rPr>
                <w:kern w:val="0"/>
                <w:szCs w:val="21"/>
              </w:rPr>
            </w:pPr>
            <w:r>
              <w:rPr>
                <w:kern w:val="0"/>
                <w:szCs w:val="21"/>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jc w:val="center"/>
        </w:trPr>
        <w:tc>
          <w:tcPr>
            <w:tcW w:w="1610" w:type="dxa"/>
            <w:tcBorders>
              <w:left w:val="single" w:color="auto" w:sz="12" w:space="0"/>
            </w:tcBorders>
            <w:shd w:val="clear" w:color="auto" w:fill="auto"/>
            <w:vAlign w:val="center"/>
          </w:tcPr>
          <w:p>
            <w:pPr>
              <w:adjustRightInd w:val="0"/>
              <w:snapToGrid w:val="0"/>
              <w:jc w:val="center"/>
              <w:rPr>
                <w:szCs w:val="21"/>
              </w:rPr>
            </w:pPr>
            <w:r>
              <w:rPr>
                <w:spacing w:val="-4"/>
                <w:szCs w:val="21"/>
              </w:rPr>
              <w:t>选厂工业场地东南60m</w:t>
            </w:r>
          </w:p>
        </w:tc>
        <w:tc>
          <w:tcPr>
            <w:tcW w:w="836"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7.9</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0.033</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28.1</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0.21</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31.8</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85.4</w:t>
            </w:r>
          </w:p>
        </w:tc>
        <w:tc>
          <w:tcPr>
            <w:tcW w:w="838" w:type="dxa"/>
            <w:tcBorders>
              <w:left w:val="single" w:color="auto" w:sz="4" w:space="0"/>
              <w:right w:val="single" w:color="auto" w:sz="4" w:space="0"/>
            </w:tcBorders>
            <w:vAlign w:val="center"/>
          </w:tcPr>
          <w:p>
            <w:pPr>
              <w:widowControl/>
              <w:adjustRightInd w:val="0"/>
              <w:snapToGrid w:val="0"/>
              <w:jc w:val="center"/>
              <w:rPr>
                <w:kern w:val="0"/>
                <w:szCs w:val="21"/>
              </w:rPr>
            </w:pPr>
            <w:r>
              <w:rPr>
                <w:kern w:val="0"/>
                <w:szCs w:val="21"/>
              </w:rPr>
              <w:t>9.59</w:t>
            </w:r>
          </w:p>
        </w:tc>
        <w:tc>
          <w:tcPr>
            <w:tcW w:w="838" w:type="dxa"/>
            <w:tcBorders>
              <w:left w:val="single" w:color="auto" w:sz="4" w:space="0"/>
              <w:right w:val="single" w:color="auto" w:sz="12" w:space="0"/>
            </w:tcBorders>
            <w:shd w:val="clear" w:color="auto" w:fill="auto"/>
            <w:vAlign w:val="center"/>
          </w:tcPr>
          <w:p>
            <w:pPr>
              <w:widowControl/>
              <w:adjustRightInd w:val="0"/>
              <w:snapToGrid w:val="0"/>
              <w:jc w:val="center"/>
              <w:rPr>
                <w:kern w:val="0"/>
                <w:szCs w:val="21"/>
              </w:rPr>
            </w:pPr>
            <w:r>
              <w:rPr>
                <w:kern w:val="0"/>
                <w:szCs w:val="21"/>
              </w:rPr>
              <w:t>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jc w:val="center"/>
        </w:trPr>
        <w:tc>
          <w:tcPr>
            <w:tcW w:w="1610" w:type="dxa"/>
            <w:tcBorders>
              <w:left w:val="single" w:color="auto" w:sz="12" w:space="0"/>
            </w:tcBorders>
            <w:shd w:val="clear" w:color="auto" w:fill="auto"/>
            <w:vAlign w:val="center"/>
          </w:tcPr>
          <w:p>
            <w:pPr>
              <w:jc w:val="center"/>
              <w:rPr>
                <w:spacing w:val="-4"/>
                <w:szCs w:val="21"/>
              </w:rPr>
            </w:pPr>
            <w:r>
              <w:rPr>
                <w:spacing w:val="-4"/>
                <w:szCs w:val="21"/>
              </w:rPr>
              <w:t>废石堆场东南70m</w:t>
            </w:r>
          </w:p>
        </w:tc>
        <w:tc>
          <w:tcPr>
            <w:tcW w:w="836"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8.0</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0.032</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28.7</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0.22</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34.4</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91.4</w:t>
            </w:r>
          </w:p>
        </w:tc>
        <w:tc>
          <w:tcPr>
            <w:tcW w:w="838" w:type="dxa"/>
            <w:tcBorders>
              <w:left w:val="single" w:color="auto" w:sz="4" w:space="0"/>
              <w:right w:val="single" w:color="auto" w:sz="4" w:space="0"/>
            </w:tcBorders>
            <w:vAlign w:val="center"/>
          </w:tcPr>
          <w:p>
            <w:pPr>
              <w:widowControl/>
              <w:adjustRightInd w:val="0"/>
              <w:snapToGrid w:val="0"/>
              <w:jc w:val="center"/>
              <w:rPr>
                <w:kern w:val="0"/>
                <w:szCs w:val="21"/>
              </w:rPr>
            </w:pPr>
            <w:r>
              <w:rPr>
                <w:kern w:val="0"/>
                <w:szCs w:val="21"/>
              </w:rPr>
              <w:t>9.77</w:t>
            </w:r>
          </w:p>
        </w:tc>
        <w:tc>
          <w:tcPr>
            <w:tcW w:w="838" w:type="dxa"/>
            <w:tcBorders>
              <w:left w:val="single" w:color="auto" w:sz="4" w:space="0"/>
              <w:right w:val="single" w:color="auto" w:sz="12" w:space="0"/>
            </w:tcBorders>
            <w:shd w:val="clear" w:color="auto" w:fill="auto"/>
            <w:vAlign w:val="center"/>
          </w:tcPr>
          <w:p>
            <w:pPr>
              <w:widowControl/>
              <w:adjustRightInd w:val="0"/>
              <w:snapToGrid w:val="0"/>
              <w:jc w:val="center"/>
              <w:rPr>
                <w:kern w:val="0"/>
                <w:szCs w:val="21"/>
              </w:rPr>
            </w:pPr>
            <w:r>
              <w:rPr>
                <w:kern w:val="0"/>
                <w:szCs w:val="21"/>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jc w:val="center"/>
        </w:trPr>
        <w:tc>
          <w:tcPr>
            <w:tcW w:w="1610" w:type="dxa"/>
            <w:tcBorders>
              <w:left w:val="single" w:color="auto" w:sz="12" w:space="0"/>
            </w:tcBorders>
            <w:shd w:val="clear" w:color="auto" w:fill="auto"/>
            <w:vAlign w:val="center"/>
          </w:tcPr>
          <w:p>
            <w:pPr>
              <w:jc w:val="center"/>
              <w:rPr>
                <w:spacing w:val="-4"/>
                <w:szCs w:val="21"/>
              </w:rPr>
            </w:pPr>
            <w:r>
              <w:rPr>
                <w:spacing w:val="-4"/>
                <w:szCs w:val="21"/>
              </w:rPr>
              <w:t>尾矿库南70m</w:t>
            </w:r>
          </w:p>
        </w:tc>
        <w:tc>
          <w:tcPr>
            <w:tcW w:w="836"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8.0</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0.032</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28.8</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0.23</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31.8</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82.8</w:t>
            </w:r>
          </w:p>
        </w:tc>
        <w:tc>
          <w:tcPr>
            <w:tcW w:w="838" w:type="dxa"/>
            <w:tcBorders>
              <w:left w:val="single" w:color="auto" w:sz="4" w:space="0"/>
              <w:right w:val="single" w:color="auto" w:sz="4" w:space="0"/>
            </w:tcBorders>
            <w:vAlign w:val="center"/>
          </w:tcPr>
          <w:p>
            <w:pPr>
              <w:widowControl/>
              <w:adjustRightInd w:val="0"/>
              <w:snapToGrid w:val="0"/>
              <w:jc w:val="center"/>
              <w:rPr>
                <w:kern w:val="0"/>
                <w:szCs w:val="21"/>
              </w:rPr>
            </w:pPr>
            <w:r>
              <w:rPr>
                <w:kern w:val="0"/>
                <w:szCs w:val="21"/>
              </w:rPr>
              <w:t>9.28</w:t>
            </w:r>
          </w:p>
        </w:tc>
        <w:tc>
          <w:tcPr>
            <w:tcW w:w="838" w:type="dxa"/>
            <w:tcBorders>
              <w:left w:val="single" w:color="auto" w:sz="4" w:space="0"/>
              <w:right w:val="single" w:color="auto" w:sz="12" w:space="0"/>
            </w:tcBorders>
            <w:shd w:val="clear" w:color="auto" w:fill="auto"/>
            <w:vAlign w:val="center"/>
          </w:tcPr>
          <w:p>
            <w:pPr>
              <w:widowControl/>
              <w:adjustRightInd w:val="0"/>
              <w:snapToGrid w:val="0"/>
              <w:jc w:val="center"/>
              <w:rPr>
                <w:kern w:val="0"/>
                <w:szCs w:val="21"/>
              </w:rPr>
            </w:pPr>
            <w:r>
              <w:rPr>
                <w:kern w:val="0"/>
                <w:szCs w:val="21"/>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jc w:val="center"/>
        </w:trPr>
        <w:tc>
          <w:tcPr>
            <w:tcW w:w="1610" w:type="dxa"/>
            <w:tcBorders>
              <w:left w:val="single" w:color="auto" w:sz="12" w:space="0"/>
            </w:tcBorders>
            <w:shd w:val="clear" w:color="auto" w:fill="auto"/>
          </w:tcPr>
          <w:p>
            <w:pPr>
              <w:jc w:val="center"/>
              <w:rPr>
                <w:rFonts w:eastAsia="仿宋_GB2312"/>
                <w:kern w:val="0"/>
                <w:sz w:val="16"/>
                <w:szCs w:val="16"/>
              </w:rPr>
            </w:pPr>
            <w:r>
              <w:rPr>
                <w:spacing w:val="-4"/>
                <w:szCs w:val="21"/>
              </w:rPr>
              <w:t>选厂工业场地东南600</w:t>
            </w:r>
          </w:p>
        </w:tc>
        <w:tc>
          <w:tcPr>
            <w:tcW w:w="836"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8.1</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0.032</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28.7</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0.21</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31.6</w:t>
            </w:r>
          </w:p>
        </w:tc>
        <w:tc>
          <w:tcPr>
            <w:tcW w:w="838" w:type="dxa"/>
            <w:tcBorders>
              <w:left w:val="single" w:color="auto" w:sz="4"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85.4</w:t>
            </w:r>
          </w:p>
        </w:tc>
        <w:tc>
          <w:tcPr>
            <w:tcW w:w="838" w:type="dxa"/>
            <w:tcBorders>
              <w:left w:val="single" w:color="auto" w:sz="4" w:space="0"/>
              <w:right w:val="single" w:color="auto" w:sz="4" w:space="0"/>
            </w:tcBorders>
            <w:vAlign w:val="center"/>
          </w:tcPr>
          <w:p>
            <w:pPr>
              <w:widowControl/>
              <w:adjustRightInd w:val="0"/>
              <w:snapToGrid w:val="0"/>
              <w:jc w:val="center"/>
              <w:rPr>
                <w:kern w:val="0"/>
                <w:szCs w:val="21"/>
              </w:rPr>
            </w:pPr>
            <w:r>
              <w:rPr>
                <w:kern w:val="0"/>
                <w:szCs w:val="21"/>
              </w:rPr>
              <w:t>10.1</w:t>
            </w:r>
          </w:p>
        </w:tc>
        <w:tc>
          <w:tcPr>
            <w:tcW w:w="838" w:type="dxa"/>
            <w:tcBorders>
              <w:left w:val="single" w:color="auto" w:sz="4" w:space="0"/>
              <w:right w:val="single" w:color="auto" w:sz="12" w:space="0"/>
            </w:tcBorders>
            <w:shd w:val="clear" w:color="auto" w:fill="auto"/>
            <w:vAlign w:val="center"/>
          </w:tcPr>
          <w:p>
            <w:pPr>
              <w:widowControl/>
              <w:adjustRightInd w:val="0"/>
              <w:snapToGrid w:val="0"/>
              <w:jc w:val="center"/>
              <w:rPr>
                <w:kern w:val="0"/>
                <w:szCs w:val="21"/>
              </w:rPr>
            </w:pPr>
            <w:r>
              <w:rPr>
                <w:kern w:val="0"/>
                <w:szCs w:val="21"/>
              </w:rPr>
              <w:t>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3" w:hRule="atLeast"/>
          <w:jc w:val="center"/>
        </w:trPr>
        <w:tc>
          <w:tcPr>
            <w:tcW w:w="1610" w:type="dxa"/>
            <w:tcBorders>
              <w:left w:val="single" w:color="auto" w:sz="12" w:space="0"/>
              <w:bottom w:val="single" w:color="auto" w:sz="12" w:space="0"/>
            </w:tcBorders>
            <w:shd w:val="clear" w:color="auto" w:fill="auto"/>
          </w:tcPr>
          <w:p>
            <w:pPr>
              <w:widowControl/>
              <w:adjustRightInd w:val="0"/>
              <w:snapToGrid w:val="0"/>
              <w:jc w:val="center"/>
              <w:rPr>
                <w:kern w:val="0"/>
                <w:szCs w:val="21"/>
              </w:rPr>
            </w:pPr>
            <w:r>
              <w:rPr>
                <w:kern w:val="0"/>
                <w:szCs w:val="21"/>
              </w:rPr>
              <w:t>GB15618—1995</w:t>
            </w:r>
          </w:p>
          <w:p>
            <w:pPr>
              <w:widowControl/>
              <w:adjustRightInd w:val="0"/>
              <w:snapToGrid w:val="0"/>
              <w:jc w:val="center"/>
              <w:rPr>
                <w:kern w:val="0"/>
                <w:szCs w:val="21"/>
              </w:rPr>
            </w:pPr>
            <w:r>
              <w:rPr>
                <w:kern w:val="0"/>
                <w:szCs w:val="21"/>
              </w:rPr>
              <w:t>旱地（二级）</w:t>
            </w:r>
          </w:p>
        </w:tc>
        <w:tc>
          <w:tcPr>
            <w:tcW w:w="836" w:type="dxa"/>
            <w:tcBorders>
              <w:left w:val="single" w:color="auto" w:sz="4" w:space="0"/>
              <w:bottom w:val="single" w:color="auto" w:sz="12"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＞7.5</w:t>
            </w:r>
          </w:p>
        </w:tc>
        <w:tc>
          <w:tcPr>
            <w:tcW w:w="838" w:type="dxa"/>
            <w:tcBorders>
              <w:left w:val="single" w:color="auto" w:sz="4" w:space="0"/>
              <w:bottom w:val="single" w:color="auto" w:sz="12"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1.0</w:t>
            </w:r>
          </w:p>
        </w:tc>
        <w:tc>
          <w:tcPr>
            <w:tcW w:w="838" w:type="dxa"/>
            <w:tcBorders>
              <w:left w:val="single" w:color="auto" w:sz="4" w:space="0"/>
              <w:bottom w:val="single" w:color="auto" w:sz="12"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350</w:t>
            </w:r>
          </w:p>
        </w:tc>
        <w:tc>
          <w:tcPr>
            <w:tcW w:w="838" w:type="dxa"/>
            <w:tcBorders>
              <w:left w:val="single" w:color="auto" w:sz="4" w:space="0"/>
              <w:bottom w:val="single" w:color="auto" w:sz="12"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0.60</w:t>
            </w:r>
          </w:p>
        </w:tc>
        <w:tc>
          <w:tcPr>
            <w:tcW w:w="838" w:type="dxa"/>
            <w:tcBorders>
              <w:left w:val="single" w:color="auto" w:sz="4" w:space="0"/>
              <w:bottom w:val="single" w:color="auto" w:sz="12"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100</w:t>
            </w:r>
          </w:p>
        </w:tc>
        <w:tc>
          <w:tcPr>
            <w:tcW w:w="838" w:type="dxa"/>
            <w:tcBorders>
              <w:left w:val="single" w:color="auto" w:sz="4" w:space="0"/>
              <w:bottom w:val="single" w:color="auto" w:sz="12" w:space="0"/>
              <w:right w:val="single" w:color="auto" w:sz="4" w:space="0"/>
            </w:tcBorders>
            <w:shd w:val="clear" w:color="auto" w:fill="auto"/>
            <w:vAlign w:val="center"/>
          </w:tcPr>
          <w:p>
            <w:pPr>
              <w:widowControl/>
              <w:adjustRightInd w:val="0"/>
              <w:snapToGrid w:val="0"/>
              <w:jc w:val="center"/>
              <w:rPr>
                <w:kern w:val="0"/>
                <w:szCs w:val="21"/>
              </w:rPr>
            </w:pPr>
            <w:r>
              <w:rPr>
                <w:kern w:val="0"/>
                <w:szCs w:val="21"/>
              </w:rPr>
              <w:t>300</w:t>
            </w:r>
          </w:p>
        </w:tc>
        <w:tc>
          <w:tcPr>
            <w:tcW w:w="838" w:type="dxa"/>
            <w:tcBorders>
              <w:left w:val="single" w:color="auto" w:sz="4" w:space="0"/>
              <w:bottom w:val="single" w:color="auto" w:sz="12" w:space="0"/>
              <w:right w:val="single" w:color="auto" w:sz="4" w:space="0"/>
            </w:tcBorders>
            <w:vAlign w:val="center"/>
          </w:tcPr>
          <w:p>
            <w:pPr>
              <w:widowControl/>
              <w:adjustRightInd w:val="0"/>
              <w:snapToGrid w:val="0"/>
              <w:jc w:val="center"/>
              <w:rPr>
                <w:kern w:val="0"/>
                <w:szCs w:val="21"/>
              </w:rPr>
            </w:pPr>
            <w:r>
              <w:rPr>
                <w:kern w:val="0"/>
                <w:szCs w:val="21"/>
              </w:rPr>
              <w:t>25</w:t>
            </w:r>
          </w:p>
        </w:tc>
        <w:tc>
          <w:tcPr>
            <w:tcW w:w="838" w:type="dxa"/>
            <w:tcBorders>
              <w:left w:val="single" w:color="auto" w:sz="4" w:space="0"/>
              <w:bottom w:val="single" w:color="auto" w:sz="12" w:space="0"/>
              <w:right w:val="single" w:color="auto" w:sz="12" w:space="0"/>
            </w:tcBorders>
            <w:shd w:val="clear" w:color="auto" w:fill="auto"/>
            <w:vAlign w:val="center"/>
          </w:tcPr>
          <w:p>
            <w:pPr>
              <w:widowControl/>
              <w:adjustRightInd w:val="0"/>
              <w:snapToGrid w:val="0"/>
              <w:jc w:val="center"/>
              <w:rPr>
                <w:kern w:val="0"/>
                <w:szCs w:val="21"/>
              </w:rPr>
            </w:pPr>
            <w:r>
              <w:rPr>
                <w:kern w:val="0"/>
                <w:szCs w:val="21"/>
              </w:rPr>
              <w:t>250</w:t>
            </w:r>
          </w:p>
        </w:tc>
      </w:tr>
    </w:tbl>
    <w:p>
      <w:pPr>
        <w:spacing w:beforeLines="50" w:line="360" w:lineRule="auto"/>
        <w:ind w:firstLine="480" w:firstLineChars="200"/>
        <w:rPr>
          <w:sz w:val="24"/>
        </w:rPr>
      </w:pPr>
      <w:r>
        <w:rPr>
          <w:sz w:val="24"/>
        </w:rPr>
        <w:t>根据表5.7-2监测结果，工业场地、废石场、尾矿库、工业场地周边土壤各监测项目均满足《土壤环境质量标准》（GB15618-1995）二级标准限值要求。</w:t>
      </w:r>
    </w:p>
    <w:p>
      <w:pPr>
        <w:pStyle w:val="3"/>
        <w:rPr>
          <w:rFonts w:ascii="Times New Roman" w:hAnsi="Times New Roman"/>
        </w:rPr>
      </w:pPr>
      <w:bookmarkStart w:id="616" w:name="_Toc407217385"/>
      <w:bookmarkStart w:id="617" w:name="_Toc420663708"/>
      <w:bookmarkStart w:id="618" w:name="_Toc326681043"/>
      <w:bookmarkStart w:id="619" w:name="_Toc406504237"/>
      <w:bookmarkStart w:id="620" w:name="_Toc322621498"/>
      <w:bookmarkStart w:id="621" w:name="_Toc319599566"/>
      <w:bookmarkStart w:id="622" w:name="_Toc322624409"/>
      <w:bookmarkStart w:id="623" w:name="_Toc407153519"/>
      <w:bookmarkStart w:id="624" w:name="_Toc325611117"/>
      <w:bookmarkStart w:id="625" w:name="_Toc470358698"/>
      <w:bookmarkStart w:id="626" w:name="_Toc488578920"/>
      <w:r>
        <w:rPr>
          <w:rFonts w:ascii="Times New Roman" w:hAnsi="Times New Roman"/>
        </w:rPr>
        <w:t>5.8 环境影响调查结论</w:t>
      </w:r>
      <w:bookmarkEnd w:id="616"/>
      <w:bookmarkEnd w:id="617"/>
      <w:bookmarkEnd w:id="618"/>
      <w:bookmarkEnd w:id="619"/>
      <w:bookmarkEnd w:id="620"/>
      <w:bookmarkEnd w:id="621"/>
      <w:bookmarkEnd w:id="622"/>
      <w:bookmarkEnd w:id="623"/>
      <w:bookmarkEnd w:id="624"/>
      <w:bookmarkEnd w:id="625"/>
      <w:bookmarkEnd w:id="626"/>
      <w:r>
        <w:rPr>
          <w:rFonts w:ascii="Times New Roman" w:hAnsi="Times New Roman"/>
        </w:rPr>
        <w:t xml:space="preserve">  </w:t>
      </w:r>
    </w:p>
    <w:p>
      <w:pPr>
        <w:tabs>
          <w:tab w:val="left" w:pos="567"/>
          <w:tab w:val="left" w:pos="851"/>
          <w:tab w:val="left" w:pos="1134"/>
        </w:tabs>
        <w:spacing w:line="360" w:lineRule="auto"/>
        <w:ind w:firstLine="480" w:firstLineChars="200"/>
        <w:rPr>
          <w:bCs/>
          <w:sz w:val="24"/>
        </w:rPr>
      </w:pPr>
      <w:r>
        <w:rPr>
          <w:bCs/>
          <w:sz w:val="24"/>
        </w:rPr>
        <w:t>根据验收调查期间对本项目矿山及选厂颗粒物、矿井涌水、生活污水、选厂及工业场地厂界噪声、和空气环境质量、地表水体的水环境质量的监测结果，得出环境影响调查结论如下：</w:t>
      </w:r>
    </w:p>
    <w:p>
      <w:pPr>
        <w:pStyle w:val="10"/>
        <w:spacing w:line="360" w:lineRule="auto"/>
        <w:rPr>
          <w:rFonts w:ascii="Times New Roman" w:hAnsi="Times New Roman"/>
        </w:rPr>
      </w:pPr>
      <w:r>
        <w:rPr>
          <w:rFonts w:ascii="Times New Roman" w:hAnsi="Times New Roman"/>
        </w:rPr>
        <w:t>5.8.1水环境影响调查结论</w:t>
      </w:r>
    </w:p>
    <w:p>
      <w:pPr>
        <w:spacing w:line="360" w:lineRule="auto"/>
        <w:rPr>
          <w:sz w:val="24"/>
        </w:rPr>
      </w:pPr>
      <w:r>
        <w:rPr>
          <w:sz w:val="24"/>
        </w:rPr>
        <w:t xml:space="preserve">    （1））矿井涌水经原采矿主竖井通过地下涵洞达标排至麻家河。工业场地生活区生活污水经隔油池和化粪池收集处理后排入尾矿库澄清经废水处理站处理后返回选厂生产使用。</w:t>
      </w:r>
    </w:p>
    <w:p>
      <w:pPr>
        <w:spacing w:line="360" w:lineRule="auto"/>
        <w:ind w:firstLine="480" w:firstLineChars="200"/>
        <w:rPr>
          <w:sz w:val="24"/>
        </w:rPr>
      </w:pPr>
      <w:r>
        <w:rPr>
          <w:sz w:val="24"/>
        </w:rPr>
        <w:t>（2）尾矿库澄清水</w:t>
      </w:r>
    </w:p>
    <w:p>
      <w:pPr>
        <w:spacing w:line="360" w:lineRule="auto"/>
        <w:ind w:firstLine="456" w:firstLineChars="200"/>
        <w:rPr>
          <w:sz w:val="24"/>
        </w:rPr>
      </w:pPr>
      <w:r>
        <w:rPr>
          <w:spacing w:val="-6"/>
          <w:sz w:val="24"/>
        </w:rPr>
        <w:t>根据验收监测结果，</w:t>
      </w:r>
      <w:r>
        <w:rPr>
          <w:sz w:val="24"/>
        </w:rPr>
        <w:t>尾矿库澄清水各监测因子均满足《污水综合排放标准》（GB8978－1996）表4中一级标准，且澄清水全部打回选厂循环利用，不外排。</w:t>
      </w:r>
    </w:p>
    <w:p>
      <w:pPr>
        <w:spacing w:line="360" w:lineRule="auto"/>
        <w:ind w:firstLine="480" w:firstLineChars="200"/>
        <w:rPr>
          <w:sz w:val="24"/>
        </w:rPr>
      </w:pPr>
      <w:r>
        <w:rPr>
          <w:sz w:val="24"/>
        </w:rPr>
        <w:t>（3）根据灵宝市环境监测站于2016年8月25日～8月27日对尾矿库下游麻家河及各支流背景断面和监控断面7个断面监测指标除氨氮外均能满足《地表水环境质量标准》（GB3838-2002）Ⅲ类标准。氨氮非本项目废水特征污染物，超标主要考虑为沿途接纳了地表径流、农田退水和生活废水导致。与本项目无关。</w:t>
      </w:r>
    </w:p>
    <w:p>
      <w:pPr>
        <w:pStyle w:val="10"/>
        <w:spacing w:line="360" w:lineRule="auto"/>
        <w:rPr>
          <w:rFonts w:ascii="Times New Roman" w:hAnsi="Times New Roman"/>
        </w:rPr>
      </w:pPr>
      <w:r>
        <w:rPr>
          <w:rFonts w:ascii="Times New Roman" w:hAnsi="Times New Roman"/>
        </w:rPr>
        <w:t>5.8.2大气环境影响调查结论</w:t>
      </w:r>
    </w:p>
    <w:p>
      <w:pPr>
        <w:tabs>
          <w:tab w:val="left" w:pos="567"/>
          <w:tab w:val="left" w:pos="851"/>
          <w:tab w:val="left" w:pos="1134"/>
        </w:tabs>
        <w:spacing w:line="360" w:lineRule="auto"/>
        <w:ind w:firstLine="480" w:firstLineChars="200"/>
        <w:rPr>
          <w:bCs/>
          <w:sz w:val="24"/>
        </w:rPr>
      </w:pPr>
      <w:r>
        <w:rPr>
          <w:bCs/>
          <w:sz w:val="24"/>
        </w:rPr>
        <w:t>工业场地、废石场、选厂原料堆场</w:t>
      </w:r>
      <w:r>
        <w:rPr>
          <w:sz w:val="24"/>
        </w:rPr>
        <w:t>、尾矿库上风向监控点和下风向监测点颗粒物浓度均满足《大气污染物综合排放标准》</w:t>
      </w:r>
      <w:r>
        <w:rPr>
          <w:spacing w:val="2"/>
          <w:sz w:val="24"/>
        </w:rPr>
        <w:t>（GB16297－1996）表2中无组织排放监控浓度限值</w:t>
      </w:r>
      <w:r>
        <w:rPr>
          <w:sz w:val="24"/>
        </w:rPr>
        <w:t>的要求</w:t>
      </w:r>
      <w:r>
        <w:rPr>
          <w:bCs/>
          <w:sz w:val="24"/>
        </w:rPr>
        <w:t>。</w:t>
      </w:r>
    </w:p>
    <w:p>
      <w:pPr>
        <w:tabs>
          <w:tab w:val="left" w:pos="567"/>
          <w:tab w:val="left" w:pos="851"/>
          <w:tab w:val="left" w:pos="1134"/>
        </w:tabs>
        <w:spacing w:line="360" w:lineRule="auto"/>
        <w:ind w:firstLine="480" w:firstLineChars="200"/>
        <w:rPr>
          <w:bCs/>
          <w:sz w:val="24"/>
        </w:rPr>
      </w:pPr>
      <w:r>
        <w:rPr>
          <w:sz w:val="24"/>
        </w:rPr>
        <w:t>根据灵宝市环境监测站于2016年8月25日～27日对矿山周围大村和黑山村境空气质量的监测结果可知，该调查区域内监测的点位</w:t>
      </w:r>
      <w:r>
        <w:rPr>
          <w:spacing w:val="2"/>
          <w:sz w:val="24"/>
        </w:rPr>
        <w:t>，</w:t>
      </w:r>
      <w:r>
        <w:rPr>
          <w:sz w:val="24"/>
        </w:rPr>
        <w:t>TSP、PM</w:t>
      </w:r>
      <w:r>
        <w:rPr>
          <w:sz w:val="24"/>
          <w:vertAlign w:val="subscript"/>
        </w:rPr>
        <w:t>10</w:t>
      </w:r>
      <w:r>
        <w:rPr>
          <w:sz w:val="24"/>
        </w:rPr>
        <w:t>日均值、SO</w:t>
      </w:r>
      <w:r>
        <w:rPr>
          <w:sz w:val="24"/>
          <w:vertAlign w:val="subscript"/>
        </w:rPr>
        <w:t>2</w:t>
      </w:r>
      <w:r>
        <w:rPr>
          <w:sz w:val="24"/>
        </w:rPr>
        <w:t>的日均和小时均值、NO</w:t>
      </w:r>
      <w:r>
        <w:rPr>
          <w:sz w:val="24"/>
          <w:vertAlign w:val="subscript"/>
        </w:rPr>
        <w:t>2</w:t>
      </w:r>
      <w:r>
        <w:rPr>
          <w:sz w:val="24"/>
        </w:rPr>
        <w:t>的日均和小时均值均低于《大气污染物综合排放标准》(GB3095-2012）中二级标准要求。</w:t>
      </w:r>
    </w:p>
    <w:p>
      <w:pPr>
        <w:pStyle w:val="10"/>
        <w:rPr>
          <w:rFonts w:ascii="Times New Roman" w:hAnsi="Times New Roman"/>
        </w:rPr>
      </w:pPr>
      <w:r>
        <w:rPr>
          <w:rFonts w:ascii="Times New Roman" w:hAnsi="Times New Roman"/>
        </w:rPr>
        <w:t>5.8.3声环境影响调查结论</w:t>
      </w:r>
    </w:p>
    <w:p>
      <w:pPr>
        <w:spacing w:line="360" w:lineRule="auto"/>
        <w:ind w:firstLine="480" w:firstLineChars="200"/>
        <w:rPr>
          <w:sz w:val="24"/>
        </w:rPr>
      </w:pPr>
      <w:r>
        <w:rPr>
          <w:bCs/>
          <w:sz w:val="24"/>
        </w:rPr>
        <w:t>根据</w:t>
      </w:r>
      <w:r>
        <w:rPr>
          <w:sz w:val="24"/>
        </w:rPr>
        <w:t>灵宝市环境保护监测站于</w:t>
      </w:r>
      <w:r>
        <w:rPr>
          <w:bCs/>
          <w:sz w:val="24"/>
        </w:rPr>
        <w:t>2016年8月25日~26日对选厂四周、工业场地四周及尾矿库四周噪声监测结果可知，</w:t>
      </w:r>
      <w:r>
        <w:rPr>
          <w:sz w:val="24"/>
        </w:rPr>
        <w:t>该调查区域内所监测的点位中，无论昼间还是夜间其等效声级值均满足《工业企业厂界环境噪声排放标准》(GB12348－2008)</w:t>
      </w:r>
      <w:r>
        <w:rPr>
          <w:spacing w:val="2"/>
          <w:sz w:val="24"/>
        </w:rPr>
        <w:t>2类标准</w:t>
      </w:r>
      <w:r>
        <w:rPr>
          <w:sz w:val="24"/>
        </w:rPr>
        <w:t>要求。</w:t>
      </w:r>
    </w:p>
    <w:p>
      <w:pPr>
        <w:spacing w:line="360" w:lineRule="auto"/>
        <w:rPr>
          <w:sz w:val="24"/>
        </w:rPr>
      </w:pPr>
      <w:r>
        <w:rPr>
          <w:sz w:val="24"/>
          <w:lang w:val="zh-CN"/>
        </w:rPr>
        <w:t xml:space="preserve">    根据灵宝市环境监测站于</w:t>
      </w:r>
      <w:r>
        <w:rPr>
          <w:spacing w:val="2"/>
          <w:sz w:val="24"/>
        </w:rPr>
        <w:t>2016年8月25日~8月26日对黑山村、美山村石庙坡根组、美山村李家坡组《声环境质量标准》（GB3096-2008）中2类标准</w:t>
      </w:r>
      <w:r>
        <w:rPr>
          <w:sz w:val="24"/>
        </w:rPr>
        <w:t>，因此，本项目生产期噪声未发生超标超标扰民现象。与环评阶段对比，敏感点噪声</w:t>
      </w:r>
      <w:r>
        <w:rPr>
          <w:spacing w:val="2"/>
          <w:sz w:val="24"/>
        </w:rPr>
        <w:t>变化不大</w:t>
      </w:r>
      <w:r>
        <w:rPr>
          <w:sz w:val="24"/>
        </w:rPr>
        <w:t>。</w:t>
      </w:r>
    </w:p>
    <w:p>
      <w:pPr>
        <w:tabs>
          <w:tab w:val="left" w:pos="567"/>
          <w:tab w:val="left" w:pos="851"/>
          <w:tab w:val="left" w:pos="1134"/>
        </w:tabs>
        <w:spacing w:line="360" w:lineRule="auto"/>
        <w:ind w:firstLine="480" w:firstLineChars="200"/>
        <w:rPr>
          <w:bCs/>
          <w:sz w:val="24"/>
        </w:rPr>
      </w:pPr>
      <w:r>
        <w:rPr>
          <w:bCs/>
          <w:sz w:val="24"/>
        </w:rPr>
        <w:t>同时，根据对周边村庄居民的公众参与调查结果可知，村民们对本项目反应良好，调查中未发生噪声扰乱居民生活的现象。</w:t>
      </w:r>
    </w:p>
    <w:p>
      <w:pPr>
        <w:tabs>
          <w:tab w:val="left" w:pos="567"/>
          <w:tab w:val="left" w:pos="851"/>
          <w:tab w:val="left" w:pos="1134"/>
        </w:tabs>
        <w:spacing w:line="360" w:lineRule="auto"/>
        <w:ind w:firstLine="480" w:firstLineChars="200"/>
        <w:rPr>
          <w:bCs/>
          <w:sz w:val="24"/>
        </w:rPr>
      </w:pPr>
      <w:r>
        <w:rPr>
          <w:bCs/>
          <w:sz w:val="24"/>
        </w:rPr>
        <w:t>由此可知，本项目采取的各项噪声污染防治措施可行，且效果较好。</w:t>
      </w:r>
    </w:p>
    <w:p>
      <w:pPr>
        <w:pStyle w:val="10"/>
        <w:rPr>
          <w:rFonts w:ascii="Times New Roman" w:hAnsi="Times New Roman"/>
        </w:rPr>
      </w:pPr>
      <w:r>
        <w:rPr>
          <w:rFonts w:ascii="Times New Roman" w:hAnsi="Times New Roman"/>
        </w:rPr>
        <w:t>5.8.4固体废弃物环境影响调查结论</w:t>
      </w:r>
    </w:p>
    <w:p>
      <w:pPr>
        <w:pStyle w:val="5"/>
      </w:pPr>
      <w:r>
        <w:t>5.8.4.1固体废弃物处置措施调查</w:t>
      </w:r>
    </w:p>
    <w:p>
      <w:pPr>
        <w:tabs>
          <w:tab w:val="left" w:pos="567"/>
          <w:tab w:val="left" w:pos="851"/>
          <w:tab w:val="left" w:pos="1134"/>
        </w:tabs>
        <w:spacing w:line="360" w:lineRule="auto"/>
        <w:ind w:firstLine="480" w:firstLineChars="200"/>
        <w:rPr>
          <w:bCs/>
          <w:sz w:val="24"/>
        </w:rPr>
      </w:pPr>
      <w:r>
        <w:rPr>
          <w:bCs/>
          <w:sz w:val="24"/>
        </w:rPr>
        <w:t>根据废石浸出毒性鉴别实验数据，废石、尾矿浸出液中各监测因子浓度均低于《危险废物鉴别标准-浸出毒性鉴别》（GB5085.3－2007）中规定的限值要求。根据《一般固体废物贮存、处置场污染控制标准》（GB18599－2001）中有关规定，对比《污水综合排放标准》（GB8978-1996）标准值，可知本项目采矿废石、尾矿属一般工业固体废物</w:t>
      </w:r>
      <w:r>
        <w:rPr>
          <w:rFonts w:hint="eastAsia"/>
          <w:bCs/>
          <w:sz w:val="24"/>
        </w:rPr>
        <w:t>，</w:t>
      </w:r>
      <w:r>
        <w:rPr>
          <w:bCs/>
          <w:sz w:val="24"/>
        </w:rPr>
        <w:t>废石下游设置初期雨水收集池</w:t>
      </w:r>
      <w:r>
        <w:rPr>
          <w:rFonts w:hint="eastAsia"/>
          <w:bCs/>
          <w:sz w:val="24"/>
        </w:rPr>
        <w:t>，</w:t>
      </w:r>
      <w:r>
        <w:rPr>
          <w:bCs/>
          <w:sz w:val="24"/>
        </w:rPr>
        <w:t>废石场</w:t>
      </w:r>
      <w:r>
        <w:rPr>
          <w:rFonts w:hint="eastAsia"/>
          <w:bCs/>
          <w:sz w:val="24"/>
        </w:rPr>
        <w:t>淋滤水已经过收集沉淀后外排</w:t>
      </w:r>
      <w:r>
        <w:rPr>
          <w:bCs/>
          <w:sz w:val="24"/>
        </w:rPr>
        <w:t>。</w:t>
      </w:r>
    </w:p>
    <w:p>
      <w:pPr>
        <w:spacing w:line="360" w:lineRule="auto"/>
        <w:ind w:firstLine="480" w:firstLineChars="200"/>
        <w:rPr>
          <w:kern w:val="0"/>
          <w:sz w:val="24"/>
        </w:rPr>
      </w:pPr>
      <w:r>
        <w:rPr>
          <w:kern w:val="0"/>
          <w:sz w:val="24"/>
        </w:rPr>
        <w:t>尾矿库初级坝下设120m</w:t>
      </w:r>
      <w:r>
        <w:rPr>
          <w:kern w:val="0"/>
          <w:sz w:val="24"/>
          <w:vertAlign w:val="superscript"/>
        </w:rPr>
        <w:t>3</w:t>
      </w:r>
      <w:r>
        <w:rPr>
          <w:kern w:val="0"/>
          <w:sz w:val="24"/>
        </w:rPr>
        <w:t>回水池1座，同时在坝下1座1864m</w:t>
      </w:r>
      <w:r>
        <w:rPr>
          <w:kern w:val="0"/>
          <w:sz w:val="24"/>
          <w:vertAlign w:val="superscript"/>
        </w:rPr>
        <w:t>3</w:t>
      </w:r>
      <w:r>
        <w:rPr>
          <w:kern w:val="0"/>
          <w:sz w:val="24"/>
        </w:rPr>
        <w:t>事故池，并配备应急备用柴油发电机1台，水泵2台，一用一备，当发生事故选厂不能正常生产时，为确保事故情况下尾矿澄清水不外排，先将尾矿库水排入回水池、事故池，然后启用备用柴油发电机，将回水池、事故池的尾矿澄清水排入尾矿库形成闭路循环，待选厂正常生产时将回水池</w:t>
      </w:r>
      <w:r>
        <w:rPr>
          <w:rFonts w:hint="eastAsia"/>
          <w:kern w:val="0"/>
          <w:sz w:val="24"/>
        </w:rPr>
        <w:t>存水</w:t>
      </w:r>
      <w:r>
        <w:rPr>
          <w:kern w:val="0"/>
          <w:sz w:val="24"/>
        </w:rPr>
        <w:t>泵送选厂使用，不外排。</w:t>
      </w:r>
    </w:p>
    <w:p>
      <w:pPr>
        <w:tabs>
          <w:tab w:val="left" w:pos="567"/>
          <w:tab w:val="left" w:pos="851"/>
          <w:tab w:val="left" w:pos="1134"/>
        </w:tabs>
        <w:spacing w:line="360" w:lineRule="auto"/>
        <w:ind w:firstLine="480" w:firstLineChars="200"/>
        <w:rPr>
          <w:bCs/>
          <w:sz w:val="24"/>
        </w:rPr>
      </w:pPr>
      <w:r>
        <w:rPr>
          <w:bCs/>
          <w:sz w:val="24"/>
        </w:rPr>
        <w:t>本项目产生的固体废物均能得到合理处置。</w:t>
      </w:r>
    </w:p>
    <w:p>
      <w:pPr>
        <w:pStyle w:val="5"/>
        <w:rPr>
          <w:rStyle w:val="154"/>
          <w:rFonts w:ascii="Arial" w:hAnsi="Arial" w:eastAsia="仿宋" w:cs="Times New Roman"/>
          <w:b/>
          <w:bCs/>
          <w:sz w:val="24"/>
        </w:rPr>
      </w:pPr>
      <w:bookmarkStart w:id="627" w:name="_Toc470358699"/>
      <w:r>
        <w:rPr>
          <w:rStyle w:val="154"/>
          <w:rFonts w:ascii="Arial" w:hAnsi="Arial" w:eastAsia="仿宋" w:cs="Times New Roman"/>
          <w:b/>
          <w:bCs/>
          <w:sz w:val="24"/>
        </w:rPr>
        <w:t>5.8.4.2相关工程依托可行性分析</w:t>
      </w:r>
      <w:bookmarkEnd w:id="627"/>
    </w:p>
    <w:p>
      <w:pPr>
        <w:pStyle w:val="107"/>
        <w:ind w:firstLine="480" w:firstLineChars="200"/>
      </w:pPr>
      <w:r>
        <w:t>（1）本项目尾矿库依托可行性分析</w:t>
      </w:r>
    </w:p>
    <w:p>
      <w:pPr>
        <w:pStyle w:val="107"/>
        <w:ind w:firstLine="480" w:firstLineChars="200"/>
      </w:pPr>
      <w:r>
        <w:rPr>
          <w:rStyle w:val="170"/>
          <w:rFonts w:ascii="Times New Roman" w:hAnsi="Times New Roman"/>
        </w:rPr>
        <w:t>扩建新增500t/d</w:t>
      </w:r>
      <w:r>
        <w:t>选矿工程依托项目区现有尾矿库。该尾矿库位于银家沟沟口上方370m、</w:t>
      </w:r>
      <w:r>
        <w:rPr>
          <w:rStyle w:val="170"/>
          <w:rFonts w:ascii="Times New Roman" w:hAnsi="Times New Roman"/>
        </w:rPr>
        <w:t>扩建工程1000t/d</w:t>
      </w:r>
      <w:r>
        <w:t>选矿工程下游1300m，该尾矿库已经获得安全生产许可证（编号[豫]FM安许证字〔2015〕XMWK048Y，见附件6）。</w:t>
      </w:r>
    </w:p>
    <w:p>
      <w:pPr>
        <w:pStyle w:val="107"/>
        <w:ind w:firstLine="480" w:firstLineChars="200"/>
      </w:pPr>
      <w:r>
        <w:t>根据库容计算结果，当终期坝坝顶标高为1060m时，几何库容为261.3万m</w:t>
      </w:r>
      <w:r>
        <w:rPr>
          <w:vertAlign w:val="superscript"/>
        </w:rPr>
        <w:t>3</w:t>
      </w:r>
      <w:r>
        <w:t>，可容纳418万吨尾矿砂。尾矿库2005年投入使用，目前已消耗库容近91万m</w:t>
      </w:r>
      <w:r>
        <w:rPr>
          <w:vertAlign w:val="superscript"/>
        </w:rPr>
        <w:t>3</w:t>
      </w:r>
      <w:r>
        <w:t>，本尾矿库还剩有效库容为170×10</w:t>
      </w:r>
      <w:r>
        <w:rPr>
          <w:vertAlign w:val="superscript"/>
        </w:rPr>
        <w:t>4</w:t>
      </w:r>
      <w:r>
        <w:t>m</w:t>
      </w:r>
      <w:r>
        <w:rPr>
          <w:vertAlign w:val="superscript"/>
        </w:rPr>
        <w:t>3</w:t>
      </w:r>
      <w:r>
        <w:t>。</w:t>
      </w:r>
    </w:p>
    <w:p>
      <w:pPr>
        <w:spacing w:line="360" w:lineRule="auto"/>
        <w:ind w:firstLine="480" w:firstLineChars="200"/>
        <w:rPr>
          <w:sz w:val="24"/>
        </w:rPr>
      </w:pPr>
      <w:r>
        <w:rPr>
          <w:sz w:val="24"/>
        </w:rPr>
        <w:t>新建选矿厂年排出尾矿量6.205万t/a，原650t/d选矿厂年排出尾矿量8.19万t/a。新建选矿厂投产后，选矿规模将达到50.0×10</w:t>
      </w:r>
      <w:r>
        <w:rPr>
          <w:sz w:val="24"/>
          <w:vertAlign w:val="superscript"/>
        </w:rPr>
        <w:t>4</w:t>
      </w:r>
      <w:r>
        <w:rPr>
          <w:sz w:val="24"/>
        </w:rPr>
        <w:t>t的生产能力，年排出尾矿量20.6万t/a，年消化库容8.997万m</w:t>
      </w:r>
      <w:r>
        <w:rPr>
          <w:sz w:val="24"/>
          <w:vertAlign w:val="superscript"/>
        </w:rPr>
        <w:t>3</w:t>
      </w:r>
      <w:r>
        <w:rPr>
          <w:sz w:val="24"/>
        </w:rPr>
        <w:t>，现有尾矿库还能服务18.9年。</w:t>
      </w:r>
    </w:p>
    <w:p>
      <w:pPr>
        <w:pStyle w:val="107"/>
        <w:ind w:firstLine="480" w:firstLineChars="200"/>
        <w:rPr>
          <w:rFonts w:eastAsia="宋体"/>
        </w:rPr>
      </w:pPr>
      <w:r>
        <w:rPr>
          <w:rFonts w:eastAsia="宋体"/>
        </w:rPr>
        <w:t>且尾矿库位于</w:t>
      </w:r>
      <w:r>
        <w:t>500t/d</w:t>
      </w:r>
      <w:r>
        <w:rPr>
          <w:rFonts w:eastAsia="宋体"/>
        </w:rPr>
        <w:t>选矿工程下游，其所产生的尾矿自选矿厂流出后可沿地形铺设的管网自流输送至库区坝前向库内。</w:t>
      </w:r>
      <w:r>
        <w:t>因此，本次扩建</w:t>
      </w:r>
      <w:r>
        <w:rPr>
          <w:rFonts w:eastAsia="宋体"/>
        </w:rPr>
        <w:t>工程所产生的尾矿堆存依托现有尾矿库具有可行性。</w:t>
      </w:r>
    </w:p>
    <w:p>
      <w:pPr>
        <w:pStyle w:val="107"/>
        <w:ind w:firstLine="480" w:firstLineChars="200"/>
      </w:pPr>
      <w:r>
        <w:t>（2）废石处置依托性分析</w:t>
      </w:r>
    </w:p>
    <w:p>
      <w:pPr>
        <w:pStyle w:val="107"/>
        <w:ind w:firstLine="480" w:firstLineChars="200"/>
      </w:pPr>
      <w:r>
        <w:t>现有废石堆场位于主井工业广场下方边坡，废石沿着山坡堆积，坡低修筑有拦渣坝。废石堆场占地面积124300m</w:t>
      </w:r>
      <w:r>
        <w:rPr>
          <w:vertAlign w:val="superscript"/>
        </w:rPr>
        <w:t>2</w:t>
      </w:r>
      <w:r>
        <w:t>，堆高10m左右，可容纳124.3万m</w:t>
      </w:r>
      <w:r>
        <w:rPr>
          <w:vertAlign w:val="superscript"/>
        </w:rPr>
        <w:t>3</w:t>
      </w:r>
      <w:r>
        <w:t>废石。本项目地下采矿将形成采空地面塌陷，项目部分废石可用于填充塌陷区。本项目最终岩石移动范围为0.85km</w:t>
      </w:r>
      <w:r>
        <w:rPr>
          <w:vertAlign w:val="superscript"/>
        </w:rPr>
        <w:t>2</w:t>
      </w:r>
      <w:r>
        <w:t>，现状条件下</w:t>
      </w:r>
      <w:r>
        <w:fldChar w:fldCharType="begin"/>
      </w:r>
      <w:r>
        <w:instrText xml:space="preserve"> = 2 \* ROMAN </w:instrText>
      </w:r>
      <w:r>
        <w:fldChar w:fldCharType="separate"/>
      </w:r>
      <w:r>
        <w:t>II</w:t>
      </w:r>
      <w:r>
        <w:fldChar w:fldCharType="end"/>
      </w:r>
      <w:r>
        <w:t>号塌陷区面积4900m</w:t>
      </w:r>
      <w:r>
        <w:rPr>
          <w:vertAlign w:val="superscript"/>
        </w:rPr>
        <w:t>2</w:t>
      </w:r>
      <w:r>
        <w:t>，塌陷深度0.5-15m，可容纳废石34300m</w:t>
      </w:r>
      <w:r>
        <w:rPr>
          <w:vertAlign w:val="superscript"/>
        </w:rPr>
        <w:t>3</w:t>
      </w:r>
      <w:r>
        <w:t>；IV号塌陷区面积6100m</w:t>
      </w:r>
      <w:r>
        <w:rPr>
          <w:vertAlign w:val="superscript"/>
        </w:rPr>
        <w:t>2</w:t>
      </w:r>
      <w:r>
        <w:t>，塌陷深度0.5-6m，可容纳废石18300m</w:t>
      </w:r>
      <w:r>
        <w:rPr>
          <w:vertAlign w:val="superscript"/>
        </w:rPr>
        <w:t>3</w:t>
      </w:r>
      <w:r>
        <w:t>。</w:t>
      </w:r>
    </w:p>
    <w:p>
      <w:pPr>
        <w:pStyle w:val="107"/>
        <w:ind w:firstLine="480" w:firstLineChars="200"/>
      </w:pPr>
      <w:r>
        <w:t>目前已经堆存废石近26万m</w:t>
      </w:r>
      <w:r>
        <w:rPr>
          <w:vertAlign w:val="superscript"/>
        </w:rPr>
        <w:t>3</w:t>
      </w:r>
      <w:r>
        <w:t>，还可堆存98.3万m</w:t>
      </w:r>
      <w:r>
        <w:rPr>
          <w:vertAlign w:val="superscript"/>
        </w:rPr>
        <w:t>3</w:t>
      </w:r>
      <w:r>
        <w:t>（146.8万吨）废石。扩建采矿工程形成35万吨/年采矿能力后废石产生量为2.1万吨/年，废石堆场可满足扩建项目69.9年堆积废石的需要，加上部分废石可用于回填地面塌陷区，现有废石堆场可满足采矿生产需要。</w:t>
      </w:r>
      <w:r>
        <w:rPr>
          <w:rStyle w:val="170"/>
          <w:rFonts w:ascii="Times New Roman" w:hAnsi="Times New Roman"/>
        </w:rPr>
        <w:t>因此，本次扩建</w:t>
      </w:r>
      <w:r>
        <w:t>工程所产生的废石堆存依托现有废石堆场具有可行性。</w:t>
      </w:r>
    </w:p>
    <w:p>
      <w:pPr>
        <w:pStyle w:val="107"/>
        <w:ind w:firstLine="480" w:firstLineChars="200"/>
      </w:pPr>
      <w:r>
        <w:t>（3）尾矿库废水依托现有尾矿库下游废水处理站处理及事故水池收集可行性分析</w:t>
      </w:r>
    </w:p>
    <w:p>
      <w:pPr>
        <w:pStyle w:val="107"/>
        <w:ind w:firstLine="480" w:firstLineChars="200"/>
      </w:pPr>
      <w:r>
        <w:t>尾矿库下游建设有200t/h废水处理站一座，采用添加聚丙烯酰胺絮凝法进行尾矿库废水的处理。现有650t/d选矿废水需要进入废水处理站处理废水量为1716t/d，扩建500t/d选矿废水需要进入废水处理站处理废水量为1341.5t/d，合计为3057.5t/d，设有200t/h废水处理站处理能力为4800t/d，其处理能力可满足扩建工程需要，且扩建500t/d选矿工程与现有650t/d选矿工程工艺设备基本相同，其废水水质也类似，因此扩建工程依托现有尾矿库下游废水处理站可行。</w:t>
      </w:r>
    </w:p>
    <w:p>
      <w:pPr>
        <w:pStyle w:val="107"/>
        <w:ind w:firstLine="480" w:firstLineChars="200"/>
      </w:pPr>
      <w:r>
        <w:t>尾矿库下游现有1864m</w:t>
      </w:r>
      <w:r>
        <w:rPr>
          <w:vertAlign w:val="superscript"/>
        </w:rPr>
        <w:t>3</w:t>
      </w:r>
      <w:r>
        <w:t>事故水池一座，根据《选矿厂尾矿设施设计规范》要求，中、小型选矿厂尾矿回水水池的容积不宜小于6～8h的回水供水量。本项目选矿厂正常回水量为4399t/d，回水池容积不应小于1760m</w:t>
      </w:r>
      <w:r>
        <w:rPr>
          <w:vertAlign w:val="superscript"/>
        </w:rPr>
        <w:t>3</w:t>
      </w:r>
      <w:r>
        <w:t xml:space="preserve">（按8h计算，同时考虑1.2倍的安全系数），因此现有事故水池可满足扩建后事故排放的要求。 </w:t>
      </w:r>
    </w:p>
    <w:p>
      <w:pPr>
        <w:pStyle w:val="107"/>
        <w:ind w:firstLine="480" w:firstLineChars="200"/>
      </w:pPr>
    </w:p>
    <w:p>
      <w:pPr>
        <w:pStyle w:val="107"/>
        <w:ind w:firstLine="480" w:firstLineChars="200"/>
      </w:pPr>
    </w:p>
    <w:p>
      <w:pPr>
        <w:pStyle w:val="107"/>
        <w:ind w:firstLine="480" w:firstLineChars="200"/>
      </w:pPr>
    </w:p>
    <w:p>
      <w:pPr>
        <w:pStyle w:val="107"/>
        <w:ind w:firstLine="480" w:firstLineChars="200"/>
      </w:pPr>
    </w:p>
    <w:p>
      <w:pPr>
        <w:tabs>
          <w:tab w:val="left" w:pos="567"/>
          <w:tab w:val="left" w:pos="851"/>
          <w:tab w:val="left" w:pos="1134"/>
        </w:tabs>
        <w:spacing w:line="360" w:lineRule="auto"/>
        <w:ind w:firstLine="480" w:firstLineChars="200"/>
        <w:rPr>
          <w:bCs/>
          <w:sz w:val="24"/>
        </w:rPr>
      </w:pPr>
    </w:p>
    <w:bookmarkEnd w:id="597"/>
    <w:bookmarkEnd w:id="598"/>
    <w:p>
      <w:pPr>
        <w:spacing w:line="360" w:lineRule="auto"/>
        <w:ind w:firstLine="480" w:firstLineChars="200"/>
        <w:rPr>
          <w:sz w:val="24"/>
        </w:rPr>
      </w:pPr>
      <w:bookmarkStart w:id="628" w:name="_Toc173147946"/>
      <w:bookmarkStart w:id="629" w:name="_Toc173284096"/>
    </w:p>
    <w:p>
      <w:pPr>
        <w:spacing w:line="240" w:lineRule="exact"/>
        <w:jc w:val="center"/>
        <w:outlineLvl w:val="0"/>
        <w:rPr>
          <w:rFonts w:eastAsia="黑体"/>
          <w:b/>
          <w:sz w:val="24"/>
        </w:rPr>
      </w:pPr>
    </w:p>
    <w:p>
      <w:pPr>
        <w:spacing w:line="240" w:lineRule="exact"/>
        <w:jc w:val="center"/>
        <w:outlineLvl w:val="0"/>
        <w:rPr>
          <w:rFonts w:eastAsia="黑体"/>
          <w:b/>
          <w:sz w:val="24"/>
        </w:rPr>
      </w:pPr>
    </w:p>
    <w:p>
      <w:pPr>
        <w:spacing w:line="240" w:lineRule="exact"/>
        <w:jc w:val="center"/>
        <w:outlineLvl w:val="0"/>
        <w:rPr>
          <w:rFonts w:eastAsia="黑体"/>
          <w:b/>
          <w:sz w:val="24"/>
        </w:rPr>
      </w:pPr>
    </w:p>
    <w:p>
      <w:pPr>
        <w:spacing w:line="240" w:lineRule="exact"/>
        <w:jc w:val="center"/>
        <w:outlineLvl w:val="0"/>
        <w:rPr>
          <w:rFonts w:eastAsia="黑体"/>
          <w:b/>
          <w:sz w:val="24"/>
        </w:rPr>
      </w:pPr>
    </w:p>
    <w:p>
      <w:pPr>
        <w:spacing w:line="240" w:lineRule="exact"/>
        <w:jc w:val="center"/>
        <w:outlineLvl w:val="0"/>
        <w:rPr>
          <w:rFonts w:eastAsia="黑体"/>
          <w:b/>
          <w:sz w:val="24"/>
        </w:rPr>
      </w:pPr>
    </w:p>
    <w:p>
      <w:pPr>
        <w:spacing w:line="240" w:lineRule="exact"/>
        <w:jc w:val="center"/>
        <w:outlineLvl w:val="0"/>
        <w:rPr>
          <w:rFonts w:eastAsia="黑体"/>
          <w:b/>
          <w:sz w:val="24"/>
        </w:rPr>
      </w:pPr>
    </w:p>
    <w:p>
      <w:pPr>
        <w:spacing w:line="240" w:lineRule="exact"/>
        <w:jc w:val="center"/>
        <w:outlineLvl w:val="0"/>
        <w:rPr>
          <w:rFonts w:eastAsia="黑体"/>
          <w:b/>
          <w:sz w:val="24"/>
        </w:rPr>
      </w:pPr>
    </w:p>
    <w:p>
      <w:pPr>
        <w:spacing w:line="240" w:lineRule="exact"/>
        <w:jc w:val="center"/>
        <w:outlineLvl w:val="0"/>
        <w:rPr>
          <w:rFonts w:eastAsia="黑体"/>
          <w:b/>
          <w:sz w:val="24"/>
        </w:rPr>
        <w:sectPr>
          <w:pgSz w:w="11906" w:h="16838"/>
          <w:pgMar w:top="1440" w:right="1797" w:bottom="1440" w:left="1797" w:header="851" w:footer="992" w:gutter="0"/>
          <w:cols w:space="425" w:num="1"/>
          <w:docGrid w:linePitch="312" w:charSpace="0"/>
        </w:sectPr>
      </w:pPr>
    </w:p>
    <w:p>
      <w:pPr>
        <w:pStyle w:val="79"/>
        <w:spacing w:after="240"/>
      </w:pPr>
      <w:bookmarkStart w:id="630" w:name="_Toc488578921"/>
      <w:bookmarkStart w:id="631" w:name="_Toc370112138"/>
      <w:bookmarkStart w:id="632" w:name="_Toc407217386"/>
      <w:bookmarkStart w:id="633" w:name="_Toc470358700"/>
      <w:bookmarkStart w:id="634" w:name="_Toc407153520"/>
      <w:bookmarkStart w:id="635" w:name="_Toc420663710"/>
      <w:bookmarkStart w:id="636" w:name="_Toc406504238"/>
      <w:r>
        <w:t>第六章  生态环境影响调查与分析</w:t>
      </w:r>
      <w:bookmarkEnd w:id="628"/>
      <w:bookmarkEnd w:id="629"/>
      <w:bookmarkEnd w:id="630"/>
      <w:bookmarkEnd w:id="631"/>
      <w:bookmarkEnd w:id="632"/>
      <w:bookmarkEnd w:id="633"/>
      <w:bookmarkEnd w:id="634"/>
      <w:bookmarkEnd w:id="635"/>
      <w:bookmarkEnd w:id="636"/>
    </w:p>
    <w:p>
      <w:pPr>
        <w:pStyle w:val="3"/>
        <w:rPr>
          <w:rFonts w:ascii="Times New Roman" w:hAnsi="Times New Roman"/>
          <w:szCs w:val="20"/>
        </w:rPr>
      </w:pPr>
      <w:bookmarkStart w:id="637" w:name="_Toc488578922"/>
      <w:bookmarkStart w:id="638" w:name="_Toc470358701"/>
      <w:bookmarkStart w:id="639" w:name="_Toc406504239"/>
      <w:bookmarkStart w:id="640" w:name="_Toc230234479"/>
      <w:bookmarkStart w:id="641" w:name="_Toc407153521"/>
      <w:bookmarkStart w:id="642" w:name="_Toc370112139"/>
      <w:bookmarkStart w:id="643" w:name="_Toc230236106"/>
      <w:bookmarkStart w:id="644" w:name="_Toc407217387"/>
      <w:bookmarkStart w:id="645" w:name="_Toc420663711"/>
      <w:r>
        <w:rPr>
          <w:rFonts w:ascii="Times New Roman" w:hAnsi="Times New Roman"/>
          <w:szCs w:val="20"/>
        </w:rPr>
        <w:t>6.1生态环境现状调查</w:t>
      </w:r>
      <w:bookmarkEnd w:id="637"/>
      <w:bookmarkEnd w:id="638"/>
      <w:bookmarkEnd w:id="639"/>
      <w:bookmarkEnd w:id="640"/>
      <w:bookmarkEnd w:id="641"/>
      <w:bookmarkEnd w:id="642"/>
      <w:bookmarkEnd w:id="643"/>
      <w:bookmarkEnd w:id="644"/>
      <w:bookmarkEnd w:id="645"/>
    </w:p>
    <w:p>
      <w:pPr>
        <w:pStyle w:val="10"/>
        <w:rPr>
          <w:rFonts w:ascii="Times New Roman" w:hAnsi="Times New Roman"/>
        </w:rPr>
      </w:pPr>
      <w:bookmarkStart w:id="646" w:name="_Toc230234480"/>
      <w:bookmarkStart w:id="647" w:name="_Toc230236107"/>
      <w:bookmarkStart w:id="648" w:name="_Toc406504240"/>
      <w:bookmarkStart w:id="649" w:name="_Toc407217388"/>
      <w:bookmarkStart w:id="650" w:name="_Toc420663712"/>
      <w:bookmarkStart w:id="651" w:name="_Toc407153522"/>
      <w:r>
        <w:rPr>
          <w:rFonts w:ascii="Times New Roman" w:hAnsi="Times New Roman"/>
        </w:rPr>
        <w:t>6.1.1 调查范围</w:t>
      </w:r>
      <w:bookmarkEnd w:id="646"/>
      <w:bookmarkEnd w:id="647"/>
      <w:bookmarkEnd w:id="648"/>
      <w:bookmarkEnd w:id="649"/>
      <w:bookmarkEnd w:id="650"/>
      <w:bookmarkEnd w:id="651"/>
    </w:p>
    <w:p>
      <w:pPr>
        <w:pStyle w:val="167"/>
        <w:rPr>
          <w:rFonts w:ascii="Times New Roman" w:hAnsi="Times New Roman" w:eastAsia="宋体" w:cs="Times New Roman"/>
        </w:rPr>
      </w:pPr>
      <w:bookmarkStart w:id="652" w:name="_Toc406504241"/>
      <w:bookmarkStart w:id="653" w:name="_Toc407153523"/>
      <w:bookmarkStart w:id="654" w:name="_Toc407217389"/>
      <w:bookmarkStart w:id="655" w:name="_Toc420663713"/>
      <w:bookmarkStart w:id="656" w:name="_Toc230234481"/>
      <w:bookmarkStart w:id="657" w:name="_Toc230236108"/>
      <w:r>
        <w:rPr>
          <w:rFonts w:ascii="Times New Roman" w:hAnsi="Times New Roman" w:eastAsia="宋体" w:cs="Times New Roman"/>
        </w:rPr>
        <w:t>生态调查范围的以项目所在的银家沟两侧山脊线为界，圈定面积约为3.1km</w:t>
      </w:r>
      <w:r>
        <w:rPr>
          <w:rFonts w:ascii="Times New Roman" w:hAnsi="Times New Roman" w:eastAsia="宋体" w:cs="Times New Roman"/>
          <w:vertAlign w:val="superscript"/>
        </w:rPr>
        <w:t>2</w:t>
      </w:r>
      <w:r>
        <w:rPr>
          <w:rFonts w:ascii="Times New Roman" w:hAnsi="Times New Roman" w:eastAsia="宋体" w:cs="Times New Roman"/>
        </w:rPr>
        <w:t>。</w:t>
      </w:r>
    </w:p>
    <w:p>
      <w:pPr>
        <w:pStyle w:val="10"/>
        <w:rPr>
          <w:rFonts w:ascii="Times New Roman" w:hAnsi="Times New Roman"/>
        </w:rPr>
      </w:pPr>
      <w:r>
        <w:rPr>
          <w:rFonts w:ascii="Times New Roman" w:hAnsi="Times New Roman"/>
        </w:rPr>
        <w:t>6.1.2 调查内容</w:t>
      </w:r>
    </w:p>
    <w:p>
      <w:pPr>
        <w:spacing w:line="360" w:lineRule="auto"/>
        <w:ind w:firstLine="480" w:firstLineChars="200"/>
        <w:rPr>
          <w:sz w:val="24"/>
        </w:rPr>
      </w:pPr>
      <w:r>
        <w:rPr>
          <w:sz w:val="24"/>
        </w:rPr>
        <w:t>（1）生态系统的类型、结构、特点，陆生动植物种类组成（包括农作物种植类别）及分布状况。</w:t>
      </w:r>
    </w:p>
    <w:p>
      <w:pPr>
        <w:spacing w:line="360" w:lineRule="auto"/>
        <w:ind w:firstLine="480" w:firstLineChars="200"/>
        <w:rPr>
          <w:sz w:val="24"/>
        </w:rPr>
      </w:pPr>
      <w:r>
        <w:rPr>
          <w:sz w:val="24"/>
        </w:rPr>
        <w:t>（2）调查范围内的土地利用现状。</w:t>
      </w:r>
    </w:p>
    <w:p>
      <w:pPr>
        <w:spacing w:line="360" w:lineRule="auto"/>
        <w:ind w:firstLine="480" w:firstLineChars="200"/>
        <w:rPr>
          <w:sz w:val="24"/>
        </w:rPr>
      </w:pPr>
      <w:r>
        <w:rPr>
          <w:sz w:val="24"/>
        </w:rPr>
        <w:t>（3）植被状况及覆盖率，群落类型及其分布，群落组成及其生物量与生产力。</w:t>
      </w:r>
    </w:p>
    <w:p>
      <w:pPr>
        <w:spacing w:line="360" w:lineRule="auto"/>
        <w:ind w:firstLine="480" w:firstLineChars="200"/>
        <w:rPr>
          <w:sz w:val="24"/>
        </w:rPr>
      </w:pPr>
      <w:r>
        <w:rPr>
          <w:sz w:val="24"/>
        </w:rPr>
        <w:t>（4）有无政府批准建立的各类自然保护区、风景名胜区及文物古迹，有无受国家保护的珍稀濒危野生动植物物种等。</w:t>
      </w:r>
    </w:p>
    <w:p>
      <w:pPr>
        <w:pStyle w:val="10"/>
        <w:rPr>
          <w:rFonts w:ascii="Times New Roman" w:hAnsi="Times New Roman"/>
        </w:rPr>
      </w:pPr>
      <w:bookmarkStart w:id="658" w:name="_Toc230234483"/>
      <w:bookmarkStart w:id="659" w:name="_Toc406504242"/>
      <w:bookmarkStart w:id="660" w:name="_Toc407217390"/>
      <w:bookmarkStart w:id="661" w:name="_Toc230236110"/>
      <w:bookmarkStart w:id="662" w:name="_Toc407153524"/>
      <w:bookmarkStart w:id="663" w:name="_Toc420663714"/>
      <w:r>
        <w:rPr>
          <w:rFonts w:ascii="Times New Roman" w:hAnsi="Times New Roman"/>
        </w:rPr>
        <w:t>6.1.3生态现状调查结果</w:t>
      </w:r>
      <w:bookmarkEnd w:id="658"/>
      <w:bookmarkEnd w:id="659"/>
      <w:bookmarkEnd w:id="660"/>
      <w:bookmarkEnd w:id="661"/>
      <w:bookmarkEnd w:id="662"/>
      <w:bookmarkEnd w:id="663"/>
    </w:p>
    <w:p>
      <w:pPr>
        <w:pStyle w:val="5"/>
      </w:pPr>
      <w:bookmarkStart w:id="664" w:name="_Toc435638522"/>
      <w:bookmarkStart w:id="665" w:name="_Toc435638203"/>
      <w:r>
        <w:t>6.1.3.1地貌特征</w:t>
      </w:r>
      <w:bookmarkEnd w:id="664"/>
      <w:bookmarkEnd w:id="665"/>
    </w:p>
    <w:p>
      <w:pPr>
        <w:spacing w:line="360" w:lineRule="auto"/>
        <w:ind w:firstLine="480" w:firstLineChars="200"/>
        <w:rPr>
          <w:b/>
          <w:bCs/>
          <w:sz w:val="24"/>
        </w:rPr>
      </w:pPr>
      <w:r>
        <w:rPr>
          <w:bCs/>
          <w:sz w:val="24"/>
        </w:rPr>
        <w:t>矿区位于豫西山中低山区。区内山峦起伏，切割较深，地形复杂。矿区东、南、北三面环山，仅北西有一狭窄出口，出口最低标高980m。最高山峰标高1442.14m，地形相对高差150～350m。</w:t>
      </w:r>
      <w:r>
        <w:rPr>
          <w:kern w:val="0"/>
          <w:sz w:val="24"/>
        </w:rPr>
        <w:pict>
          <v:shape id="Text Box 482" o:spid="_x0000_s5343" o:spt="202" type="#_x0000_t202" style="position:absolute;left:0pt;margin-left:641.25pt;margin-top:259.4pt;height:24.75pt;width:45.75pt;z-index:251673600;mso-width-relative:page;mso-height-relative:page;" stroked="f" coordsize="21600,21600">
            <v:path/>
            <v:fill focussize="0,0"/>
            <v:stroke on="f" joinstyle="miter"/>
            <v:imagedata o:title=""/>
            <o:lock v:ext="edit"/>
            <v:textbox>
              <w:txbxContent>
                <w:p>
                  <w:r>
                    <w:rPr>
                      <w:rFonts w:hint="eastAsia"/>
                    </w:rPr>
                    <w:t>湍河</w:t>
                  </w:r>
                </w:p>
              </w:txbxContent>
            </v:textbox>
          </v:shape>
        </w:pict>
      </w:r>
      <w:r>
        <w:rPr>
          <w:b/>
          <w:bCs/>
          <w:sz w:val="24"/>
        </w:rPr>
        <w:pict>
          <v:shape id="Text Box 302" o:spid="_x0000_s5337" o:spt="202" type="#_x0000_t202" style="position:absolute;left:0pt;margin-left:-476.4pt;margin-top:377.7pt;height:23.4pt;width:288.75pt;z-index:251667456;mso-width-relative:page;mso-height-relative:page;" stroked="f" coordsize="21600,21600">
            <v:path/>
            <v:fill focussize="0,0"/>
            <v:stroke on="f" joinstyle="miter"/>
            <v:imagedata o:title=""/>
            <o:lock v:ext="edit"/>
            <v:textbox>
              <w:txbxContent>
                <w:p>
                  <w:pPr>
                    <w:jc w:val="center"/>
                    <w:rPr>
                      <w:rFonts w:eastAsia="黑体"/>
                      <w:sz w:val="22"/>
                    </w:rPr>
                  </w:pPr>
                  <w:r>
                    <w:rPr>
                      <w:rFonts w:hint="eastAsia" w:eastAsia="黑体"/>
                      <w:sz w:val="22"/>
                    </w:rPr>
                    <w:t>图7-1 项目生态环境评价范围图</w:t>
                  </w:r>
                </w:p>
              </w:txbxContent>
            </v:textbox>
          </v:shape>
        </w:pict>
      </w:r>
    </w:p>
    <w:bookmarkEnd w:id="652"/>
    <w:bookmarkEnd w:id="653"/>
    <w:bookmarkEnd w:id="654"/>
    <w:bookmarkEnd w:id="655"/>
    <w:bookmarkEnd w:id="656"/>
    <w:bookmarkEnd w:id="657"/>
    <w:p>
      <w:pPr>
        <w:pStyle w:val="5"/>
      </w:pPr>
      <w:bookmarkStart w:id="666" w:name="_Toc363233504"/>
      <w:bookmarkStart w:id="667" w:name="_Toc422077327"/>
      <w:bookmarkStart w:id="668" w:name="_Toc370498132"/>
      <w:bookmarkStart w:id="669" w:name="_Toc435638204"/>
      <w:bookmarkStart w:id="670" w:name="_Toc435638523"/>
      <w:bookmarkStart w:id="671" w:name="_Toc230236111"/>
      <w:bookmarkStart w:id="672" w:name="_Toc230234484"/>
      <w:bookmarkStart w:id="673" w:name="_Toc406504243"/>
      <w:bookmarkStart w:id="674" w:name="_Toc420663715"/>
      <w:bookmarkStart w:id="675" w:name="_Toc407153525"/>
      <w:bookmarkStart w:id="676" w:name="_Toc407217391"/>
      <w:bookmarkStart w:id="677" w:name="_Toc370112140"/>
      <w:r>
        <w:t>6</w:t>
      </w:r>
      <w:bookmarkStart w:id="678" w:name="_Toc333127255"/>
      <w:bookmarkStart w:id="679" w:name="_Toc170030690"/>
      <w:r>
        <w:t>.1.3.2土地利用现状</w:t>
      </w:r>
      <w:bookmarkEnd w:id="666"/>
      <w:bookmarkEnd w:id="667"/>
      <w:bookmarkEnd w:id="668"/>
      <w:bookmarkEnd w:id="669"/>
      <w:bookmarkEnd w:id="670"/>
      <w:bookmarkEnd w:id="678"/>
      <w:bookmarkEnd w:id="679"/>
    </w:p>
    <w:p>
      <w:pPr>
        <w:pStyle w:val="88"/>
        <w:spacing w:line="360" w:lineRule="auto"/>
        <w:rPr>
          <w:color w:val="auto"/>
        </w:rPr>
      </w:pPr>
      <w:r>
        <w:rPr>
          <w:bCs/>
          <w:color w:val="auto"/>
        </w:rPr>
        <w:t xml:space="preserve">    调查范围内以林地为主，采矿用地和自然保留地次之，一般耕地、农村居民点用地零星分布</w:t>
      </w:r>
      <w:r>
        <w:rPr>
          <w:color w:val="auto"/>
          <w:lang w:val="zh-CN"/>
        </w:rPr>
        <w:t>。</w:t>
      </w:r>
      <w:r>
        <w:rPr>
          <w:color w:val="auto"/>
        </w:rPr>
        <w:t>本次生态调查范围约为3.1km</w:t>
      </w:r>
      <w:r>
        <w:rPr>
          <w:color w:val="auto"/>
          <w:vertAlign w:val="superscript"/>
        </w:rPr>
        <w:t>2</w:t>
      </w:r>
      <w:r>
        <w:rPr>
          <w:color w:val="auto"/>
        </w:rPr>
        <w:t>。通过实地调查，并结合朱阳镇土地利用现状与规划图，对调查区域内的土地利用情况进行了统计分析，土地利用分类表</w:t>
      </w:r>
      <w:bookmarkStart w:id="680" w:name="_Toc145151485"/>
      <w:bookmarkStart w:id="681" w:name="_Toc145154863"/>
      <w:bookmarkStart w:id="682" w:name="_Toc145155225"/>
      <w:bookmarkStart w:id="683" w:name="_Toc145246741"/>
      <w:r>
        <w:rPr>
          <w:color w:val="auto"/>
        </w:rPr>
        <w:t>6.1-1。</w:t>
      </w:r>
    </w:p>
    <w:bookmarkEnd w:id="680"/>
    <w:bookmarkEnd w:id="681"/>
    <w:bookmarkEnd w:id="682"/>
    <w:bookmarkEnd w:id="683"/>
    <w:p>
      <w:pPr>
        <w:snapToGrid w:val="0"/>
        <w:spacing w:beforeLines="50"/>
        <w:jc w:val="left"/>
        <w:rPr>
          <w:rFonts w:eastAsia="黑体"/>
          <w:sz w:val="22"/>
          <w:szCs w:val="22"/>
        </w:rPr>
      </w:pPr>
      <w:r>
        <w:rPr>
          <w:b/>
        </w:rPr>
        <w:t xml:space="preserve">    </w:t>
      </w:r>
      <w:r>
        <w:rPr>
          <w:rFonts w:eastAsia="黑体"/>
          <w:sz w:val="22"/>
          <w:szCs w:val="22"/>
        </w:rPr>
        <w:t>表6.1-1                     调查区土地利用分类</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1935"/>
        <w:gridCol w:w="34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68" w:type="dxa"/>
            <w:vAlign w:val="center"/>
          </w:tcPr>
          <w:p>
            <w:pPr>
              <w:pStyle w:val="162"/>
              <w:spacing w:line="240" w:lineRule="auto"/>
              <w:ind w:firstLine="420"/>
              <w:rPr>
                <w:rFonts w:ascii="Times New Roman" w:hAnsi="Times New Roman" w:eastAsia="宋体" w:cs="Times New Roman"/>
                <w:sz w:val="22"/>
                <w:szCs w:val="22"/>
              </w:rPr>
            </w:pPr>
            <w:r>
              <w:rPr>
                <w:rFonts w:ascii="Times New Roman" w:hAnsi="Times New Roman" w:eastAsia="宋体" w:cs="Times New Roman"/>
                <w:sz w:val="22"/>
                <w:szCs w:val="22"/>
              </w:rPr>
              <w:t>分类</w:t>
            </w:r>
          </w:p>
        </w:tc>
        <w:tc>
          <w:tcPr>
            <w:tcW w:w="1935" w:type="dxa"/>
            <w:vAlign w:val="center"/>
          </w:tcPr>
          <w:p>
            <w:pPr>
              <w:pStyle w:val="162"/>
              <w:spacing w:line="240" w:lineRule="auto"/>
              <w:ind w:firstLine="420"/>
              <w:rPr>
                <w:rFonts w:ascii="Times New Roman" w:hAnsi="Times New Roman" w:eastAsia="宋体" w:cs="Times New Roman"/>
                <w:sz w:val="22"/>
                <w:szCs w:val="22"/>
              </w:rPr>
            </w:pPr>
            <w:r>
              <w:rPr>
                <w:rFonts w:ascii="Times New Roman" w:hAnsi="Times New Roman" w:eastAsia="宋体" w:cs="Times New Roman"/>
                <w:sz w:val="22"/>
                <w:szCs w:val="22"/>
              </w:rPr>
              <w:t>面积（hm</w:t>
            </w:r>
            <w:r>
              <w:rPr>
                <w:rFonts w:ascii="Times New Roman" w:hAnsi="Times New Roman" w:eastAsia="宋体" w:cs="Times New Roman"/>
                <w:sz w:val="22"/>
                <w:szCs w:val="22"/>
                <w:vertAlign w:val="superscript"/>
              </w:rPr>
              <w:t>2</w:t>
            </w:r>
            <w:r>
              <w:rPr>
                <w:rFonts w:ascii="Times New Roman" w:hAnsi="Times New Roman" w:eastAsia="宋体" w:cs="Times New Roman"/>
                <w:sz w:val="22"/>
                <w:szCs w:val="22"/>
              </w:rPr>
              <w:t>）</w:t>
            </w:r>
          </w:p>
        </w:tc>
        <w:tc>
          <w:tcPr>
            <w:tcW w:w="3425" w:type="dxa"/>
            <w:vAlign w:val="center"/>
          </w:tcPr>
          <w:p>
            <w:pPr>
              <w:pStyle w:val="162"/>
              <w:spacing w:line="240" w:lineRule="auto"/>
              <w:ind w:firstLine="420"/>
              <w:rPr>
                <w:rFonts w:ascii="Times New Roman" w:hAnsi="Times New Roman" w:eastAsia="宋体" w:cs="Times New Roman"/>
                <w:sz w:val="22"/>
                <w:szCs w:val="22"/>
              </w:rPr>
            </w:pPr>
            <w:r>
              <w:rPr>
                <w:rFonts w:ascii="Times New Roman" w:hAnsi="Times New Roman" w:eastAsia="宋体" w:cs="Times New Roman"/>
                <w:sz w:val="22"/>
                <w:szCs w:val="22"/>
              </w:rPr>
              <w:t>占调查区比例（﹪）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68" w:type="dxa"/>
            <w:vAlign w:val="center"/>
          </w:tcPr>
          <w:p>
            <w:pPr>
              <w:pStyle w:val="162"/>
              <w:spacing w:line="240" w:lineRule="auto"/>
              <w:ind w:firstLine="420"/>
              <w:rPr>
                <w:rFonts w:ascii="Times New Roman" w:hAnsi="Times New Roman" w:eastAsia="宋体" w:cs="Times New Roman"/>
                <w:sz w:val="22"/>
                <w:szCs w:val="22"/>
              </w:rPr>
            </w:pPr>
            <w:r>
              <w:rPr>
                <w:rFonts w:ascii="Times New Roman" w:hAnsi="Times New Roman" w:eastAsia="宋体" w:cs="Times New Roman"/>
                <w:sz w:val="22"/>
                <w:szCs w:val="22"/>
              </w:rPr>
              <w:t>林地</w:t>
            </w:r>
          </w:p>
        </w:tc>
        <w:tc>
          <w:tcPr>
            <w:tcW w:w="1935" w:type="dxa"/>
            <w:vAlign w:val="center"/>
          </w:tcPr>
          <w:p>
            <w:pPr>
              <w:jc w:val="center"/>
              <w:rPr>
                <w:sz w:val="22"/>
                <w:szCs w:val="22"/>
              </w:rPr>
            </w:pPr>
            <w:r>
              <w:rPr>
                <w:sz w:val="22"/>
                <w:szCs w:val="22"/>
              </w:rPr>
              <w:t>202.7</w:t>
            </w:r>
          </w:p>
        </w:tc>
        <w:tc>
          <w:tcPr>
            <w:tcW w:w="3425" w:type="dxa"/>
            <w:vAlign w:val="center"/>
          </w:tcPr>
          <w:p>
            <w:pPr>
              <w:jc w:val="center"/>
              <w:rPr>
                <w:sz w:val="22"/>
                <w:szCs w:val="22"/>
              </w:rPr>
            </w:pPr>
            <w:r>
              <w:rPr>
                <w:sz w:val="22"/>
                <w:szCs w:val="22"/>
              </w:rPr>
              <w:t>65.39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68" w:type="dxa"/>
            <w:vAlign w:val="center"/>
          </w:tcPr>
          <w:p>
            <w:pPr>
              <w:pStyle w:val="162"/>
              <w:spacing w:line="240" w:lineRule="auto"/>
              <w:ind w:firstLine="420"/>
              <w:rPr>
                <w:rFonts w:ascii="Times New Roman" w:hAnsi="Times New Roman" w:eastAsia="宋体" w:cs="Times New Roman"/>
                <w:sz w:val="22"/>
                <w:szCs w:val="22"/>
              </w:rPr>
            </w:pPr>
            <w:r>
              <w:rPr>
                <w:rFonts w:ascii="Times New Roman" w:hAnsi="Times New Roman" w:eastAsia="宋体" w:cs="Times New Roman"/>
                <w:sz w:val="22"/>
                <w:szCs w:val="22"/>
              </w:rPr>
              <w:t>一般耕地</w:t>
            </w:r>
          </w:p>
        </w:tc>
        <w:tc>
          <w:tcPr>
            <w:tcW w:w="1935" w:type="dxa"/>
            <w:vAlign w:val="center"/>
          </w:tcPr>
          <w:p>
            <w:pPr>
              <w:jc w:val="center"/>
              <w:rPr>
                <w:sz w:val="22"/>
                <w:szCs w:val="22"/>
              </w:rPr>
            </w:pPr>
            <w:r>
              <w:rPr>
                <w:sz w:val="22"/>
                <w:szCs w:val="22"/>
              </w:rPr>
              <w:t>0.7</w:t>
            </w:r>
          </w:p>
        </w:tc>
        <w:tc>
          <w:tcPr>
            <w:tcW w:w="3425" w:type="dxa"/>
            <w:vAlign w:val="center"/>
          </w:tcPr>
          <w:p>
            <w:pPr>
              <w:jc w:val="center"/>
              <w:rPr>
                <w:sz w:val="22"/>
                <w:szCs w:val="22"/>
              </w:rPr>
            </w:pPr>
            <w:r>
              <w:rPr>
                <w:sz w:val="22"/>
                <w:szCs w:val="22"/>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68" w:type="dxa"/>
            <w:vAlign w:val="center"/>
          </w:tcPr>
          <w:p>
            <w:pPr>
              <w:pStyle w:val="162"/>
              <w:spacing w:line="240" w:lineRule="auto"/>
              <w:ind w:firstLine="420"/>
              <w:rPr>
                <w:rFonts w:ascii="Times New Roman" w:hAnsi="Times New Roman" w:eastAsia="宋体" w:cs="Times New Roman"/>
                <w:sz w:val="22"/>
                <w:szCs w:val="22"/>
              </w:rPr>
            </w:pPr>
            <w:r>
              <w:rPr>
                <w:rFonts w:ascii="Times New Roman" w:hAnsi="Times New Roman" w:eastAsia="宋体" w:cs="Times New Roman"/>
                <w:sz w:val="22"/>
                <w:szCs w:val="22"/>
              </w:rPr>
              <w:t>农村居民点用地</w:t>
            </w:r>
          </w:p>
        </w:tc>
        <w:tc>
          <w:tcPr>
            <w:tcW w:w="1935" w:type="dxa"/>
            <w:vAlign w:val="center"/>
          </w:tcPr>
          <w:p>
            <w:pPr>
              <w:jc w:val="center"/>
              <w:rPr>
                <w:sz w:val="22"/>
                <w:szCs w:val="22"/>
              </w:rPr>
            </w:pPr>
            <w:r>
              <w:rPr>
                <w:sz w:val="22"/>
                <w:szCs w:val="22"/>
              </w:rPr>
              <w:t>1.3</w:t>
            </w:r>
          </w:p>
        </w:tc>
        <w:tc>
          <w:tcPr>
            <w:tcW w:w="3425" w:type="dxa"/>
            <w:vAlign w:val="center"/>
          </w:tcPr>
          <w:p>
            <w:pPr>
              <w:jc w:val="center"/>
              <w:rPr>
                <w:sz w:val="22"/>
                <w:szCs w:val="22"/>
              </w:rPr>
            </w:pPr>
            <w:r>
              <w:rPr>
                <w:sz w:val="22"/>
                <w:szCs w:val="22"/>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68" w:type="dxa"/>
            <w:vAlign w:val="center"/>
          </w:tcPr>
          <w:p>
            <w:pPr>
              <w:pStyle w:val="162"/>
              <w:spacing w:line="240" w:lineRule="auto"/>
              <w:ind w:firstLine="420"/>
              <w:rPr>
                <w:rFonts w:ascii="Times New Roman" w:hAnsi="Times New Roman" w:eastAsia="宋体" w:cs="Times New Roman"/>
                <w:sz w:val="22"/>
                <w:szCs w:val="22"/>
              </w:rPr>
            </w:pPr>
            <w:r>
              <w:rPr>
                <w:rFonts w:ascii="Times New Roman" w:hAnsi="Times New Roman" w:eastAsia="宋体" w:cs="Times New Roman"/>
                <w:sz w:val="22"/>
                <w:szCs w:val="22"/>
              </w:rPr>
              <w:t>采矿用地（现状部分草地）</w:t>
            </w:r>
          </w:p>
        </w:tc>
        <w:tc>
          <w:tcPr>
            <w:tcW w:w="1935" w:type="dxa"/>
            <w:vAlign w:val="center"/>
          </w:tcPr>
          <w:p>
            <w:pPr>
              <w:jc w:val="center"/>
              <w:rPr>
                <w:sz w:val="22"/>
                <w:szCs w:val="22"/>
              </w:rPr>
            </w:pPr>
            <w:r>
              <w:rPr>
                <w:sz w:val="22"/>
                <w:szCs w:val="22"/>
              </w:rPr>
              <w:t>54.3</w:t>
            </w:r>
          </w:p>
        </w:tc>
        <w:tc>
          <w:tcPr>
            <w:tcW w:w="3425" w:type="dxa"/>
            <w:vAlign w:val="center"/>
          </w:tcPr>
          <w:p>
            <w:pPr>
              <w:jc w:val="center"/>
              <w:rPr>
                <w:sz w:val="22"/>
                <w:szCs w:val="22"/>
              </w:rPr>
            </w:pPr>
            <w:r>
              <w:rPr>
                <w:sz w:val="22"/>
                <w:szCs w:val="22"/>
              </w:rPr>
              <w:t>17.51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68" w:type="dxa"/>
            <w:vAlign w:val="center"/>
          </w:tcPr>
          <w:p>
            <w:pPr>
              <w:pStyle w:val="162"/>
              <w:spacing w:line="240" w:lineRule="auto"/>
              <w:ind w:firstLine="420"/>
              <w:rPr>
                <w:rFonts w:ascii="Times New Roman" w:hAnsi="Times New Roman" w:eastAsia="宋体" w:cs="Times New Roman"/>
                <w:sz w:val="22"/>
                <w:szCs w:val="22"/>
              </w:rPr>
            </w:pPr>
            <w:r>
              <w:rPr>
                <w:rFonts w:ascii="Times New Roman" w:hAnsi="Times New Roman" w:eastAsia="宋体" w:cs="Times New Roman"/>
                <w:sz w:val="22"/>
                <w:szCs w:val="22"/>
              </w:rPr>
              <w:t>自然保留地（现状部分草地）</w:t>
            </w:r>
          </w:p>
        </w:tc>
        <w:tc>
          <w:tcPr>
            <w:tcW w:w="1935" w:type="dxa"/>
            <w:vAlign w:val="center"/>
          </w:tcPr>
          <w:p>
            <w:pPr>
              <w:jc w:val="center"/>
              <w:rPr>
                <w:sz w:val="22"/>
                <w:szCs w:val="22"/>
              </w:rPr>
            </w:pPr>
            <w:r>
              <w:rPr>
                <w:sz w:val="22"/>
                <w:szCs w:val="22"/>
              </w:rPr>
              <w:t>51</w:t>
            </w:r>
          </w:p>
        </w:tc>
        <w:tc>
          <w:tcPr>
            <w:tcW w:w="3425" w:type="dxa"/>
            <w:vAlign w:val="center"/>
          </w:tcPr>
          <w:p>
            <w:pPr>
              <w:jc w:val="center"/>
              <w:rPr>
                <w:sz w:val="22"/>
                <w:szCs w:val="22"/>
              </w:rPr>
            </w:pPr>
            <w:r>
              <w:rPr>
                <w:sz w:val="22"/>
                <w:szCs w:val="22"/>
              </w:rPr>
              <w:t>16.45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68" w:type="dxa"/>
            <w:vAlign w:val="center"/>
          </w:tcPr>
          <w:p>
            <w:pPr>
              <w:pStyle w:val="162"/>
              <w:spacing w:line="240" w:lineRule="auto"/>
              <w:ind w:firstLine="420"/>
              <w:rPr>
                <w:rFonts w:ascii="Times New Roman" w:hAnsi="Times New Roman" w:eastAsia="宋体" w:cs="Times New Roman"/>
                <w:sz w:val="22"/>
                <w:szCs w:val="22"/>
              </w:rPr>
            </w:pPr>
            <w:r>
              <w:rPr>
                <w:rFonts w:ascii="Times New Roman" w:hAnsi="Times New Roman" w:eastAsia="宋体" w:cs="Times New Roman"/>
                <w:sz w:val="22"/>
                <w:szCs w:val="22"/>
              </w:rPr>
              <w:t>总计</w:t>
            </w:r>
          </w:p>
        </w:tc>
        <w:tc>
          <w:tcPr>
            <w:tcW w:w="1935" w:type="dxa"/>
            <w:vAlign w:val="center"/>
          </w:tcPr>
          <w:p>
            <w:pPr>
              <w:jc w:val="center"/>
              <w:rPr>
                <w:sz w:val="22"/>
                <w:szCs w:val="22"/>
              </w:rPr>
            </w:pPr>
            <w:r>
              <w:rPr>
                <w:sz w:val="22"/>
                <w:szCs w:val="22"/>
              </w:rPr>
              <w:t>310</w:t>
            </w:r>
          </w:p>
        </w:tc>
        <w:tc>
          <w:tcPr>
            <w:tcW w:w="3425" w:type="dxa"/>
            <w:vAlign w:val="center"/>
          </w:tcPr>
          <w:p>
            <w:pPr>
              <w:jc w:val="center"/>
              <w:rPr>
                <w:sz w:val="22"/>
                <w:szCs w:val="22"/>
              </w:rPr>
            </w:pPr>
            <w:r>
              <w:rPr>
                <w:sz w:val="22"/>
                <w:szCs w:val="22"/>
              </w:rPr>
              <w:t>100</w:t>
            </w:r>
          </w:p>
        </w:tc>
      </w:tr>
    </w:tbl>
    <w:p>
      <w:pPr>
        <w:pStyle w:val="88"/>
        <w:spacing w:beforeLines="50" w:line="360" w:lineRule="auto"/>
        <w:rPr>
          <w:color w:val="auto"/>
        </w:rPr>
      </w:pPr>
      <w:r>
        <w:rPr>
          <w:color w:val="auto"/>
        </w:rPr>
        <w:t xml:space="preserve">    由表6.1-1可知，调查区域土地利用现状内以林地为主，伴以采矿用地和自然保留地，以及少量耕地和农村居民点用地。其中林地占调查区总面积的65.39﹪；采矿用地占调查区总面积的17.51﹪；自然保留地占调查区总面积的16.45﹪；一般耕地占调查区总面积的0.23﹪；农村居民点用地占调查区总面积的0.42﹪。</w:t>
      </w:r>
    </w:p>
    <w:p>
      <w:pPr>
        <w:pStyle w:val="5"/>
      </w:pPr>
      <w:bookmarkStart w:id="684" w:name="_Toc435638205"/>
      <w:bookmarkStart w:id="685" w:name="_Toc435638524"/>
      <w:r>
        <w:t>6.1.3.3土壤类型</w:t>
      </w:r>
      <w:bookmarkEnd w:id="684"/>
      <w:bookmarkEnd w:id="685"/>
    </w:p>
    <w:p>
      <w:pPr>
        <w:spacing w:line="360" w:lineRule="auto"/>
        <w:ind w:firstLine="480" w:firstLineChars="200"/>
        <w:rPr>
          <w:sz w:val="24"/>
        </w:rPr>
      </w:pPr>
      <w:bookmarkStart w:id="686" w:name="_Toc435638525"/>
      <w:bookmarkStart w:id="687" w:name="_Toc435638206"/>
      <w:r>
        <w:rPr>
          <w:sz w:val="24"/>
        </w:rPr>
        <w:t>灵宝市土壤有潮土、风沙土、褐土和棕壤土等四大土类。其中，潮土类面积21.16万亩，占全市总面积的4.7%，主要分布在豫灵、故县、西闫、坡头、城关、尹庄、阳店、川口、大王等乡（镇）黄河沿岸及弘农涧河两岸海拔320~400m的地区，成土母质为河流冲积物。土壤较肥沃，层次明显，厚度不一，质地轻至中壤，保水保肥性能好，适宜农作物生长。调查区主要土壤为褐土及棕壤土两大类。褐土类是灵宝市主要的土类，面积377.86万亩，占全市总面积的83.8%，分布在海拔308~500m的广阔地域。母质为黄土，土层较厚，较肥沃。棕壤土类面积48.95万亩，占全市总面积的10.8%。主要分布在豫灵、阳平、程村、朱阳等乡（镇）和河西林场海拔900~2413.8的地区。由酸性岩风化而成，表层为腐殖层，土壤养分含量较高。</w:t>
      </w:r>
    </w:p>
    <w:p>
      <w:pPr>
        <w:pStyle w:val="5"/>
      </w:pPr>
      <w:r>
        <w:t>6.1.3.4动物资源</w:t>
      </w:r>
      <w:bookmarkEnd w:id="686"/>
      <w:bookmarkEnd w:id="687"/>
    </w:p>
    <w:p>
      <w:pPr>
        <w:spacing w:line="360" w:lineRule="auto"/>
        <w:ind w:firstLine="480" w:firstLineChars="200"/>
        <w:rPr>
          <w:sz w:val="24"/>
        </w:rPr>
      </w:pPr>
      <w:bookmarkStart w:id="688" w:name="_Toc435638207"/>
      <w:bookmarkStart w:id="689" w:name="_Toc435638526"/>
      <w:r>
        <w:rPr>
          <w:sz w:val="24"/>
        </w:rPr>
        <w:t>调查区域野生动物组成比较简单，种类较少。兽类主要有：草兔、岩松鼠、黄鼬野兔、狐狸、黄鼠狼、刺猬、小家鼠、等；鸟类主要有麻雀、猫头鹰、杜鹃、啄木鸟、斑鸠、乌鸦等。爬行类主要有蜥蜴、蛇、壁虎等，两栖类主要有蟾蜍。昆虫类主要有小麦蚜虫、红蜘蛛，梨星毛虫等。人工饲养的家畜主要有绵羊、山羊、猪、狗、牛、鸡等。</w:t>
      </w:r>
    </w:p>
    <w:p>
      <w:pPr>
        <w:pStyle w:val="5"/>
      </w:pPr>
      <w:r>
        <w:t>6.1.3.5植物资源现状</w:t>
      </w:r>
      <w:bookmarkEnd w:id="688"/>
      <w:bookmarkEnd w:id="689"/>
    </w:p>
    <w:p>
      <w:pPr>
        <w:pStyle w:val="107"/>
        <w:rPr>
          <w:rFonts w:eastAsia="宋体"/>
        </w:rPr>
      </w:pPr>
      <w:r>
        <w:rPr>
          <w:rFonts w:eastAsia="宋体"/>
        </w:rPr>
        <w:t xml:space="preserve">    （1）植被现状</w:t>
      </w:r>
    </w:p>
    <w:p>
      <w:pPr>
        <w:spacing w:line="360" w:lineRule="auto"/>
        <w:ind w:firstLine="480" w:firstLineChars="200"/>
        <w:rPr>
          <w:sz w:val="24"/>
        </w:rPr>
      </w:pPr>
      <w:bookmarkStart w:id="690" w:name="_Toc435638208"/>
      <w:bookmarkStart w:id="691" w:name="_Toc435638527"/>
      <w:r>
        <w:rPr>
          <w:snapToGrid w:val="0"/>
          <w:kern w:val="0"/>
          <w:sz w:val="24"/>
        </w:rPr>
        <w:t>项目区属暖温带大陆高山性气候</w:t>
      </w:r>
      <w:r>
        <w:rPr>
          <w:sz w:val="24"/>
        </w:rPr>
        <w:t>。调查区域主要植物种类如下：</w:t>
      </w:r>
    </w:p>
    <w:p>
      <w:pPr>
        <w:spacing w:line="360" w:lineRule="auto"/>
        <w:ind w:firstLine="480" w:firstLineChars="200"/>
        <w:rPr>
          <w:sz w:val="24"/>
        </w:rPr>
      </w:pPr>
      <w:r>
        <w:rPr>
          <w:sz w:val="24"/>
        </w:rPr>
        <w:t>①乔木：主要有油松、栎树、刺槐、杨树、椿树、楸树等，其中栎树、为优势树种。</w:t>
      </w:r>
    </w:p>
    <w:p>
      <w:pPr>
        <w:spacing w:line="360" w:lineRule="auto"/>
        <w:ind w:firstLine="480" w:firstLineChars="200"/>
        <w:rPr>
          <w:sz w:val="24"/>
        </w:rPr>
      </w:pPr>
      <w:r>
        <w:rPr>
          <w:sz w:val="24"/>
        </w:rPr>
        <w:t>②经济树种：主要以山茱萸为主，杏、李树、核桃和柿子树也有少量分布。</w:t>
      </w:r>
    </w:p>
    <w:p>
      <w:pPr>
        <w:spacing w:line="360" w:lineRule="auto"/>
        <w:ind w:firstLine="480" w:firstLineChars="200"/>
        <w:rPr>
          <w:sz w:val="24"/>
        </w:rPr>
      </w:pPr>
      <w:r>
        <w:rPr>
          <w:sz w:val="24"/>
        </w:rPr>
        <w:t>③灌木：主要有荆条、黄栌、迎春、连翘、胡枝子、杜鹃等。</w:t>
      </w:r>
    </w:p>
    <w:p>
      <w:pPr>
        <w:spacing w:line="360" w:lineRule="auto"/>
        <w:ind w:firstLine="480" w:firstLineChars="200"/>
        <w:rPr>
          <w:sz w:val="24"/>
        </w:rPr>
      </w:pPr>
      <w:r>
        <w:rPr>
          <w:sz w:val="24"/>
        </w:rPr>
        <w:t>④草本植物：主要有菊花、艾草、山棉花、白羊草、黄背草、羊胡子草、蒿草、披针苔、蕨类等。</w:t>
      </w:r>
    </w:p>
    <w:p>
      <w:pPr>
        <w:pStyle w:val="107"/>
      </w:pPr>
      <w:r>
        <w:rPr>
          <w:rFonts w:eastAsia="宋体"/>
        </w:rPr>
        <w:t xml:space="preserve">    ⑤</w:t>
      </w:r>
      <w:r>
        <w:t>粮食作物：主要有小麦、玉米等。</w:t>
      </w:r>
      <w:bookmarkStart w:id="692" w:name="_Toc244162749"/>
      <w:bookmarkStart w:id="693" w:name="_Toc333127253"/>
      <w:r>
        <w:t>植物群落类型</w:t>
      </w:r>
      <w:bookmarkEnd w:id="692"/>
      <w:bookmarkEnd w:id="693"/>
    </w:p>
    <w:p>
      <w:pPr>
        <w:spacing w:line="360" w:lineRule="auto"/>
        <w:ind w:firstLine="480" w:firstLineChars="200"/>
        <w:rPr>
          <w:sz w:val="24"/>
        </w:rPr>
      </w:pPr>
      <w:r>
        <w:rPr>
          <w:sz w:val="24"/>
        </w:rPr>
        <w:t>（2）植被现状调查</w:t>
      </w:r>
    </w:p>
    <w:p>
      <w:pPr>
        <w:spacing w:line="360" w:lineRule="auto"/>
        <w:ind w:firstLine="480" w:firstLineChars="200"/>
        <w:rPr>
          <w:sz w:val="24"/>
        </w:rPr>
      </w:pPr>
      <w:r>
        <w:rPr>
          <w:sz w:val="24"/>
        </w:rPr>
        <w:t>根据现场调查及有关资料分析，区域内不同植物群落类型情况如下：</w:t>
      </w:r>
    </w:p>
    <w:p>
      <w:pPr>
        <w:spacing w:line="360" w:lineRule="auto"/>
        <w:ind w:firstLine="480" w:firstLineChars="200"/>
        <w:rPr>
          <w:sz w:val="24"/>
        </w:rPr>
      </w:pPr>
      <w:r>
        <w:rPr>
          <w:sz w:val="24"/>
        </w:rPr>
        <w:t>1、油松林群落</w:t>
      </w:r>
    </w:p>
    <w:p>
      <w:pPr>
        <w:spacing w:line="360" w:lineRule="auto"/>
        <w:ind w:firstLine="480" w:firstLineChars="200"/>
        <w:rPr>
          <w:sz w:val="24"/>
        </w:rPr>
      </w:pPr>
      <w:r>
        <w:rPr>
          <w:sz w:val="24"/>
        </w:rPr>
        <w:t>林中伴生有槲栎、锐齿栎、山杨、化香、蒙椴、山槐、五角枫、漆树等乔木。林下灌木有三桠乌药、绣线菊、溲疏、红瑞木、山胡椒、卫矛、胡枝子、棠梨、五味子、连翘等；草本植物有羊胡子草、披针苔、山棉花、龙牙草、唐松草、黄精、苍术、柴胡等。</w:t>
      </w:r>
    </w:p>
    <w:p>
      <w:pPr>
        <w:spacing w:line="360" w:lineRule="auto"/>
        <w:ind w:firstLine="480" w:firstLineChars="200"/>
        <w:rPr>
          <w:sz w:val="24"/>
        </w:rPr>
      </w:pPr>
      <w:r>
        <w:rPr>
          <w:sz w:val="24"/>
        </w:rPr>
        <w:t>2、栓皮栎林群落</w:t>
      </w:r>
    </w:p>
    <w:p>
      <w:pPr>
        <w:spacing w:line="360" w:lineRule="auto"/>
        <w:ind w:firstLine="480" w:firstLineChars="200"/>
        <w:rPr>
          <w:sz w:val="24"/>
        </w:rPr>
      </w:pPr>
      <w:r>
        <w:rPr>
          <w:sz w:val="24"/>
        </w:rPr>
        <w:t>阔叶林是灵宝森林群落的主体。主要由栓皮栎林组成，伴生有化香、槲栎、山槐、短柄枹、山杨、黄檀、鹅耳栎、山桑、漆树、野核桃等。灌木品种常见的有白檀、黄栌、盐肤木、野茉莉、中华绣线菊、悬钩子、山梅花、野蔷薇、连翘、映山红、胡枝子、杜鹃等；草本植物品种有堇菜、石沙参、委陵菜、日本苔草、披针苔、胡子草、地榆、山棉花、菊花、蒿等。</w:t>
      </w:r>
    </w:p>
    <w:p>
      <w:pPr>
        <w:spacing w:line="360" w:lineRule="auto"/>
        <w:ind w:firstLine="200"/>
        <w:rPr>
          <w:spacing w:val="15"/>
          <w:kern w:val="0"/>
          <w:sz w:val="24"/>
        </w:rPr>
      </w:pPr>
      <w:r>
        <w:rPr>
          <w:sz w:val="24"/>
        </w:rPr>
        <w:t>3、山杨、白桦为主的杂木林植被</w:t>
      </w:r>
    </w:p>
    <w:p>
      <w:pPr>
        <w:spacing w:line="360" w:lineRule="auto"/>
        <w:ind w:firstLine="480" w:firstLineChars="200"/>
        <w:rPr>
          <w:sz w:val="24"/>
        </w:rPr>
      </w:pPr>
      <w:r>
        <w:rPr>
          <w:sz w:val="24"/>
        </w:rPr>
        <w:t>此类呈片状分布在海拔1000～1600m的阳坡上。树种以山杨、白桦为主。伴生有槲栎、千金榆、栗和栓皮栎等乔木，草本植物有羊胡子草、山棉花、柴胡、铁杆蒿、菊花等。</w:t>
      </w:r>
    </w:p>
    <w:p>
      <w:pPr>
        <w:spacing w:line="360" w:lineRule="auto"/>
        <w:ind w:firstLine="480" w:firstLineChars="200"/>
        <w:rPr>
          <w:sz w:val="24"/>
        </w:rPr>
      </w:pPr>
      <w:r>
        <w:rPr>
          <w:sz w:val="24"/>
        </w:rPr>
        <w:t>4、美丽胡枝子灌丛群落</w:t>
      </w:r>
    </w:p>
    <w:p>
      <w:pPr>
        <w:spacing w:line="360" w:lineRule="auto"/>
        <w:ind w:firstLine="480" w:firstLineChars="200"/>
        <w:rPr>
          <w:sz w:val="24"/>
        </w:rPr>
      </w:pPr>
      <w:r>
        <w:rPr>
          <w:sz w:val="24"/>
        </w:rPr>
        <w:t>山地、丘陵、农田四周、村宅、路边经常能看到。灌丛高0.7~1.5m，郁闭度0.7~0.9。伴生植物极少，常见的有一叶荻、杭子梢、白鹃梅、白檀藕李、野古草、鹅观草、披碱草、夏枯草、柴胡等。</w:t>
      </w:r>
    </w:p>
    <w:p>
      <w:pPr>
        <w:spacing w:line="360" w:lineRule="auto"/>
        <w:ind w:firstLine="480" w:firstLineChars="200"/>
        <w:rPr>
          <w:sz w:val="24"/>
        </w:rPr>
      </w:pPr>
      <w:r>
        <w:rPr>
          <w:sz w:val="24"/>
        </w:rPr>
        <w:t>5、荆条灌丛群落</w:t>
      </w:r>
    </w:p>
    <w:p>
      <w:pPr>
        <w:spacing w:line="360" w:lineRule="auto"/>
        <w:ind w:firstLine="480" w:firstLineChars="200"/>
        <w:rPr>
          <w:sz w:val="24"/>
        </w:rPr>
      </w:pPr>
      <w:r>
        <w:rPr>
          <w:sz w:val="24"/>
        </w:rPr>
        <w:t>主要分布于山坡。灌丛高0.8~1.2m，郁闭度0.7~0.9。伴生的植物多为黄栌、酸枣、野山楂、胡枝子、铁扫帚、黄连木、白羊草、黄背草、野菊、蛇莓、鸦葱、白头翁、远志以及栓皮栎、槲树萌生的幼苗等。</w:t>
      </w:r>
    </w:p>
    <w:p>
      <w:pPr>
        <w:spacing w:line="360" w:lineRule="auto"/>
        <w:ind w:firstLine="480" w:firstLineChars="200"/>
        <w:rPr>
          <w:sz w:val="24"/>
        </w:rPr>
      </w:pPr>
      <w:r>
        <w:rPr>
          <w:sz w:val="24"/>
        </w:rPr>
        <w:t>6、连翘灌丛群落</w:t>
      </w:r>
    </w:p>
    <w:p>
      <w:pPr>
        <w:spacing w:line="360" w:lineRule="auto"/>
        <w:ind w:firstLine="480" w:firstLineChars="200"/>
        <w:rPr>
          <w:sz w:val="24"/>
        </w:rPr>
      </w:pPr>
      <w:r>
        <w:rPr>
          <w:sz w:val="24"/>
        </w:rPr>
        <w:t>主要分布于山坡、沟谷。先花后叶，早春呈黄色景观。灌丛高1.2~2.5m，郁闭度0.5~0.6。与其伴生的植物有杜鹃、美丽胡枝子、黄栌、溲疏、藕李、野山楂、杭子梢、盐肤木、披针苔、鹅观草、黄背草、桔梗、瞿麦、柴胡、南蛇藤、铁线莲、青茅、白莲蒿等。</w:t>
      </w:r>
    </w:p>
    <w:p>
      <w:pPr>
        <w:spacing w:line="360" w:lineRule="auto"/>
        <w:ind w:firstLine="480" w:firstLineChars="200"/>
        <w:rPr>
          <w:sz w:val="24"/>
        </w:rPr>
      </w:pPr>
      <w:r>
        <w:rPr>
          <w:sz w:val="24"/>
        </w:rPr>
        <w:t>7、农作物群落</w:t>
      </w:r>
    </w:p>
    <w:p>
      <w:pPr>
        <w:spacing w:line="360" w:lineRule="auto"/>
        <w:ind w:firstLine="480" w:firstLineChars="200"/>
        <w:rPr>
          <w:sz w:val="24"/>
        </w:rPr>
      </w:pPr>
      <w:r>
        <w:rPr>
          <w:sz w:val="24"/>
        </w:rPr>
        <w:t>农作物群落主要分布在沟河两侧的平坦或缓坡地带，主要是小麦、玉米、豆类、红薯，也有少量的菜地。调查区耕地面积较少。</w:t>
      </w:r>
    </w:p>
    <w:p>
      <w:pPr>
        <w:spacing w:line="360" w:lineRule="auto"/>
        <w:ind w:firstLine="480" w:firstLineChars="200"/>
        <w:rPr>
          <w:sz w:val="24"/>
        </w:rPr>
      </w:pPr>
      <w:r>
        <w:rPr>
          <w:sz w:val="24"/>
        </w:rPr>
        <w:t>该区域农田均为旱地，多为小块分布，不适宜农业机械作业，所以农田耕种全靠人力劳作，生产效率低。该群落种除了农作物外，还有与农作物伴生的杂草，如：灰灰菜、燕麦、狗尾草、野苋等。</w:t>
      </w:r>
    </w:p>
    <w:p>
      <w:pPr>
        <w:pStyle w:val="107"/>
      </w:pPr>
      <w:r>
        <w:t>6.1.3.6</w:t>
      </w:r>
      <w:r>
        <w:rPr>
          <w:rFonts w:eastAsia="宋体"/>
        </w:rPr>
        <w:t>调查区生态系统特征</w:t>
      </w:r>
      <w:bookmarkEnd w:id="690"/>
      <w:bookmarkEnd w:id="691"/>
    </w:p>
    <w:p>
      <w:pPr>
        <w:spacing w:line="360" w:lineRule="auto"/>
        <w:ind w:firstLine="480" w:firstLineChars="200"/>
        <w:rPr>
          <w:sz w:val="24"/>
        </w:rPr>
      </w:pPr>
      <w:r>
        <w:rPr>
          <w:sz w:val="24"/>
        </w:rPr>
        <w:t>根据实地调查，调查区共有5种生态系统类型。其中以林地生态系统为主，大部分属自然和人工混合林地状态分布；水域生态系统主要是沟河、河流分布较广；农田生态系统零星分布。由于降水量少，蒸发量大，加之人类粗放的生产经营方式，使得目前整个区域生态环境比较脆弱。</w:t>
      </w:r>
      <w:r>
        <w:rPr>
          <w:bCs/>
          <w:sz w:val="24"/>
        </w:rPr>
        <w:t>调查区内生态系统类型及特征见表6.1-2</w:t>
      </w:r>
      <w:r>
        <w:rPr>
          <w:sz w:val="24"/>
        </w:rPr>
        <w:t>。、</w:t>
      </w:r>
    </w:p>
    <w:p>
      <w:pPr>
        <w:adjustRightInd w:val="0"/>
        <w:snapToGrid w:val="0"/>
        <w:ind w:firstLine="440" w:firstLineChars="200"/>
        <w:rPr>
          <w:rFonts w:eastAsia="黑体"/>
          <w:sz w:val="22"/>
          <w:szCs w:val="22"/>
        </w:rPr>
      </w:pPr>
      <w:r>
        <w:rPr>
          <w:rFonts w:eastAsia="黑体"/>
          <w:sz w:val="22"/>
          <w:szCs w:val="22"/>
        </w:rPr>
        <w:t>表6.1-2             调查区内生态系统类型及特征见表</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642"/>
        <w:gridCol w:w="3101"/>
        <w:gridCol w:w="3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2" w:type="dxa"/>
            <w:vAlign w:val="center"/>
          </w:tcPr>
          <w:p>
            <w:pPr>
              <w:spacing w:line="240" w:lineRule="exact"/>
              <w:jc w:val="center"/>
              <w:rPr>
                <w:szCs w:val="21"/>
              </w:rPr>
            </w:pPr>
            <w:r>
              <w:rPr>
                <w:szCs w:val="21"/>
              </w:rPr>
              <w:t>序号</w:t>
            </w:r>
          </w:p>
        </w:tc>
        <w:tc>
          <w:tcPr>
            <w:tcW w:w="1642" w:type="dxa"/>
            <w:vAlign w:val="center"/>
          </w:tcPr>
          <w:p>
            <w:pPr>
              <w:spacing w:line="240" w:lineRule="exact"/>
              <w:jc w:val="center"/>
              <w:rPr>
                <w:szCs w:val="21"/>
              </w:rPr>
            </w:pPr>
            <w:r>
              <w:rPr>
                <w:szCs w:val="21"/>
              </w:rPr>
              <w:t>生态系统类型</w:t>
            </w:r>
          </w:p>
        </w:tc>
        <w:tc>
          <w:tcPr>
            <w:tcW w:w="3101" w:type="dxa"/>
            <w:vAlign w:val="center"/>
          </w:tcPr>
          <w:p>
            <w:pPr>
              <w:spacing w:line="240" w:lineRule="exact"/>
              <w:jc w:val="center"/>
              <w:rPr>
                <w:szCs w:val="21"/>
              </w:rPr>
            </w:pPr>
            <w:r>
              <w:rPr>
                <w:szCs w:val="21"/>
              </w:rPr>
              <w:t>主要物种</w:t>
            </w:r>
          </w:p>
        </w:tc>
        <w:tc>
          <w:tcPr>
            <w:tcW w:w="3193" w:type="dxa"/>
            <w:vAlign w:val="center"/>
          </w:tcPr>
          <w:p>
            <w:pPr>
              <w:spacing w:line="240" w:lineRule="exact"/>
              <w:jc w:val="center"/>
              <w:rPr>
                <w:szCs w:val="21"/>
              </w:rPr>
            </w:pPr>
            <w:r>
              <w:rPr>
                <w:szCs w:val="21"/>
              </w:rPr>
              <w:t>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2" w:type="dxa"/>
            <w:vAlign w:val="center"/>
          </w:tcPr>
          <w:p>
            <w:pPr>
              <w:spacing w:line="240" w:lineRule="exact"/>
              <w:jc w:val="center"/>
              <w:rPr>
                <w:szCs w:val="21"/>
              </w:rPr>
            </w:pPr>
            <w:r>
              <w:rPr>
                <w:szCs w:val="21"/>
              </w:rPr>
              <w:t>1</w:t>
            </w:r>
          </w:p>
        </w:tc>
        <w:tc>
          <w:tcPr>
            <w:tcW w:w="1642" w:type="dxa"/>
            <w:vAlign w:val="center"/>
          </w:tcPr>
          <w:p>
            <w:pPr>
              <w:spacing w:line="240" w:lineRule="exact"/>
              <w:jc w:val="center"/>
              <w:rPr>
                <w:szCs w:val="21"/>
              </w:rPr>
            </w:pPr>
            <w:r>
              <w:rPr>
                <w:szCs w:val="21"/>
              </w:rPr>
              <w:t>林地生态系统</w:t>
            </w:r>
          </w:p>
        </w:tc>
        <w:tc>
          <w:tcPr>
            <w:tcW w:w="3101" w:type="dxa"/>
            <w:vAlign w:val="center"/>
          </w:tcPr>
          <w:p>
            <w:pPr>
              <w:spacing w:line="240" w:lineRule="exact"/>
              <w:jc w:val="center"/>
              <w:rPr>
                <w:w w:val="90"/>
                <w:szCs w:val="21"/>
              </w:rPr>
            </w:pPr>
            <w:r>
              <w:rPr>
                <w:w w:val="90"/>
                <w:szCs w:val="21"/>
              </w:rPr>
              <w:t>松、杉、柳杉、枫、栎类、等乔木。</w:t>
            </w:r>
          </w:p>
        </w:tc>
        <w:tc>
          <w:tcPr>
            <w:tcW w:w="3193" w:type="dxa"/>
            <w:vAlign w:val="center"/>
          </w:tcPr>
          <w:p>
            <w:pPr>
              <w:spacing w:line="240" w:lineRule="exact"/>
              <w:jc w:val="center"/>
              <w:rPr>
                <w:szCs w:val="21"/>
              </w:rPr>
            </w:pPr>
            <w:r>
              <w:rPr>
                <w:szCs w:val="21"/>
              </w:rPr>
              <w:t>呈不规则块状散布于调查区内。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2" w:type="dxa"/>
            <w:vAlign w:val="center"/>
          </w:tcPr>
          <w:p>
            <w:pPr>
              <w:spacing w:line="240" w:lineRule="exact"/>
              <w:jc w:val="center"/>
              <w:rPr>
                <w:szCs w:val="21"/>
              </w:rPr>
            </w:pPr>
            <w:r>
              <w:rPr>
                <w:szCs w:val="21"/>
              </w:rPr>
              <w:t>2</w:t>
            </w:r>
          </w:p>
        </w:tc>
        <w:tc>
          <w:tcPr>
            <w:tcW w:w="1642" w:type="dxa"/>
            <w:vAlign w:val="center"/>
          </w:tcPr>
          <w:p>
            <w:pPr>
              <w:spacing w:line="240" w:lineRule="exact"/>
              <w:jc w:val="center"/>
              <w:rPr>
                <w:szCs w:val="21"/>
              </w:rPr>
            </w:pPr>
            <w:r>
              <w:rPr>
                <w:szCs w:val="21"/>
              </w:rPr>
              <w:t>农田生态系统</w:t>
            </w:r>
          </w:p>
        </w:tc>
        <w:tc>
          <w:tcPr>
            <w:tcW w:w="3101" w:type="dxa"/>
            <w:vAlign w:val="center"/>
          </w:tcPr>
          <w:p>
            <w:pPr>
              <w:spacing w:line="240" w:lineRule="exact"/>
              <w:jc w:val="center"/>
              <w:rPr>
                <w:szCs w:val="21"/>
              </w:rPr>
            </w:pPr>
            <w:r>
              <w:rPr>
                <w:szCs w:val="21"/>
              </w:rPr>
              <w:t>小麦、玉米、蔬菜等。</w:t>
            </w:r>
          </w:p>
        </w:tc>
        <w:tc>
          <w:tcPr>
            <w:tcW w:w="3193" w:type="dxa"/>
            <w:vAlign w:val="center"/>
          </w:tcPr>
          <w:p>
            <w:pPr>
              <w:spacing w:line="240" w:lineRule="exact"/>
              <w:jc w:val="center"/>
              <w:rPr>
                <w:szCs w:val="21"/>
              </w:rPr>
            </w:pPr>
            <w:r>
              <w:rPr>
                <w:szCs w:val="21"/>
              </w:rPr>
              <w:t>呈零星块状分布于调查区各处。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2" w:type="dxa"/>
            <w:vAlign w:val="center"/>
          </w:tcPr>
          <w:p>
            <w:pPr>
              <w:spacing w:line="240" w:lineRule="exact"/>
              <w:jc w:val="center"/>
              <w:rPr>
                <w:szCs w:val="21"/>
              </w:rPr>
            </w:pPr>
            <w:r>
              <w:rPr>
                <w:szCs w:val="21"/>
              </w:rPr>
              <w:t>3</w:t>
            </w:r>
          </w:p>
        </w:tc>
        <w:tc>
          <w:tcPr>
            <w:tcW w:w="1642" w:type="dxa"/>
            <w:vAlign w:val="center"/>
          </w:tcPr>
          <w:p>
            <w:pPr>
              <w:spacing w:line="240" w:lineRule="exact"/>
              <w:jc w:val="center"/>
              <w:rPr>
                <w:szCs w:val="21"/>
              </w:rPr>
            </w:pPr>
            <w:r>
              <w:rPr>
                <w:szCs w:val="21"/>
              </w:rPr>
              <w:t>草地生态系统</w:t>
            </w:r>
          </w:p>
        </w:tc>
        <w:tc>
          <w:tcPr>
            <w:tcW w:w="3101" w:type="dxa"/>
            <w:vAlign w:val="center"/>
          </w:tcPr>
          <w:p>
            <w:pPr>
              <w:spacing w:line="240" w:lineRule="exact"/>
              <w:jc w:val="center"/>
              <w:rPr>
                <w:szCs w:val="21"/>
              </w:rPr>
            </w:pPr>
            <w:r>
              <w:rPr>
                <w:szCs w:val="21"/>
              </w:rPr>
              <w:t>白羊草、羊胡子、狗尾草等。</w:t>
            </w:r>
          </w:p>
        </w:tc>
        <w:tc>
          <w:tcPr>
            <w:tcW w:w="3193" w:type="dxa"/>
            <w:vAlign w:val="center"/>
          </w:tcPr>
          <w:p>
            <w:pPr>
              <w:spacing w:line="240" w:lineRule="exact"/>
              <w:jc w:val="center"/>
              <w:rPr>
                <w:szCs w:val="21"/>
              </w:rPr>
            </w:pPr>
            <w:r>
              <w:rPr>
                <w:szCs w:val="21"/>
              </w:rPr>
              <w:t>主要分布于调查区内的荒地。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2" w:type="dxa"/>
            <w:vAlign w:val="center"/>
          </w:tcPr>
          <w:p>
            <w:pPr>
              <w:spacing w:line="240" w:lineRule="exact"/>
              <w:jc w:val="center"/>
              <w:rPr>
                <w:szCs w:val="21"/>
              </w:rPr>
            </w:pPr>
            <w:r>
              <w:rPr>
                <w:szCs w:val="21"/>
              </w:rPr>
              <w:t>4</w:t>
            </w:r>
          </w:p>
        </w:tc>
        <w:tc>
          <w:tcPr>
            <w:tcW w:w="1642" w:type="dxa"/>
            <w:vAlign w:val="center"/>
          </w:tcPr>
          <w:p>
            <w:pPr>
              <w:spacing w:line="240" w:lineRule="exact"/>
              <w:jc w:val="center"/>
              <w:rPr>
                <w:szCs w:val="21"/>
              </w:rPr>
            </w:pPr>
            <w:r>
              <w:rPr>
                <w:szCs w:val="21"/>
              </w:rPr>
              <w:t>路际生态系统</w:t>
            </w:r>
          </w:p>
        </w:tc>
        <w:tc>
          <w:tcPr>
            <w:tcW w:w="3101" w:type="dxa"/>
            <w:vAlign w:val="center"/>
          </w:tcPr>
          <w:p>
            <w:pPr>
              <w:spacing w:line="240" w:lineRule="exact"/>
              <w:jc w:val="center"/>
              <w:rPr>
                <w:szCs w:val="21"/>
              </w:rPr>
            </w:pPr>
            <w:r>
              <w:rPr>
                <w:szCs w:val="21"/>
              </w:rPr>
              <w:t>人与绿色植物</w:t>
            </w:r>
          </w:p>
        </w:tc>
        <w:tc>
          <w:tcPr>
            <w:tcW w:w="3193" w:type="dxa"/>
            <w:vAlign w:val="center"/>
          </w:tcPr>
          <w:p>
            <w:pPr>
              <w:spacing w:line="240" w:lineRule="exact"/>
              <w:jc w:val="center"/>
              <w:rPr>
                <w:szCs w:val="21"/>
              </w:rPr>
            </w:pPr>
            <w:r>
              <w:rPr>
                <w:szCs w:val="21"/>
              </w:rPr>
              <w:t>乡村道路、项目区内公路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2" w:type="dxa"/>
            <w:vAlign w:val="center"/>
          </w:tcPr>
          <w:p>
            <w:pPr>
              <w:spacing w:line="240" w:lineRule="exact"/>
              <w:jc w:val="center"/>
              <w:rPr>
                <w:szCs w:val="21"/>
              </w:rPr>
            </w:pPr>
            <w:r>
              <w:rPr>
                <w:szCs w:val="21"/>
              </w:rPr>
              <w:t>5</w:t>
            </w:r>
          </w:p>
        </w:tc>
        <w:tc>
          <w:tcPr>
            <w:tcW w:w="1642" w:type="dxa"/>
            <w:vAlign w:val="center"/>
          </w:tcPr>
          <w:p>
            <w:pPr>
              <w:spacing w:line="240" w:lineRule="exact"/>
              <w:jc w:val="center"/>
              <w:rPr>
                <w:szCs w:val="21"/>
              </w:rPr>
            </w:pPr>
            <w:r>
              <w:rPr>
                <w:szCs w:val="21"/>
              </w:rPr>
              <w:t>水域生态系统</w:t>
            </w:r>
          </w:p>
        </w:tc>
        <w:tc>
          <w:tcPr>
            <w:tcW w:w="3101" w:type="dxa"/>
            <w:vAlign w:val="center"/>
          </w:tcPr>
          <w:p>
            <w:pPr>
              <w:spacing w:line="240" w:lineRule="exact"/>
              <w:jc w:val="center"/>
              <w:rPr>
                <w:szCs w:val="21"/>
              </w:rPr>
            </w:pPr>
            <w:r>
              <w:rPr>
                <w:szCs w:val="21"/>
              </w:rPr>
              <w:t>水生生物</w:t>
            </w:r>
          </w:p>
        </w:tc>
        <w:tc>
          <w:tcPr>
            <w:tcW w:w="3193" w:type="dxa"/>
            <w:vAlign w:val="center"/>
          </w:tcPr>
          <w:p>
            <w:pPr>
              <w:spacing w:line="240" w:lineRule="exact"/>
              <w:jc w:val="center"/>
              <w:rPr>
                <w:szCs w:val="21"/>
              </w:rPr>
            </w:pPr>
            <w:r>
              <w:rPr>
                <w:szCs w:val="21"/>
              </w:rPr>
              <w:t>集水沟、河流呈条状分布。</w:t>
            </w:r>
          </w:p>
        </w:tc>
      </w:tr>
    </w:tbl>
    <w:p>
      <w:pPr>
        <w:spacing w:beforeLines="50" w:line="360" w:lineRule="auto"/>
        <w:ind w:firstLine="480" w:firstLineChars="200"/>
        <w:rPr>
          <w:bCs/>
          <w:sz w:val="24"/>
        </w:rPr>
      </w:pPr>
      <w:r>
        <w:rPr>
          <w:bCs/>
          <w:sz w:val="24"/>
        </w:rPr>
        <w:t>调查区内生态系统类型主要为林草地生态系统，林地主要为用材林，不涉及特殊用途林。</w:t>
      </w:r>
    </w:p>
    <w:p>
      <w:pPr>
        <w:pStyle w:val="5"/>
      </w:pPr>
      <w:r>
        <w:t>6.1.3.7生态环境现状</w:t>
      </w:r>
      <w:bookmarkEnd w:id="671"/>
      <w:bookmarkEnd w:id="672"/>
      <w:r>
        <w:t>调查</w:t>
      </w:r>
      <w:bookmarkEnd w:id="673"/>
      <w:bookmarkEnd w:id="674"/>
      <w:bookmarkEnd w:id="675"/>
      <w:bookmarkEnd w:id="676"/>
      <w:bookmarkEnd w:id="677"/>
    </w:p>
    <w:p>
      <w:pPr>
        <w:pStyle w:val="107"/>
      </w:pPr>
      <w:bookmarkStart w:id="694" w:name="_Toc406504244"/>
      <w:bookmarkStart w:id="695" w:name="_Toc420663716"/>
      <w:bookmarkStart w:id="696" w:name="_Toc230236112"/>
      <w:bookmarkStart w:id="697" w:name="_Toc407217392"/>
      <w:bookmarkStart w:id="698" w:name="_Toc230234485"/>
      <w:bookmarkStart w:id="699" w:name="_Toc407153526"/>
      <w:r>
        <w:rPr>
          <w:rFonts w:eastAsia="宋体"/>
        </w:rPr>
        <w:t xml:space="preserve">    （</w:t>
      </w:r>
      <w:r>
        <w:t>1</w:t>
      </w:r>
      <w:r>
        <w:rPr>
          <w:rFonts w:eastAsia="宋体"/>
        </w:rPr>
        <w:t>）生物量现状统计</w:t>
      </w:r>
      <w:bookmarkEnd w:id="694"/>
      <w:bookmarkEnd w:id="695"/>
      <w:bookmarkEnd w:id="696"/>
      <w:bookmarkEnd w:id="697"/>
      <w:bookmarkEnd w:id="698"/>
      <w:bookmarkEnd w:id="699"/>
    </w:p>
    <w:p>
      <w:pPr>
        <w:spacing w:line="360" w:lineRule="auto"/>
        <w:ind w:firstLine="480" w:firstLineChars="200"/>
        <w:rPr>
          <w:bCs/>
          <w:sz w:val="24"/>
        </w:rPr>
      </w:pPr>
      <w:bookmarkStart w:id="700" w:name="_Toc407217395"/>
      <w:bookmarkStart w:id="701" w:name="_Toc407153529"/>
      <w:bookmarkStart w:id="702" w:name="_Toc420663719"/>
      <w:bookmarkStart w:id="703" w:name="_Toc406504247"/>
      <w:r>
        <w:rPr>
          <w:bCs/>
          <w:sz w:val="24"/>
        </w:rPr>
        <w:t>a.生物量</w:t>
      </w:r>
    </w:p>
    <w:p>
      <w:pPr>
        <w:spacing w:line="360" w:lineRule="auto"/>
        <w:ind w:firstLine="480" w:firstLineChars="200"/>
        <w:rPr>
          <w:bCs/>
          <w:sz w:val="24"/>
        </w:rPr>
      </w:pPr>
      <w:r>
        <w:rPr>
          <w:bCs/>
          <w:sz w:val="24"/>
        </w:rPr>
        <w:t>生物量表示群落在一定时段内净物质生产的累积量，调查区内各生物群落随立地条件的不同而有差异，本次生物量计算采用类比和实测相结合的方法。调查区各生物群落生物量见表6.1-3。</w:t>
      </w:r>
    </w:p>
    <w:p>
      <w:pPr>
        <w:adjustRightInd w:val="0"/>
        <w:snapToGrid w:val="0"/>
        <w:ind w:firstLine="440" w:firstLineChars="200"/>
        <w:rPr>
          <w:rFonts w:eastAsia="黑体"/>
          <w:bCs/>
          <w:sz w:val="22"/>
        </w:rPr>
      </w:pPr>
      <w:r>
        <w:rPr>
          <w:rFonts w:eastAsia="黑体"/>
          <w:bCs/>
          <w:sz w:val="22"/>
        </w:rPr>
        <w:t>表6.1-3                   调查区各植物群落生物量</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179"/>
        <w:gridCol w:w="3188"/>
        <w:gridCol w:w="1450"/>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9" w:type="dxa"/>
            <w:vAlign w:val="center"/>
          </w:tcPr>
          <w:p>
            <w:pPr>
              <w:spacing w:line="0" w:lineRule="atLeast"/>
              <w:jc w:val="center"/>
              <w:rPr>
                <w:szCs w:val="21"/>
              </w:rPr>
            </w:pPr>
            <w:bookmarkStart w:id="704" w:name="_Toc181247754"/>
            <w:r>
              <w:rPr>
                <w:szCs w:val="21"/>
              </w:rPr>
              <w:t>群落类型</w:t>
            </w:r>
            <w:bookmarkEnd w:id="704"/>
          </w:p>
        </w:tc>
        <w:tc>
          <w:tcPr>
            <w:tcW w:w="1179" w:type="dxa"/>
            <w:vAlign w:val="center"/>
          </w:tcPr>
          <w:p>
            <w:pPr>
              <w:spacing w:line="0" w:lineRule="atLeast"/>
              <w:jc w:val="center"/>
              <w:rPr>
                <w:szCs w:val="21"/>
              </w:rPr>
            </w:pPr>
            <w:bookmarkStart w:id="705" w:name="_Toc181247755"/>
            <w:r>
              <w:rPr>
                <w:szCs w:val="21"/>
              </w:rPr>
              <w:t>面积（hm</w:t>
            </w:r>
            <w:r>
              <w:rPr>
                <w:szCs w:val="21"/>
                <w:vertAlign w:val="superscript"/>
              </w:rPr>
              <w:t>2</w:t>
            </w:r>
            <w:r>
              <w:rPr>
                <w:szCs w:val="21"/>
              </w:rPr>
              <w:t>）</w:t>
            </w:r>
            <w:bookmarkEnd w:id="705"/>
          </w:p>
        </w:tc>
        <w:tc>
          <w:tcPr>
            <w:tcW w:w="3188" w:type="dxa"/>
            <w:vAlign w:val="center"/>
          </w:tcPr>
          <w:p>
            <w:pPr>
              <w:spacing w:line="0" w:lineRule="atLeast"/>
              <w:jc w:val="center"/>
              <w:rPr>
                <w:szCs w:val="21"/>
              </w:rPr>
            </w:pPr>
            <w:bookmarkStart w:id="706" w:name="_Toc181247756"/>
            <w:r>
              <w:rPr>
                <w:szCs w:val="21"/>
              </w:rPr>
              <w:t>植物种类组成</w:t>
            </w:r>
            <w:bookmarkEnd w:id="706"/>
          </w:p>
        </w:tc>
        <w:tc>
          <w:tcPr>
            <w:tcW w:w="1450" w:type="dxa"/>
            <w:vAlign w:val="center"/>
          </w:tcPr>
          <w:p>
            <w:pPr>
              <w:spacing w:line="0" w:lineRule="atLeast"/>
              <w:jc w:val="center"/>
              <w:rPr>
                <w:szCs w:val="21"/>
              </w:rPr>
            </w:pPr>
            <w:bookmarkStart w:id="707" w:name="_Toc181247757"/>
            <w:r>
              <w:rPr>
                <w:szCs w:val="21"/>
              </w:rPr>
              <w:t>生物量（t/hm</w:t>
            </w:r>
            <w:r>
              <w:rPr>
                <w:szCs w:val="21"/>
                <w:vertAlign w:val="superscript"/>
              </w:rPr>
              <w:t>2</w:t>
            </w:r>
            <w:r>
              <w:rPr>
                <w:szCs w:val="21"/>
              </w:rPr>
              <w:t>）</w:t>
            </w:r>
            <w:bookmarkEnd w:id="707"/>
          </w:p>
        </w:tc>
        <w:tc>
          <w:tcPr>
            <w:tcW w:w="1162" w:type="dxa"/>
            <w:vAlign w:val="center"/>
          </w:tcPr>
          <w:p>
            <w:pPr>
              <w:spacing w:line="0" w:lineRule="atLeast"/>
              <w:jc w:val="center"/>
              <w:rPr>
                <w:szCs w:val="21"/>
              </w:rPr>
            </w:pPr>
            <w:bookmarkStart w:id="708" w:name="_Toc181247758"/>
            <w:r>
              <w:rPr>
                <w:szCs w:val="21"/>
              </w:rPr>
              <w:t>合计（t）</w:t>
            </w:r>
            <w:bookmarkEnd w:id="70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9" w:type="dxa"/>
            <w:vAlign w:val="center"/>
          </w:tcPr>
          <w:p>
            <w:pPr>
              <w:spacing w:line="240" w:lineRule="exact"/>
              <w:jc w:val="center"/>
              <w:rPr>
                <w:szCs w:val="21"/>
              </w:rPr>
            </w:pPr>
            <w:r>
              <w:rPr>
                <w:szCs w:val="21"/>
              </w:rPr>
              <w:t>混交林群落</w:t>
            </w:r>
          </w:p>
        </w:tc>
        <w:tc>
          <w:tcPr>
            <w:tcW w:w="1179" w:type="dxa"/>
            <w:vAlign w:val="center"/>
          </w:tcPr>
          <w:p>
            <w:pPr>
              <w:spacing w:line="0" w:lineRule="atLeast"/>
              <w:jc w:val="center"/>
              <w:rPr>
                <w:szCs w:val="21"/>
              </w:rPr>
            </w:pPr>
            <w:r>
              <w:rPr>
                <w:szCs w:val="21"/>
              </w:rPr>
              <w:t>202.7</w:t>
            </w:r>
          </w:p>
        </w:tc>
        <w:tc>
          <w:tcPr>
            <w:tcW w:w="3188" w:type="dxa"/>
            <w:vAlign w:val="center"/>
          </w:tcPr>
          <w:p>
            <w:pPr>
              <w:spacing w:line="0" w:lineRule="atLeast"/>
              <w:jc w:val="center"/>
              <w:rPr>
                <w:szCs w:val="21"/>
              </w:rPr>
            </w:pPr>
            <w:r>
              <w:rPr>
                <w:szCs w:val="21"/>
              </w:rPr>
              <w:t>油松、枫、栎类、银杏等</w:t>
            </w:r>
          </w:p>
        </w:tc>
        <w:tc>
          <w:tcPr>
            <w:tcW w:w="1450" w:type="dxa"/>
            <w:vAlign w:val="center"/>
          </w:tcPr>
          <w:p>
            <w:pPr>
              <w:spacing w:line="0" w:lineRule="atLeast"/>
              <w:jc w:val="center"/>
              <w:rPr>
                <w:szCs w:val="21"/>
              </w:rPr>
            </w:pPr>
            <w:r>
              <w:rPr>
                <w:szCs w:val="21"/>
              </w:rPr>
              <w:t>68.6</w:t>
            </w:r>
          </w:p>
        </w:tc>
        <w:tc>
          <w:tcPr>
            <w:tcW w:w="1162" w:type="dxa"/>
            <w:vAlign w:val="bottom"/>
          </w:tcPr>
          <w:p>
            <w:pPr>
              <w:spacing w:line="0" w:lineRule="atLeast"/>
              <w:jc w:val="center"/>
              <w:rPr>
                <w:szCs w:val="21"/>
              </w:rPr>
            </w:pPr>
            <w:r>
              <w:rPr>
                <w:szCs w:val="21"/>
              </w:rPr>
              <w:t>13905.22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549" w:type="dxa"/>
            <w:vAlign w:val="center"/>
          </w:tcPr>
          <w:p>
            <w:pPr>
              <w:spacing w:line="240" w:lineRule="exact"/>
              <w:jc w:val="center"/>
              <w:rPr>
                <w:szCs w:val="21"/>
              </w:rPr>
            </w:pPr>
            <w:r>
              <w:rPr>
                <w:szCs w:val="21"/>
              </w:rPr>
              <w:t>林草群落</w:t>
            </w:r>
          </w:p>
        </w:tc>
        <w:tc>
          <w:tcPr>
            <w:tcW w:w="1179" w:type="dxa"/>
            <w:vAlign w:val="center"/>
          </w:tcPr>
          <w:p>
            <w:pPr>
              <w:spacing w:line="0" w:lineRule="atLeast"/>
              <w:jc w:val="center"/>
              <w:rPr>
                <w:szCs w:val="21"/>
              </w:rPr>
            </w:pPr>
            <w:r>
              <w:rPr>
                <w:szCs w:val="21"/>
              </w:rPr>
              <w:t>105.3</w:t>
            </w:r>
          </w:p>
        </w:tc>
        <w:tc>
          <w:tcPr>
            <w:tcW w:w="3188" w:type="dxa"/>
            <w:vAlign w:val="center"/>
          </w:tcPr>
          <w:p>
            <w:pPr>
              <w:spacing w:line="0" w:lineRule="atLeast"/>
              <w:jc w:val="center"/>
              <w:rPr>
                <w:szCs w:val="21"/>
              </w:rPr>
            </w:pPr>
            <w:r>
              <w:rPr>
                <w:szCs w:val="21"/>
              </w:rPr>
              <w:t>艾草、白羊草、蒿草等。</w:t>
            </w:r>
          </w:p>
        </w:tc>
        <w:tc>
          <w:tcPr>
            <w:tcW w:w="1450" w:type="dxa"/>
            <w:vAlign w:val="center"/>
          </w:tcPr>
          <w:p>
            <w:pPr>
              <w:spacing w:line="0" w:lineRule="atLeast"/>
              <w:jc w:val="center"/>
              <w:rPr>
                <w:szCs w:val="21"/>
              </w:rPr>
            </w:pPr>
            <w:r>
              <w:rPr>
                <w:szCs w:val="21"/>
              </w:rPr>
              <w:t>3.7</w:t>
            </w:r>
          </w:p>
        </w:tc>
        <w:tc>
          <w:tcPr>
            <w:tcW w:w="1162" w:type="dxa"/>
            <w:vAlign w:val="bottom"/>
          </w:tcPr>
          <w:p>
            <w:pPr>
              <w:spacing w:line="0" w:lineRule="atLeast"/>
              <w:jc w:val="center"/>
              <w:rPr>
                <w:szCs w:val="21"/>
              </w:rPr>
            </w:pPr>
            <w:r>
              <w:rPr>
                <w:szCs w:val="21"/>
              </w:rPr>
              <w:t>389.61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9" w:type="dxa"/>
            <w:vAlign w:val="center"/>
          </w:tcPr>
          <w:p>
            <w:pPr>
              <w:spacing w:line="0" w:lineRule="atLeast"/>
              <w:jc w:val="center"/>
              <w:rPr>
                <w:szCs w:val="21"/>
              </w:rPr>
            </w:pPr>
            <w:bookmarkStart w:id="709" w:name="_Toc181247774"/>
            <w:r>
              <w:rPr>
                <w:szCs w:val="21"/>
              </w:rPr>
              <w:t>农作物群落</w:t>
            </w:r>
            <w:bookmarkEnd w:id="709"/>
          </w:p>
        </w:tc>
        <w:tc>
          <w:tcPr>
            <w:tcW w:w="1179" w:type="dxa"/>
            <w:vAlign w:val="center"/>
          </w:tcPr>
          <w:p>
            <w:pPr>
              <w:spacing w:line="0" w:lineRule="atLeast"/>
              <w:jc w:val="center"/>
              <w:rPr>
                <w:szCs w:val="21"/>
              </w:rPr>
            </w:pPr>
            <w:r>
              <w:rPr>
                <w:szCs w:val="21"/>
              </w:rPr>
              <w:t>0.7</w:t>
            </w:r>
          </w:p>
        </w:tc>
        <w:tc>
          <w:tcPr>
            <w:tcW w:w="3188" w:type="dxa"/>
            <w:vAlign w:val="center"/>
          </w:tcPr>
          <w:p>
            <w:pPr>
              <w:spacing w:line="0" w:lineRule="atLeast"/>
              <w:jc w:val="center"/>
              <w:rPr>
                <w:szCs w:val="21"/>
              </w:rPr>
            </w:pPr>
            <w:r>
              <w:rPr>
                <w:szCs w:val="21"/>
              </w:rPr>
              <w:t>小麦、玉米等</w:t>
            </w:r>
          </w:p>
        </w:tc>
        <w:tc>
          <w:tcPr>
            <w:tcW w:w="1450" w:type="dxa"/>
            <w:vAlign w:val="center"/>
          </w:tcPr>
          <w:p>
            <w:pPr>
              <w:spacing w:line="0" w:lineRule="atLeast"/>
              <w:jc w:val="center"/>
              <w:rPr>
                <w:szCs w:val="21"/>
              </w:rPr>
            </w:pPr>
            <w:r>
              <w:rPr>
                <w:szCs w:val="21"/>
              </w:rPr>
              <w:t>9.0</w:t>
            </w:r>
          </w:p>
        </w:tc>
        <w:tc>
          <w:tcPr>
            <w:tcW w:w="1162" w:type="dxa"/>
            <w:vAlign w:val="bottom"/>
          </w:tcPr>
          <w:p>
            <w:pPr>
              <w:spacing w:line="0" w:lineRule="atLeast"/>
              <w:jc w:val="center"/>
              <w:rPr>
                <w:szCs w:val="21"/>
              </w:rPr>
            </w:pPr>
            <w:r>
              <w:rPr>
                <w:szCs w:val="21"/>
              </w:rPr>
              <w:t>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9" w:type="dxa"/>
            <w:vAlign w:val="center"/>
          </w:tcPr>
          <w:p>
            <w:pPr>
              <w:spacing w:line="0" w:lineRule="atLeast"/>
              <w:jc w:val="center"/>
              <w:rPr>
                <w:szCs w:val="21"/>
              </w:rPr>
            </w:pPr>
            <w:bookmarkStart w:id="710" w:name="_Toc181247789"/>
            <w:r>
              <w:rPr>
                <w:szCs w:val="21"/>
              </w:rPr>
              <w:t>合计</w:t>
            </w:r>
            <w:bookmarkEnd w:id="710"/>
          </w:p>
        </w:tc>
        <w:tc>
          <w:tcPr>
            <w:tcW w:w="1179" w:type="dxa"/>
            <w:vAlign w:val="center"/>
          </w:tcPr>
          <w:p>
            <w:pPr>
              <w:spacing w:line="0" w:lineRule="atLeast"/>
              <w:jc w:val="center"/>
              <w:rPr>
                <w:szCs w:val="21"/>
              </w:rPr>
            </w:pPr>
            <w:r>
              <w:rPr>
                <w:szCs w:val="21"/>
              </w:rPr>
              <w:t>310</w:t>
            </w:r>
          </w:p>
        </w:tc>
        <w:tc>
          <w:tcPr>
            <w:tcW w:w="3188" w:type="dxa"/>
            <w:vAlign w:val="center"/>
          </w:tcPr>
          <w:p>
            <w:pPr>
              <w:spacing w:line="0" w:lineRule="atLeast"/>
              <w:jc w:val="center"/>
              <w:rPr>
                <w:szCs w:val="21"/>
              </w:rPr>
            </w:pPr>
          </w:p>
        </w:tc>
        <w:tc>
          <w:tcPr>
            <w:tcW w:w="1450" w:type="dxa"/>
            <w:vAlign w:val="center"/>
          </w:tcPr>
          <w:p>
            <w:pPr>
              <w:spacing w:line="0" w:lineRule="atLeast"/>
              <w:jc w:val="center"/>
              <w:rPr>
                <w:szCs w:val="21"/>
              </w:rPr>
            </w:pPr>
          </w:p>
        </w:tc>
        <w:tc>
          <w:tcPr>
            <w:tcW w:w="1162" w:type="dxa"/>
            <w:vAlign w:val="bottom"/>
          </w:tcPr>
          <w:p>
            <w:pPr>
              <w:spacing w:line="0" w:lineRule="atLeast"/>
              <w:jc w:val="center"/>
              <w:rPr>
                <w:szCs w:val="21"/>
              </w:rPr>
            </w:pPr>
            <w:r>
              <w:rPr>
                <w:szCs w:val="21"/>
              </w:rPr>
              <w:t>14301.13</w:t>
            </w:r>
          </w:p>
        </w:tc>
      </w:tr>
    </w:tbl>
    <w:p>
      <w:pPr>
        <w:spacing w:beforeLines="50" w:line="360" w:lineRule="auto"/>
        <w:ind w:firstLine="480" w:firstLineChars="200"/>
        <w:rPr>
          <w:sz w:val="24"/>
        </w:rPr>
      </w:pPr>
      <w:r>
        <w:rPr>
          <w:sz w:val="24"/>
        </w:rPr>
        <w:t>由表6.2-1可知，调查区生物量为38626.3t，域生物量由大到小的顺序为：混交林群落＞农作物群落＞林草群落，其中林地生物量占总调查区总生物量的99.7%，调查区林地对该区域生物量影响较大。</w:t>
      </w:r>
    </w:p>
    <w:p>
      <w:pPr>
        <w:spacing w:line="360" w:lineRule="auto"/>
        <w:ind w:firstLine="480" w:firstLineChars="200"/>
        <w:rPr>
          <w:sz w:val="24"/>
        </w:rPr>
      </w:pPr>
      <w:r>
        <w:rPr>
          <w:sz w:val="24"/>
        </w:rPr>
        <w:t>b.生产力</w:t>
      </w:r>
    </w:p>
    <w:p>
      <w:pPr>
        <w:spacing w:line="360" w:lineRule="auto"/>
        <w:ind w:firstLine="480" w:firstLineChars="200"/>
        <w:rPr>
          <w:sz w:val="24"/>
        </w:rPr>
      </w:pPr>
      <w:r>
        <w:rPr>
          <w:sz w:val="24"/>
        </w:rPr>
        <w:t>调查区主要植物群落生产力状况见表6.</w:t>
      </w:r>
      <w:r>
        <w:rPr>
          <w:rFonts w:hint="eastAsia"/>
          <w:sz w:val="24"/>
        </w:rPr>
        <w:t>1</w:t>
      </w:r>
      <w:r>
        <w:rPr>
          <w:sz w:val="24"/>
        </w:rPr>
        <w:t>-4。</w:t>
      </w:r>
    </w:p>
    <w:p>
      <w:pPr>
        <w:adjustRightInd w:val="0"/>
        <w:snapToGrid w:val="0"/>
        <w:ind w:firstLine="440" w:firstLineChars="200"/>
        <w:rPr>
          <w:rFonts w:eastAsia="黑体"/>
          <w:bCs/>
          <w:sz w:val="22"/>
        </w:rPr>
      </w:pPr>
      <w:r>
        <w:rPr>
          <w:rFonts w:eastAsia="黑体"/>
          <w:bCs/>
          <w:sz w:val="22"/>
        </w:rPr>
        <w:t>表6.1-4                  调查区各植物群落生产力</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2695"/>
        <w:gridCol w:w="1010"/>
        <w:gridCol w:w="1095"/>
        <w:gridCol w:w="1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73" w:type="dxa"/>
            <w:vAlign w:val="center"/>
          </w:tcPr>
          <w:p>
            <w:pPr>
              <w:spacing w:line="0" w:lineRule="atLeast"/>
              <w:jc w:val="center"/>
              <w:rPr>
                <w:szCs w:val="21"/>
              </w:rPr>
            </w:pPr>
            <w:r>
              <w:rPr>
                <w:szCs w:val="21"/>
              </w:rPr>
              <w:t>群落类型</w:t>
            </w:r>
          </w:p>
        </w:tc>
        <w:tc>
          <w:tcPr>
            <w:tcW w:w="2695" w:type="dxa"/>
            <w:vAlign w:val="center"/>
          </w:tcPr>
          <w:p>
            <w:pPr>
              <w:spacing w:line="0" w:lineRule="atLeast"/>
              <w:jc w:val="center"/>
              <w:rPr>
                <w:szCs w:val="21"/>
              </w:rPr>
            </w:pPr>
            <w:r>
              <w:rPr>
                <w:szCs w:val="21"/>
              </w:rPr>
              <w:t>平均净生产力（t/hm</w:t>
            </w:r>
            <w:r>
              <w:rPr>
                <w:szCs w:val="21"/>
                <w:vertAlign w:val="superscript"/>
              </w:rPr>
              <w:t>2</w:t>
            </w:r>
            <w:r>
              <w:rPr>
                <w:szCs w:val="21"/>
              </w:rPr>
              <w:t>.a）</w:t>
            </w:r>
          </w:p>
        </w:tc>
        <w:tc>
          <w:tcPr>
            <w:tcW w:w="1010" w:type="dxa"/>
            <w:vAlign w:val="center"/>
          </w:tcPr>
          <w:p>
            <w:pPr>
              <w:spacing w:line="0" w:lineRule="atLeast"/>
              <w:jc w:val="center"/>
              <w:rPr>
                <w:szCs w:val="21"/>
              </w:rPr>
            </w:pPr>
            <w:r>
              <w:rPr>
                <w:szCs w:val="21"/>
              </w:rPr>
              <w:t>面积</w:t>
            </w:r>
          </w:p>
          <w:p>
            <w:pPr>
              <w:spacing w:line="0" w:lineRule="atLeast"/>
              <w:jc w:val="center"/>
              <w:rPr>
                <w:szCs w:val="21"/>
              </w:rPr>
            </w:pPr>
            <w:r>
              <w:rPr>
                <w:szCs w:val="21"/>
              </w:rPr>
              <w:t>（hm2）</w:t>
            </w:r>
          </w:p>
        </w:tc>
        <w:tc>
          <w:tcPr>
            <w:tcW w:w="1095" w:type="dxa"/>
            <w:vAlign w:val="center"/>
          </w:tcPr>
          <w:p>
            <w:pPr>
              <w:spacing w:line="0" w:lineRule="atLeast"/>
              <w:jc w:val="center"/>
              <w:rPr>
                <w:szCs w:val="21"/>
              </w:rPr>
            </w:pPr>
            <w:r>
              <w:rPr>
                <w:szCs w:val="21"/>
              </w:rPr>
              <w:t>净生产量</w:t>
            </w:r>
          </w:p>
          <w:p>
            <w:pPr>
              <w:spacing w:line="0" w:lineRule="atLeast"/>
              <w:jc w:val="center"/>
              <w:rPr>
                <w:szCs w:val="21"/>
              </w:rPr>
            </w:pPr>
            <w:r>
              <w:rPr>
                <w:szCs w:val="21"/>
              </w:rPr>
              <w:t>(t/a)</w:t>
            </w:r>
          </w:p>
        </w:tc>
        <w:tc>
          <w:tcPr>
            <w:tcW w:w="1755" w:type="dxa"/>
            <w:vAlign w:val="center"/>
          </w:tcPr>
          <w:p>
            <w:pPr>
              <w:spacing w:line="0" w:lineRule="atLeast"/>
              <w:jc w:val="center"/>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73" w:type="dxa"/>
            <w:vAlign w:val="center"/>
          </w:tcPr>
          <w:p>
            <w:pPr>
              <w:spacing w:line="240" w:lineRule="exact"/>
              <w:jc w:val="center"/>
              <w:rPr>
                <w:szCs w:val="21"/>
              </w:rPr>
            </w:pPr>
            <w:r>
              <w:rPr>
                <w:szCs w:val="21"/>
              </w:rPr>
              <w:t>混交林群落</w:t>
            </w:r>
          </w:p>
        </w:tc>
        <w:tc>
          <w:tcPr>
            <w:tcW w:w="2695" w:type="dxa"/>
            <w:vAlign w:val="center"/>
          </w:tcPr>
          <w:p>
            <w:pPr>
              <w:spacing w:line="0" w:lineRule="atLeast"/>
              <w:jc w:val="center"/>
              <w:rPr>
                <w:szCs w:val="21"/>
              </w:rPr>
            </w:pPr>
            <w:r>
              <w:rPr>
                <w:szCs w:val="21"/>
              </w:rPr>
              <w:t>9.2</w:t>
            </w:r>
          </w:p>
        </w:tc>
        <w:tc>
          <w:tcPr>
            <w:tcW w:w="1010" w:type="dxa"/>
            <w:vAlign w:val="center"/>
          </w:tcPr>
          <w:p>
            <w:pPr>
              <w:jc w:val="center"/>
              <w:rPr>
                <w:szCs w:val="21"/>
              </w:rPr>
            </w:pPr>
            <w:r>
              <w:rPr>
                <w:szCs w:val="21"/>
              </w:rPr>
              <w:t>202.7</w:t>
            </w:r>
          </w:p>
        </w:tc>
        <w:tc>
          <w:tcPr>
            <w:tcW w:w="1095" w:type="dxa"/>
            <w:vAlign w:val="bottom"/>
          </w:tcPr>
          <w:p>
            <w:pPr>
              <w:jc w:val="right"/>
              <w:rPr>
                <w:szCs w:val="21"/>
              </w:rPr>
            </w:pPr>
            <w:r>
              <w:rPr>
                <w:szCs w:val="21"/>
              </w:rPr>
              <w:t>1864.84</w:t>
            </w:r>
          </w:p>
        </w:tc>
        <w:tc>
          <w:tcPr>
            <w:tcW w:w="1755" w:type="dxa"/>
            <w:vAlign w:val="center"/>
          </w:tcPr>
          <w:p>
            <w:pPr>
              <w:spacing w:line="0" w:lineRule="atLeas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73" w:type="dxa"/>
            <w:vAlign w:val="center"/>
          </w:tcPr>
          <w:p>
            <w:pPr>
              <w:spacing w:line="240" w:lineRule="exact"/>
              <w:jc w:val="center"/>
              <w:rPr>
                <w:szCs w:val="21"/>
              </w:rPr>
            </w:pPr>
            <w:r>
              <w:rPr>
                <w:szCs w:val="21"/>
              </w:rPr>
              <w:t>林草群落</w:t>
            </w:r>
          </w:p>
        </w:tc>
        <w:tc>
          <w:tcPr>
            <w:tcW w:w="2695" w:type="dxa"/>
            <w:vAlign w:val="center"/>
          </w:tcPr>
          <w:p>
            <w:pPr>
              <w:spacing w:line="0" w:lineRule="atLeast"/>
              <w:jc w:val="center"/>
              <w:rPr>
                <w:szCs w:val="21"/>
              </w:rPr>
            </w:pPr>
            <w:r>
              <w:rPr>
                <w:szCs w:val="21"/>
              </w:rPr>
              <w:t>3.6</w:t>
            </w:r>
          </w:p>
        </w:tc>
        <w:tc>
          <w:tcPr>
            <w:tcW w:w="1010" w:type="dxa"/>
            <w:vAlign w:val="center"/>
          </w:tcPr>
          <w:p>
            <w:pPr>
              <w:jc w:val="center"/>
              <w:rPr>
                <w:szCs w:val="21"/>
              </w:rPr>
            </w:pPr>
            <w:r>
              <w:rPr>
                <w:szCs w:val="21"/>
              </w:rPr>
              <w:t>105.3</w:t>
            </w:r>
          </w:p>
        </w:tc>
        <w:tc>
          <w:tcPr>
            <w:tcW w:w="1095" w:type="dxa"/>
            <w:vAlign w:val="bottom"/>
          </w:tcPr>
          <w:p>
            <w:pPr>
              <w:jc w:val="right"/>
              <w:rPr>
                <w:szCs w:val="21"/>
              </w:rPr>
            </w:pPr>
            <w:r>
              <w:rPr>
                <w:szCs w:val="21"/>
              </w:rPr>
              <w:t>379.08</w:t>
            </w:r>
          </w:p>
        </w:tc>
        <w:tc>
          <w:tcPr>
            <w:tcW w:w="1755" w:type="dxa"/>
            <w:vAlign w:val="center"/>
          </w:tcPr>
          <w:p>
            <w:pPr>
              <w:spacing w:line="0" w:lineRule="atLeas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73" w:type="dxa"/>
            <w:vAlign w:val="center"/>
          </w:tcPr>
          <w:p>
            <w:pPr>
              <w:spacing w:line="0" w:lineRule="atLeast"/>
              <w:jc w:val="center"/>
              <w:rPr>
                <w:szCs w:val="21"/>
              </w:rPr>
            </w:pPr>
            <w:r>
              <w:rPr>
                <w:szCs w:val="21"/>
              </w:rPr>
              <w:t>农作物群落</w:t>
            </w:r>
          </w:p>
        </w:tc>
        <w:tc>
          <w:tcPr>
            <w:tcW w:w="2695" w:type="dxa"/>
            <w:vAlign w:val="center"/>
          </w:tcPr>
          <w:p>
            <w:pPr>
              <w:spacing w:line="0" w:lineRule="atLeast"/>
              <w:jc w:val="center"/>
              <w:rPr>
                <w:szCs w:val="21"/>
              </w:rPr>
            </w:pPr>
            <w:r>
              <w:rPr>
                <w:szCs w:val="21"/>
              </w:rPr>
              <w:t>11.2</w:t>
            </w:r>
          </w:p>
        </w:tc>
        <w:tc>
          <w:tcPr>
            <w:tcW w:w="1010" w:type="dxa"/>
            <w:vAlign w:val="center"/>
          </w:tcPr>
          <w:p>
            <w:pPr>
              <w:jc w:val="center"/>
              <w:rPr>
                <w:szCs w:val="21"/>
              </w:rPr>
            </w:pPr>
            <w:r>
              <w:rPr>
                <w:szCs w:val="21"/>
              </w:rPr>
              <w:t>0.7</w:t>
            </w:r>
          </w:p>
        </w:tc>
        <w:tc>
          <w:tcPr>
            <w:tcW w:w="1095" w:type="dxa"/>
            <w:vAlign w:val="bottom"/>
          </w:tcPr>
          <w:p>
            <w:pPr>
              <w:jc w:val="right"/>
              <w:rPr>
                <w:szCs w:val="21"/>
              </w:rPr>
            </w:pPr>
            <w:r>
              <w:rPr>
                <w:szCs w:val="21"/>
              </w:rPr>
              <w:t>7.84</w:t>
            </w:r>
          </w:p>
        </w:tc>
        <w:tc>
          <w:tcPr>
            <w:tcW w:w="1755" w:type="dxa"/>
            <w:vAlign w:val="center"/>
          </w:tcPr>
          <w:p>
            <w:pPr>
              <w:spacing w:line="0" w:lineRule="atLeas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73" w:type="dxa"/>
            <w:vAlign w:val="center"/>
          </w:tcPr>
          <w:p>
            <w:pPr>
              <w:spacing w:line="0" w:lineRule="atLeast"/>
              <w:jc w:val="center"/>
              <w:rPr>
                <w:szCs w:val="21"/>
              </w:rPr>
            </w:pPr>
            <w:r>
              <w:rPr>
                <w:szCs w:val="21"/>
              </w:rPr>
              <w:t>合计</w:t>
            </w:r>
          </w:p>
        </w:tc>
        <w:tc>
          <w:tcPr>
            <w:tcW w:w="2695" w:type="dxa"/>
            <w:vAlign w:val="center"/>
          </w:tcPr>
          <w:p>
            <w:pPr>
              <w:spacing w:line="0" w:lineRule="atLeast"/>
              <w:jc w:val="center"/>
              <w:rPr>
                <w:szCs w:val="21"/>
              </w:rPr>
            </w:pPr>
          </w:p>
        </w:tc>
        <w:tc>
          <w:tcPr>
            <w:tcW w:w="1010" w:type="dxa"/>
            <w:vAlign w:val="center"/>
          </w:tcPr>
          <w:p>
            <w:pPr>
              <w:jc w:val="center"/>
              <w:rPr>
                <w:szCs w:val="21"/>
              </w:rPr>
            </w:pPr>
          </w:p>
        </w:tc>
        <w:tc>
          <w:tcPr>
            <w:tcW w:w="1095" w:type="dxa"/>
            <w:vAlign w:val="bottom"/>
          </w:tcPr>
          <w:p>
            <w:pPr>
              <w:jc w:val="right"/>
              <w:rPr>
                <w:szCs w:val="21"/>
              </w:rPr>
            </w:pPr>
            <w:r>
              <w:rPr>
                <w:szCs w:val="21"/>
              </w:rPr>
              <w:t>2251.76</w:t>
            </w:r>
          </w:p>
        </w:tc>
        <w:tc>
          <w:tcPr>
            <w:tcW w:w="1755" w:type="dxa"/>
            <w:vAlign w:val="center"/>
          </w:tcPr>
          <w:p>
            <w:pPr>
              <w:spacing w:line="0" w:lineRule="atLeast"/>
              <w:jc w:val="center"/>
              <w:rPr>
                <w:szCs w:val="21"/>
              </w:rPr>
            </w:pPr>
          </w:p>
        </w:tc>
      </w:tr>
    </w:tbl>
    <w:p>
      <w:pPr>
        <w:pStyle w:val="107"/>
        <w:spacing w:beforeLines="50"/>
      </w:pPr>
      <w:bookmarkStart w:id="711" w:name="_Toc435638531"/>
      <w:bookmarkStart w:id="712" w:name="_Toc435638212"/>
      <w:r>
        <w:t xml:space="preserve">    调查区域主要植物群落平均生产力大小依次为：农作物群落、林地群落。农作物生产力具有较高的生产力，主要是因为人类在农田耕作过程中，不仅对生物种进行了优选，对妨碍此类生物正常生长发育的其他生物种群则采取抑制甚至消灭的手段，同时，为栽培的农作物营造优良的生长环境(如耕作、施肥、灌水等)，从而增大了系统内的能量流动和物质转化与积累，最终表现为农作物生产力的提高，生产量的增大。林地群落具有较高的生产力，主要是因为其适宜当地的气候、土壤等当地条件，生长迅速。</w:t>
      </w:r>
    </w:p>
    <w:p>
      <w:pPr>
        <w:pStyle w:val="107"/>
      </w:pPr>
      <w:r>
        <w:t xml:space="preserve">    （2）</w:t>
      </w:r>
      <w:bookmarkStart w:id="713" w:name="_Toc333127259"/>
      <w:r>
        <w:t>生态环境现状调查结论</w:t>
      </w:r>
      <w:bookmarkEnd w:id="713"/>
    </w:p>
    <w:p>
      <w:pPr>
        <w:pStyle w:val="107"/>
      </w:pPr>
      <w:r>
        <w:t xml:space="preserve">   </w:t>
      </w:r>
      <w:r>
        <w:rPr>
          <w:rFonts w:eastAsia="宋体"/>
        </w:rPr>
        <w:t>①</w:t>
      </w:r>
      <w:r>
        <w:t>根据实地调查，调查区共有5种生态系统类型。其中以林地生态系统为主，大部分属自然和人工混合林地状态分布；水域生态系统主要是沟河、河流分布较广；农田生态系统零星分布。从总体看，调查区生态环境比较好，调查区内没有特别生态系统或生境等生态敏感保护目标。</w:t>
      </w:r>
    </w:p>
    <w:p>
      <w:pPr>
        <w:pStyle w:val="107"/>
      </w:pPr>
      <w:r>
        <w:t xml:space="preserve">   </w:t>
      </w:r>
      <w:r>
        <w:rPr>
          <w:rFonts w:eastAsia="宋体"/>
        </w:rPr>
        <w:t>②</w:t>
      </w:r>
      <w:r>
        <w:t>项目区属暖温带大陆高山性气候，现存的主要植被类型主要是以油松、栎树、刺槐、杨树等为主的乔木；以山茱萸为主，杏、李树、核桃等为主的经济树种；以荆条、黄栌、迎春、连翘、胡枝子、杜鹃等为主的灌木；以菊花、艾草、山棉花、白羊草、黄背草、羊胡子草、蒿草、披针苔、蕨类等为主的草本植物和以小麦、玉米为主的粮食作物。</w:t>
      </w:r>
    </w:p>
    <w:p>
      <w:pPr>
        <w:pStyle w:val="107"/>
        <w:ind w:firstLine="480" w:firstLineChars="200"/>
      </w:pPr>
      <w:r>
        <w:rPr>
          <w:rFonts w:eastAsia="宋体"/>
        </w:rPr>
        <w:t>③</w:t>
      </w:r>
      <w:r>
        <w:t>没有珍稀濒危和保护植物分布。</w:t>
      </w:r>
    </w:p>
    <w:p>
      <w:pPr>
        <w:pStyle w:val="107"/>
        <w:ind w:firstLine="480" w:firstLineChars="200"/>
      </w:pPr>
      <w:r>
        <w:rPr>
          <w:rFonts w:eastAsia="宋体"/>
        </w:rPr>
        <w:t>④</w:t>
      </w:r>
      <w:r>
        <w:t>目前该区的野生动物组成比较简单，种类较少。调查区内无国家级保护动物。</w:t>
      </w:r>
    </w:p>
    <w:p>
      <w:pPr>
        <w:pStyle w:val="107"/>
        <w:ind w:firstLine="480" w:firstLineChars="200"/>
      </w:pPr>
      <w:r>
        <w:rPr>
          <w:rFonts w:eastAsia="宋体"/>
        </w:rPr>
        <w:t>⑤</w:t>
      </w:r>
      <w:r>
        <w:t>土地利用现状可划分为5个类型，其中以林地为主，采矿用地和自然保留地次之，一般耕地、农村居民点用地零星分布。</w:t>
      </w:r>
    </w:p>
    <w:p>
      <w:pPr>
        <w:pStyle w:val="107"/>
        <w:ind w:firstLine="480" w:firstLineChars="200"/>
      </w:pPr>
      <w:r>
        <w:rPr>
          <w:rFonts w:eastAsia="宋体"/>
        </w:rPr>
        <w:t>⑥</w:t>
      </w:r>
      <w:r>
        <w:t>项目区属北方土石山区，土壤侵蚀以水力侵蚀为主，其主要表现形式为面蚀和沟蚀，伴随有少量的重力侵蚀，调查区国家水土流失重点监督区。</w:t>
      </w:r>
    </w:p>
    <w:bookmarkEnd w:id="700"/>
    <w:bookmarkEnd w:id="701"/>
    <w:bookmarkEnd w:id="702"/>
    <w:bookmarkEnd w:id="703"/>
    <w:bookmarkEnd w:id="711"/>
    <w:bookmarkEnd w:id="712"/>
    <w:p>
      <w:pPr>
        <w:pStyle w:val="3"/>
        <w:rPr>
          <w:rFonts w:ascii="Times New Roman" w:hAnsi="Times New Roman"/>
        </w:rPr>
      </w:pPr>
      <w:bookmarkStart w:id="714" w:name="_Toc407153531"/>
      <w:bookmarkStart w:id="715" w:name="_Toc420663721"/>
      <w:bookmarkStart w:id="716" w:name="_Toc470358702"/>
      <w:bookmarkStart w:id="717" w:name="_Toc488578923"/>
      <w:bookmarkStart w:id="718" w:name="_Toc406504249"/>
      <w:bookmarkStart w:id="719" w:name="_Toc230236116"/>
      <w:bookmarkStart w:id="720" w:name="_Toc230234489"/>
      <w:bookmarkStart w:id="721" w:name="_Toc407217397"/>
      <w:bookmarkStart w:id="722" w:name="_Toc370112141"/>
      <w:r>
        <w:rPr>
          <w:rFonts w:ascii="Times New Roman" w:hAnsi="Times New Roman"/>
        </w:rPr>
        <w:t>6.2生态环境影响调查分析</w:t>
      </w:r>
      <w:bookmarkEnd w:id="714"/>
      <w:bookmarkEnd w:id="715"/>
      <w:bookmarkEnd w:id="716"/>
      <w:bookmarkEnd w:id="717"/>
      <w:bookmarkEnd w:id="718"/>
      <w:bookmarkEnd w:id="719"/>
      <w:bookmarkEnd w:id="720"/>
      <w:bookmarkEnd w:id="721"/>
      <w:bookmarkEnd w:id="722"/>
    </w:p>
    <w:p>
      <w:pPr>
        <w:pStyle w:val="10"/>
        <w:rPr>
          <w:rFonts w:ascii="Times New Roman" w:hAnsi="Times New Roman"/>
        </w:rPr>
      </w:pPr>
      <w:r>
        <w:rPr>
          <w:rFonts w:ascii="Times New Roman" w:hAnsi="Times New Roman"/>
        </w:rPr>
        <w:t>6.2.1对土地利用的影响</w:t>
      </w:r>
    </w:p>
    <w:p>
      <w:pPr>
        <w:pStyle w:val="159"/>
        <w:rPr>
          <w:rFonts w:ascii="Times New Roman" w:hAnsi="Times New Roman" w:eastAsia="宋体" w:cs="Times New Roman"/>
        </w:rPr>
      </w:pPr>
      <w:r>
        <w:rPr>
          <w:rFonts w:ascii="Times New Roman" w:hAnsi="Times New Roman" w:eastAsia="宋体" w:cs="Times New Roman"/>
        </w:rPr>
        <w:t>现有的用地性质为采矿用地，且不会改变土地采矿用地的利用性质。</w:t>
      </w:r>
    </w:p>
    <w:p>
      <w:pPr>
        <w:pStyle w:val="10"/>
        <w:rPr>
          <w:rFonts w:ascii="Times New Roman" w:hAnsi="Times New Roman"/>
        </w:rPr>
      </w:pPr>
      <w:r>
        <w:rPr>
          <w:rFonts w:ascii="Times New Roman" w:hAnsi="Times New Roman"/>
        </w:rPr>
        <w:t>6.2.2对植被的影响调查分析</w:t>
      </w:r>
    </w:p>
    <w:p>
      <w:pPr>
        <w:spacing w:line="360" w:lineRule="auto"/>
        <w:ind w:firstLine="480" w:firstLineChars="200"/>
        <w:rPr>
          <w:kern w:val="0"/>
          <w:sz w:val="24"/>
        </w:rPr>
      </w:pPr>
      <w:r>
        <w:rPr>
          <w:sz w:val="24"/>
        </w:rPr>
        <w:t>建设期施工三通一平中表土剥离及采矿巷道施工产生废石堆存使现存生长植物遭到破坏。扩建</w:t>
      </w:r>
      <w:r>
        <w:rPr>
          <w:kern w:val="0"/>
          <w:sz w:val="24"/>
        </w:rPr>
        <w:t>占地类型为采矿用地（荒草地）。采矿用地地表植被较少，整个项目占地面积28.61hm</w:t>
      </w:r>
      <w:r>
        <w:rPr>
          <w:kern w:val="0"/>
          <w:sz w:val="24"/>
          <w:vertAlign w:val="superscript"/>
        </w:rPr>
        <w:t>2</w:t>
      </w:r>
      <w:r>
        <w:rPr>
          <w:kern w:val="0"/>
          <w:sz w:val="24"/>
        </w:rPr>
        <w:t>，损失生物量为105.86t。项目采取有水土保持措施，制订有矿山生态环境恢复规划，生态恢复率81.9%，主要恢复为灌木林，灌木群落的生物量远大于现状草地群落。因此本项目采取生态恢复措施后</w:t>
      </w:r>
      <w:r>
        <w:rPr>
          <w:sz w:val="24"/>
        </w:rPr>
        <w:t>生物量不会减少，生态系统的功能不降低。</w:t>
      </w:r>
    </w:p>
    <w:p>
      <w:pPr>
        <w:pStyle w:val="10"/>
        <w:rPr>
          <w:rFonts w:ascii="Times New Roman" w:hAnsi="Times New Roman"/>
        </w:rPr>
      </w:pPr>
      <w:r>
        <w:rPr>
          <w:rFonts w:ascii="Times New Roman" w:hAnsi="Times New Roman"/>
        </w:rPr>
        <w:t>6.2.3</w:t>
      </w:r>
      <w:bookmarkStart w:id="723" w:name="_Toc370112142"/>
      <w:bookmarkStart w:id="724" w:name="_Toc406504253"/>
      <w:bookmarkStart w:id="725" w:name="_Toc420663725"/>
      <w:bookmarkStart w:id="726" w:name="_Toc407217401"/>
      <w:bookmarkStart w:id="727" w:name="_Toc407153535"/>
      <w:bookmarkStart w:id="728" w:name="_Toc230236120"/>
      <w:bookmarkStart w:id="729" w:name="_Toc230234493"/>
      <w:r>
        <w:rPr>
          <w:rFonts w:ascii="Times New Roman" w:hAnsi="Times New Roman"/>
        </w:rPr>
        <w:t>对群落的影响调查分析</w:t>
      </w:r>
    </w:p>
    <w:p>
      <w:pPr>
        <w:pStyle w:val="107"/>
        <w:rPr>
          <w:rFonts w:eastAsia="宋体"/>
        </w:rPr>
      </w:pPr>
      <w:r>
        <w:rPr>
          <w:rFonts w:eastAsia="宋体"/>
        </w:rPr>
        <w:t xml:space="preserve">    调查区域内生态系统主要为林地生态系统，物种之间自然形成了相互依赖、相互制约的关系。矿山在建设时，工业场地开挖平整清除了大面积植被，破坏了群落关系，使其它未被破坏的植被失去了互相依赖、相互制约的关系，这将破坏林地生态系统物种之间的相互关系，降低生态系统及其生物群落的稳定性，致使系统抵御外界干扰的能力下降。经调查，工程占用土地主要使调查范围内灌木林群落的总生物量减少，并有少部分人工林木和草本植物，总的来讲，各类型生物群落在建设期总的生物量会有所减少，但大部分在闭矿、闭库后经生态重建可进行恢复，因此项目在采取相应措施后对区域群落影响不大，不会对当地植物物种多样性和植被条件产生明显的影响。</w:t>
      </w:r>
    </w:p>
    <w:p>
      <w:pPr>
        <w:pStyle w:val="10"/>
        <w:rPr>
          <w:rFonts w:ascii="Times New Roman" w:hAnsi="Times New Roman"/>
        </w:rPr>
      </w:pPr>
      <w:r>
        <w:rPr>
          <w:rFonts w:ascii="Times New Roman" w:hAnsi="Times New Roman" w:eastAsia="宋体"/>
        </w:rPr>
        <w:t>6.2.4</w:t>
      </w:r>
      <w:r>
        <w:rPr>
          <w:rFonts w:ascii="Times New Roman" w:hAnsi="Times New Roman"/>
        </w:rPr>
        <w:t>对动物的影响调查分析</w:t>
      </w:r>
    </w:p>
    <w:p>
      <w:pPr>
        <w:spacing w:line="360" w:lineRule="auto"/>
        <w:ind w:firstLine="480" w:firstLineChars="200"/>
        <w:rPr>
          <w:sz w:val="24"/>
        </w:rPr>
      </w:pPr>
      <w:r>
        <w:rPr>
          <w:sz w:val="24"/>
        </w:rPr>
        <w:t>扩建占地类型为采矿用地（荒草地），人为活动频繁，且没有发现具有特殊保护价值的野生植物，不会使特种野生植物数量发生变化。因此项目建设对周围环境生物多样性的影响很小。</w:t>
      </w:r>
    </w:p>
    <w:p>
      <w:pPr>
        <w:pStyle w:val="10"/>
        <w:spacing w:line="360" w:lineRule="auto"/>
        <w:rPr>
          <w:rFonts w:ascii="Times New Roman" w:hAnsi="Times New Roman"/>
          <w:kern w:val="0"/>
        </w:rPr>
      </w:pPr>
      <w:r>
        <w:rPr>
          <w:rFonts w:ascii="Times New Roman" w:hAnsi="Times New Roman"/>
          <w:kern w:val="0"/>
        </w:rPr>
        <w:t>6.2.5对生态系统功能的影响调查分析</w:t>
      </w:r>
    </w:p>
    <w:p>
      <w:pPr>
        <w:spacing w:line="360" w:lineRule="auto"/>
        <w:ind w:firstLine="480" w:firstLineChars="200"/>
        <w:rPr>
          <w:kern w:val="0"/>
          <w:sz w:val="24"/>
        </w:rPr>
      </w:pPr>
      <w:r>
        <w:rPr>
          <w:kern w:val="0"/>
          <w:sz w:val="24"/>
        </w:rPr>
        <w:t>工程废石堆场、工业场地占地、选厂建设建设等改变了区域的土地利用格局，缩小了土地的生态利用功能，并可能进而影响局部的整体生态系统的功能。矿区开采破坏对灌木次生林群落及草本植物有一定的影响，因此被毁掉的林木及林下的灌木草本植被释放氧气、固土功能将不复存在，代之为裸露的岩体，并将一定时期内引发一定程度的水土流失。</w:t>
      </w:r>
    </w:p>
    <w:p>
      <w:pPr>
        <w:pStyle w:val="10"/>
        <w:spacing w:line="360" w:lineRule="auto"/>
        <w:rPr>
          <w:rFonts w:ascii="Times New Roman" w:hAnsi="Times New Roman"/>
          <w:kern w:val="0"/>
        </w:rPr>
      </w:pPr>
      <w:r>
        <w:rPr>
          <w:rFonts w:ascii="Times New Roman" w:hAnsi="Times New Roman"/>
          <w:kern w:val="0"/>
        </w:rPr>
        <w:t>6.2.6对景观的影响调查分析</w:t>
      </w:r>
    </w:p>
    <w:p>
      <w:pPr>
        <w:pStyle w:val="169"/>
        <w:ind w:firstLine="480"/>
        <w:rPr>
          <w:rFonts w:hAnsi="Times New Roman"/>
          <w:lang w:val="zh-CN"/>
        </w:rPr>
      </w:pPr>
      <w:r>
        <w:rPr>
          <w:rFonts w:hAnsi="Times New Roman"/>
          <w:lang w:val="zh-CN"/>
        </w:rPr>
        <w:t>工程建设主要是占地破坏了地表植被、</w:t>
      </w:r>
      <w:r>
        <w:rPr>
          <w:rFonts w:hAnsi="Times New Roman"/>
        </w:rPr>
        <w:t>巷道施工产生的废石</w:t>
      </w:r>
      <w:r>
        <w:rPr>
          <w:rFonts w:hAnsi="Times New Roman"/>
          <w:lang w:val="zh-CN"/>
        </w:rPr>
        <w:t>造成对景观的影响，但由于工程服务期满后对</w:t>
      </w:r>
      <w:r>
        <w:rPr>
          <w:rFonts w:hAnsi="Times New Roman"/>
        </w:rPr>
        <w:t>废石</w:t>
      </w:r>
      <w:r>
        <w:rPr>
          <w:rFonts w:hAnsi="Times New Roman"/>
          <w:lang w:val="zh-CN"/>
        </w:rPr>
        <w:t>场进行恢复并矿区采用生态恢复措施后，其影响程度会有所降低。</w:t>
      </w:r>
    </w:p>
    <w:p>
      <w:pPr>
        <w:pStyle w:val="3"/>
        <w:rPr>
          <w:rFonts w:ascii="Times New Roman" w:hAnsi="Times New Roman"/>
        </w:rPr>
      </w:pPr>
      <w:bookmarkStart w:id="730" w:name="_Toc470358703"/>
      <w:bookmarkStart w:id="731" w:name="_Toc488578924"/>
      <w:r>
        <w:rPr>
          <w:rFonts w:ascii="Times New Roman" w:hAnsi="Times New Roman"/>
        </w:rPr>
        <w:t>6.3生态保护及恢复措施</w:t>
      </w:r>
      <w:bookmarkEnd w:id="723"/>
      <w:bookmarkEnd w:id="724"/>
      <w:bookmarkEnd w:id="725"/>
      <w:bookmarkEnd w:id="726"/>
      <w:bookmarkEnd w:id="727"/>
      <w:bookmarkEnd w:id="728"/>
      <w:bookmarkEnd w:id="729"/>
      <w:r>
        <w:rPr>
          <w:rFonts w:ascii="Times New Roman" w:hAnsi="Times New Roman"/>
        </w:rPr>
        <w:t>调查</w:t>
      </w:r>
      <w:bookmarkEnd w:id="730"/>
      <w:bookmarkEnd w:id="731"/>
    </w:p>
    <w:p>
      <w:pPr>
        <w:pStyle w:val="10"/>
        <w:rPr>
          <w:rFonts w:ascii="Times New Roman" w:hAnsi="Times New Roman"/>
        </w:rPr>
      </w:pPr>
      <w:bookmarkStart w:id="732" w:name="_Toc407153538"/>
      <w:bookmarkStart w:id="733" w:name="_Toc407217404"/>
      <w:bookmarkStart w:id="734" w:name="_Toc420663726"/>
      <w:bookmarkStart w:id="735" w:name="_Toc406504256"/>
      <w:r>
        <w:rPr>
          <w:rFonts w:ascii="Times New Roman" w:hAnsi="Times New Roman"/>
        </w:rPr>
        <w:t>6.</w:t>
      </w:r>
      <w:r>
        <w:rPr>
          <w:rFonts w:hint="eastAsia" w:ascii="Times New Roman" w:hAnsi="Times New Roman"/>
        </w:rPr>
        <w:t>3</w:t>
      </w:r>
      <w:r>
        <w:rPr>
          <w:rFonts w:ascii="Times New Roman" w:hAnsi="Times New Roman"/>
        </w:rPr>
        <w:t>.1</w:t>
      </w:r>
      <w:bookmarkEnd w:id="732"/>
      <w:bookmarkEnd w:id="733"/>
      <w:bookmarkEnd w:id="734"/>
      <w:bookmarkEnd w:id="735"/>
      <w:r>
        <w:rPr>
          <w:rFonts w:ascii="Times New Roman" w:hAnsi="Times New Roman"/>
        </w:rPr>
        <w:t>施工期生态保护措施</w:t>
      </w:r>
    </w:p>
    <w:p>
      <w:pPr>
        <w:pStyle w:val="107"/>
      </w:pPr>
      <w:r>
        <w:rPr>
          <w:rFonts w:eastAsia="宋体"/>
        </w:rPr>
        <w:t xml:space="preserve">    环评阶段遗留问题整治情况见表</w:t>
      </w:r>
      <w:r>
        <w:t>6.</w:t>
      </w:r>
      <w:r>
        <w:rPr>
          <w:rFonts w:hint="eastAsia"/>
        </w:rPr>
        <w:t>3</w:t>
      </w:r>
      <w:r>
        <w:t>-1</w:t>
      </w:r>
      <w:r>
        <w:rPr>
          <w:rFonts w:eastAsia="宋体"/>
        </w:rPr>
        <w:t>。</w:t>
      </w:r>
    </w:p>
    <w:p>
      <w:pPr>
        <w:adjustRightInd w:val="0"/>
        <w:snapToGrid w:val="0"/>
        <w:ind w:firstLine="480" w:firstLineChars="200"/>
        <w:rPr>
          <w:rFonts w:eastAsia="黑体"/>
          <w:sz w:val="24"/>
        </w:rPr>
      </w:pPr>
      <w:r>
        <w:rPr>
          <w:rFonts w:eastAsia="黑体"/>
          <w:sz w:val="24"/>
        </w:rPr>
        <w:t>表6.</w:t>
      </w:r>
      <w:r>
        <w:rPr>
          <w:rFonts w:hint="eastAsia" w:eastAsia="黑体"/>
          <w:sz w:val="24"/>
        </w:rPr>
        <w:t>3</w:t>
      </w:r>
      <w:r>
        <w:rPr>
          <w:rFonts w:eastAsia="黑体"/>
          <w:sz w:val="24"/>
        </w:rPr>
        <w:t>-1           环评阶段遗留问题整治及落实情况</w:t>
      </w:r>
    </w:p>
    <w:tbl>
      <w:tblPr>
        <w:tblStyle w:val="54"/>
        <w:tblW w:w="8529" w:type="dxa"/>
        <w:jc w:val="center"/>
        <w:tblInd w:w="-51"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00"/>
        <w:gridCol w:w="1236"/>
        <w:gridCol w:w="2976"/>
        <w:gridCol w:w="2333"/>
        <w:gridCol w:w="9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97" w:hRule="atLeast"/>
          <w:tblHeader/>
          <w:jc w:val="center"/>
        </w:trPr>
        <w:tc>
          <w:tcPr>
            <w:tcW w:w="1000" w:type="dxa"/>
            <w:tcBorders>
              <w:top w:val="single" w:color="auto" w:sz="12" w:space="0"/>
              <w:left w:val="single" w:color="auto" w:sz="12" w:space="0"/>
              <w:bottom w:val="single" w:color="auto" w:sz="6" w:space="0"/>
            </w:tcBorders>
            <w:vAlign w:val="center"/>
          </w:tcPr>
          <w:p>
            <w:pPr>
              <w:pStyle w:val="135"/>
              <w:jc w:val="center"/>
              <w:rPr>
                <w:rFonts w:hAnsi="Times New Roman"/>
              </w:rPr>
            </w:pPr>
            <w:r>
              <w:rPr>
                <w:rFonts w:hAnsi="Times New Roman"/>
              </w:rPr>
              <w:t>环境保护要素</w:t>
            </w:r>
          </w:p>
        </w:tc>
        <w:tc>
          <w:tcPr>
            <w:tcW w:w="4212" w:type="dxa"/>
            <w:gridSpan w:val="2"/>
            <w:tcBorders>
              <w:top w:val="single" w:color="auto" w:sz="12" w:space="0"/>
              <w:bottom w:val="single" w:color="auto" w:sz="6" w:space="0"/>
            </w:tcBorders>
            <w:vAlign w:val="center"/>
          </w:tcPr>
          <w:p>
            <w:pPr>
              <w:pStyle w:val="135"/>
              <w:jc w:val="center"/>
              <w:rPr>
                <w:rFonts w:hAnsi="Times New Roman"/>
              </w:rPr>
            </w:pPr>
            <w:r>
              <w:rPr>
                <w:rFonts w:hAnsi="Times New Roman"/>
              </w:rPr>
              <w:t>环评提出的治理或处置措施</w:t>
            </w:r>
          </w:p>
        </w:tc>
        <w:tc>
          <w:tcPr>
            <w:tcW w:w="2333" w:type="dxa"/>
            <w:tcBorders>
              <w:top w:val="single" w:color="auto" w:sz="12" w:space="0"/>
              <w:bottom w:val="single" w:color="auto" w:sz="6" w:space="0"/>
            </w:tcBorders>
            <w:vAlign w:val="center"/>
          </w:tcPr>
          <w:p>
            <w:pPr>
              <w:pStyle w:val="135"/>
              <w:jc w:val="center"/>
              <w:rPr>
                <w:rFonts w:hAnsi="Times New Roman"/>
              </w:rPr>
            </w:pPr>
            <w:r>
              <w:rPr>
                <w:rFonts w:hAnsi="Times New Roman"/>
              </w:rPr>
              <w:t>工程实际采取的环保措施情况</w:t>
            </w:r>
          </w:p>
        </w:tc>
        <w:tc>
          <w:tcPr>
            <w:tcW w:w="984" w:type="dxa"/>
            <w:tcBorders>
              <w:top w:val="single" w:color="auto" w:sz="12" w:space="0"/>
              <w:bottom w:val="single" w:color="auto" w:sz="6" w:space="0"/>
              <w:right w:val="single" w:color="auto" w:sz="12" w:space="0"/>
            </w:tcBorders>
            <w:vAlign w:val="center"/>
          </w:tcPr>
          <w:p>
            <w:pPr>
              <w:pStyle w:val="135"/>
              <w:jc w:val="center"/>
              <w:rPr>
                <w:rFonts w:hAnsi="Times New Roman"/>
              </w:rPr>
            </w:pPr>
            <w:r>
              <w:rPr>
                <w:rFonts w:hAnsi="Times New Roman"/>
              </w:rPr>
              <w:t>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721" w:hRule="atLeast"/>
          <w:jc w:val="center"/>
        </w:trPr>
        <w:tc>
          <w:tcPr>
            <w:tcW w:w="1000" w:type="dxa"/>
            <w:vMerge w:val="restart"/>
            <w:tcBorders>
              <w:top w:val="single" w:color="auto" w:sz="6" w:space="0"/>
              <w:left w:val="single" w:color="auto" w:sz="12" w:space="0"/>
              <w:bottom w:val="single" w:color="auto" w:sz="6" w:space="0"/>
            </w:tcBorders>
            <w:vAlign w:val="center"/>
          </w:tcPr>
          <w:p>
            <w:pPr>
              <w:pStyle w:val="135"/>
              <w:jc w:val="center"/>
              <w:rPr>
                <w:rFonts w:hAnsi="Times New Roman"/>
              </w:rPr>
            </w:pPr>
            <w:r>
              <w:rPr>
                <w:rFonts w:hAnsi="Times New Roman"/>
                <w:lang w:val="zh-CN"/>
              </w:rPr>
              <w:t>遗留环保问题</w:t>
            </w:r>
          </w:p>
          <w:p>
            <w:pPr>
              <w:pStyle w:val="135"/>
              <w:jc w:val="center"/>
              <w:rPr>
                <w:rFonts w:hAnsi="Times New Roman"/>
              </w:rPr>
            </w:pPr>
            <w:r>
              <w:rPr>
                <w:rFonts w:hAnsi="Times New Roman"/>
                <w:lang w:val="zh-CN"/>
              </w:rPr>
              <w:t>整改项目</w:t>
            </w:r>
          </w:p>
        </w:tc>
        <w:tc>
          <w:tcPr>
            <w:tcW w:w="1236" w:type="dxa"/>
            <w:tcBorders>
              <w:top w:val="single" w:color="auto" w:sz="6" w:space="0"/>
              <w:bottom w:val="single" w:color="auto" w:sz="6" w:space="0"/>
              <w:right w:val="single" w:color="auto" w:sz="4" w:space="0"/>
            </w:tcBorders>
            <w:vAlign w:val="center"/>
          </w:tcPr>
          <w:p>
            <w:pPr>
              <w:pStyle w:val="135"/>
              <w:jc w:val="center"/>
              <w:rPr>
                <w:rFonts w:hAnsi="Times New Roman"/>
              </w:rPr>
            </w:pPr>
            <w:r>
              <w:rPr>
                <w:rFonts w:hAnsi="Times New Roman"/>
              </w:rPr>
              <w:t>原采矿项</w:t>
            </w:r>
            <w:r>
              <w:rPr>
                <w:rFonts w:hAnsi="Times New Roman"/>
              </w:rPr>
              <w:fldChar w:fldCharType="begin"/>
            </w:r>
            <w:r>
              <w:rPr>
                <w:rFonts w:hAnsi="Times New Roman"/>
              </w:rPr>
              <w:instrText xml:space="preserve"> = 2 \* ROMAN </w:instrText>
            </w:r>
            <w:r>
              <w:rPr>
                <w:rFonts w:hAnsi="Times New Roman"/>
              </w:rPr>
              <w:fldChar w:fldCharType="separate"/>
            </w:r>
            <w:r>
              <w:rPr>
                <w:rFonts w:hAnsi="Times New Roman"/>
              </w:rPr>
              <w:t>II</w:t>
            </w:r>
            <w:r>
              <w:rPr>
                <w:rFonts w:hAnsi="Times New Roman"/>
              </w:rPr>
              <w:fldChar w:fldCharType="end"/>
            </w:r>
            <w:r>
              <w:rPr>
                <w:rFonts w:hAnsi="Times New Roman"/>
              </w:rPr>
              <w:t>号矿体地面塌陷区</w:t>
            </w:r>
          </w:p>
        </w:tc>
        <w:tc>
          <w:tcPr>
            <w:tcW w:w="2976" w:type="dxa"/>
            <w:tcBorders>
              <w:top w:val="single" w:color="auto" w:sz="6" w:space="0"/>
              <w:left w:val="single" w:color="auto" w:sz="4" w:space="0"/>
              <w:bottom w:val="single" w:color="auto" w:sz="6" w:space="0"/>
            </w:tcBorders>
            <w:vAlign w:val="center"/>
          </w:tcPr>
          <w:p>
            <w:pPr>
              <w:pStyle w:val="135"/>
              <w:rPr>
                <w:rFonts w:hAnsi="Times New Roman"/>
              </w:rPr>
            </w:pPr>
            <w:r>
              <w:rPr>
                <w:rFonts w:hAnsi="Times New Roman"/>
              </w:rPr>
              <w:t>废石进行填充塌陷坑，填充后覆土、平整、绿化。加强地表岩石移动监测工作</w:t>
            </w:r>
          </w:p>
        </w:tc>
        <w:tc>
          <w:tcPr>
            <w:tcW w:w="2333" w:type="dxa"/>
            <w:tcBorders>
              <w:top w:val="single" w:color="auto" w:sz="6" w:space="0"/>
              <w:bottom w:val="single" w:color="auto" w:sz="6" w:space="0"/>
            </w:tcBorders>
            <w:vAlign w:val="center"/>
          </w:tcPr>
          <w:p>
            <w:pPr>
              <w:pStyle w:val="135"/>
              <w:rPr>
                <w:rFonts w:hAnsi="Times New Roman"/>
              </w:rPr>
            </w:pPr>
            <w:r>
              <w:rPr>
                <w:rFonts w:hAnsi="Times New Roman"/>
              </w:rPr>
              <w:t>塌陷区面积4900m</w:t>
            </w:r>
            <w:r>
              <w:rPr>
                <w:rFonts w:hAnsi="Times New Roman"/>
                <w:vertAlign w:val="superscript"/>
              </w:rPr>
              <w:t>2</w:t>
            </w:r>
            <w:r>
              <w:rPr>
                <w:rFonts w:hAnsi="Times New Roman"/>
              </w:rPr>
              <w:t>，塌陷深度0.5～15m，填充废石34300m</w:t>
            </w:r>
            <w:r>
              <w:rPr>
                <w:rFonts w:hAnsi="Times New Roman"/>
                <w:vertAlign w:val="superscript"/>
              </w:rPr>
              <w:t>3</w:t>
            </w:r>
          </w:p>
        </w:tc>
        <w:tc>
          <w:tcPr>
            <w:tcW w:w="984" w:type="dxa"/>
            <w:tcBorders>
              <w:top w:val="single" w:color="auto" w:sz="6" w:space="0"/>
              <w:bottom w:val="single" w:color="auto" w:sz="6" w:space="0"/>
              <w:right w:val="single" w:color="auto" w:sz="12" w:space="0"/>
            </w:tcBorders>
            <w:vAlign w:val="center"/>
          </w:tcPr>
          <w:p>
            <w:pPr>
              <w:pStyle w:val="135"/>
              <w:jc w:val="center"/>
              <w:rPr>
                <w:rFonts w:hAnsi="Times New Roman"/>
              </w:rPr>
            </w:pPr>
            <w:r>
              <w:rPr>
                <w:rFonts w:hAnsi="Times New Roman"/>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633" w:hRule="atLeast"/>
          <w:jc w:val="center"/>
        </w:trPr>
        <w:tc>
          <w:tcPr>
            <w:tcW w:w="1000" w:type="dxa"/>
            <w:vMerge w:val="continue"/>
            <w:tcBorders>
              <w:top w:val="single" w:color="auto" w:sz="6" w:space="0"/>
              <w:left w:val="single" w:color="auto" w:sz="12" w:space="0"/>
              <w:bottom w:val="single" w:color="auto" w:sz="6" w:space="0"/>
            </w:tcBorders>
            <w:vAlign w:val="center"/>
          </w:tcPr>
          <w:p>
            <w:pPr>
              <w:pStyle w:val="135"/>
              <w:jc w:val="center"/>
              <w:rPr>
                <w:rFonts w:hAnsi="Times New Roman"/>
                <w:lang w:val="zh-CN"/>
              </w:rPr>
            </w:pPr>
          </w:p>
        </w:tc>
        <w:tc>
          <w:tcPr>
            <w:tcW w:w="1236" w:type="dxa"/>
            <w:tcBorders>
              <w:top w:val="single" w:color="auto" w:sz="6" w:space="0"/>
              <w:bottom w:val="single" w:color="auto" w:sz="6" w:space="0"/>
              <w:right w:val="single" w:color="auto" w:sz="4" w:space="0"/>
            </w:tcBorders>
            <w:vAlign w:val="center"/>
          </w:tcPr>
          <w:p>
            <w:pPr>
              <w:pStyle w:val="135"/>
              <w:jc w:val="center"/>
              <w:rPr>
                <w:rFonts w:hAnsi="Times New Roman"/>
              </w:rPr>
            </w:pPr>
            <w:r>
              <w:rPr>
                <w:rFonts w:hAnsi="Times New Roman"/>
              </w:rPr>
              <w:t>原采矿项IV号矿体地面塌陷区</w:t>
            </w:r>
          </w:p>
        </w:tc>
        <w:tc>
          <w:tcPr>
            <w:tcW w:w="2976" w:type="dxa"/>
            <w:tcBorders>
              <w:top w:val="single" w:color="auto" w:sz="6" w:space="0"/>
              <w:left w:val="single" w:color="auto" w:sz="4" w:space="0"/>
              <w:bottom w:val="single" w:color="auto" w:sz="6" w:space="0"/>
            </w:tcBorders>
            <w:vAlign w:val="center"/>
          </w:tcPr>
          <w:p>
            <w:pPr>
              <w:pStyle w:val="135"/>
              <w:rPr>
                <w:rFonts w:hAnsi="Times New Roman"/>
              </w:rPr>
            </w:pPr>
            <w:r>
              <w:rPr>
                <w:rFonts w:hAnsi="Times New Roman"/>
              </w:rPr>
              <w:t>废石进行填充塌陷坑，填充后覆土、平整、绿化。加强地表岩石移动监测工作</w:t>
            </w:r>
          </w:p>
        </w:tc>
        <w:tc>
          <w:tcPr>
            <w:tcW w:w="2333" w:type="dxa"/>
            <w:tcBorders>
              <w:top w:val="single" w:color="auto" w:sz="6" w:space="0"/>
              <w:bottom w:val="single" w:color="auto" w:sz="6" w:space="0"/>
            </w:tcBorders>
            <w:vAlign w:val="center"/>
          </w:tcPr>
          <w:p>
            <w:pPr>
              <w:pStyle w:val="135"/>
              <w:rPr>
                <w:rFonts w:hAnsi="Times New Roman"/>
              </w:rPr>
            </w:pPr>
            <w:r>
              <w:rPr>
                <w:rFonts w:hAnsi="Times New Roman"/>
              </w:rPr>
              <w:t>塌陷区面积6100m</w:t>
            </w:r>
            <w:r>
              <w:rPr>
                <w:rFonts w:hAnsi="Times New Roman"/>
                <w:vertAlign w:val="superscript"/>
              </w:rPr>
              <w:t>2</w:t>
            </w:r>
            <w:r>
              <w:rPr>
                <w:rFonts w:hAnsi="Times New Roman"/>
              </w:rPr>
              <w:t>，塌陷深度0.5-6m，可容纳废石18300m</w:t>
            </w:r>
            <w:r>
              <w:rPr>
                <w:rFonts w:hAnsi="Times New Roman"/>
                <w:vertAlign w:val="superscript"/>
              </w:rPr>
              <w:t>3</w:t>
            </w:r>
          </w:p>
        </w:tc>
        <w:tc>
          <w:tcPr>
            <w:tcW w:w="984" w:type="dxa"/>
            <w:tcBorders>
              <w:top w:val="single" w:color="auto" w:sz="6" w:space="0"/>
              <w:bottom w:val="single" w:color="auto" w:sz="6" w:space="0"/>
              <w:right w:val="single" w:color="auto" w:sz="12" w:space="0"/>
            </w:tcBorders>
            <w:vAlign w:val="center"/>
          </w:tcPr>
          <w:p>
            <w:pPr>
              <w:pStyle w:val="135"/>
              <w:jc w:val="center"/>
              <w:rPr>
                <w:rFonts w:hAnsi="Times New Roman"/>
              </w:rPr>
            </w:pPr>
            <w:r>
              <w:rPr>
                <w:rFonts w:hAnsi="Times New Roman"/>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089" w:hRule="atLeast"/>
          <w:jc w:val="center"/>
        </w:trPr>
        <w:tc>
          <w:tcPr>
            <w:tcW w:w="1000" w:type="dxa"/>
            <w:vMerge w:val="restart"/>
            <w:tcBorders>
              <w:top w:val="single" w:color="auto" w:sz="6" w:space="0"/>
              <w:left w:val="single" w:color="auto" w:sz="12" w:space="0"/>
              <w:bottom w:val="single" w:color="auto" w:sz="6" w:space="0"/>
            </w:tcBorders>
            <w:vAlign w:val="center"/>
          </w:tcPr>
          <w:p>
            <w:pPr>
              <w:pStyle w:val="135"/>
              <w:jc w:val="center"/>
              <w:rPr>
                <w:rFonts w:hAnsi="Times New Roman"/>
                <w:lang w:val="zh-CN"/>
              </w:rPr>
            </w:pPr>
            <w:r>
              <w:rPr>
                <w:rFonts w:hAnsi="Times New Roman"/>
                <w:lang w:val="zh-CN"/>
              </w:rPr>
              <w:t>施工期</w:t>
            </w:r>
          </w:p>
        </w:tc>
        <w:tc>
          <w:tcPr>
            <w:tcW w:w="1236" w:type="dxa"/>
            <w:tcBorders>
              <w:top w:val="single" w:color="auto" w:sz="6" w:space="0"/>
              <w:bottom w:val="single" w:color="auto" w:sz="6" w:space="0"/>
              <w:right w:val="single" w:color="auto" w:sz="4" w:space="0"/>
            </w:tcBorders>
            <w:vAlign w:val="center"/>
          </w:tcPr>
          <w:p>
            <w:pPr>
              <w:pStyle w:val="135"/>
              <w:jc w:val="center"/>
              <w:rPr>
                <w:rFonts w:hAnsi="Times New Roman"/>
              </w:rPr>
            </w:pPr>
            <w:r>
              <w:rPr>
                <w:rFonts w:hAnsi="Times New Roman"/>
              </w:rPr>
              <w:t>废石场</w:t>
            </w:r>
          </w:p>
        </w:tc>
        <w:tc>
          <w:tcPr>
            <w:tcW w:w="2976" w:type="dxa"/>
            <w:tcBorders>
              <w:top w:val="single" w:color="auto" w:sz="6" w:space="0"/>
              <w:left w:val="single" w:color="auto" w:sz="4" w:space="0"/>
              <w:bottom w:val="single" w:color="auto" w:sz="6" w:space="0"/>
            </w:tcBorders>
            <w:vAlign w:val="center"/>
          </w:tcPr>
          <w:p>
            <w:pPr>
              <w:pStyle w:val="135"/>
              <w:rPr>
                <w:rFonts w:hAnsi="Times New Roman"/>
              </w:rPr>
            </w:pPr>
            <w:r>
              <w:rPr>
                <w:rFonts w:hAnsi="Times New Roman"/>
              </w:rPr>
              <w:t>修建截洪沟、排水沟，废石堆场挡渣墙，对于临时占地和新开辟破坏区，竣工后要进行土地复垦和植被重建工作，要进行土地平整、植树、种草工作</w:t>
            </w:r>
          </w:p>
        </w:tc>
        <w:tc>
          <w:tcPr>
            <w:tcW w:w="2333" w:type="dxa"/>
            <w:tcBorders>
              <w:top w:val="single" w:color="auto" w:sz="6" w:space="0"/>
              <w:bottom w:val="single" w:color="auto" w:sz="6" w:space="0"/>
            </w:tcBorders>
            <w:vAlign w:val="center"/>
          </w:tcPr>
          <w:p>
            <w:pPr>
              <w:adjustRightInd w:val="0"/>
              <w:snapToGrid w:val="0"/>
              <w:rPr>
                <w:sz w:val="20"/>
                <w:szCs w:val="20"/>
              </w:rPr>
            </w:pPr>
            <w:r>
              <w:rPr>
                <w:sz w:val="20"/>
                <w:szCs w:val="20"/>
              </w:rPr>
              <w:t>斜井废石拦渣墙长110m，高2m，沉淀池10m</w:t>
            </w:r>
            <w:r>
              <w:rPr>
                <w:sz w:val="20"/>
                <w:szCs w:val="20"/>
                <w:vertAlign w:val="superscript"/>
              </w:rPr>
              <w:t>3</w:t>
            </w:r>
            <w:r>
              <w:rPr>
                <w:sz w:val="20"/>
                <w:szCs w:val="20"/>
              </w:rPr>
              <w:t>；竖井废石拦渣墙240m，沉淀池20m</w:t>
            </w:r>
            <w:r>
              <w:rPr>
                <w:sz w:val="20"/>
                <w:szCs w:val="20"/>
                <w:vertAlign w:val="superscript"/>
              </w:rPr>
              <w:t>3</w:t>
            </w:r>
            <w:r>
              <w:rPr>
                <w:sz w:val="20"/>
                <w:szCs w:val="20"/>
              </w:rPr>
              <w:t>；截洪沟及排水沟规格：宽33厘米高33厘米；</w:t>
            </w:r>
          </w:p>
        </w:tc>
        <w:tc>
          <w:tcPr>
            <w:tcW w:w="984" w:type="dxa"/>
            <w:tcBorders>
              <w:top w:val="single" w:color="auto" w:sz="6" w:space="0"/>
              <w:bottom w:val="single" w:color="auto" w:sz="6" w:space="0"/>
              <w:right w:val="single" w:color="auto" w:sz="12" w:space="0"/>
            </w:tcBorders>
            <w:vAlign w:val="center"/>
          </w:tcPr>
          <w:p>
            <w:pPr>
              <w:pStyle w:val="135"/>
              <w:jc w:val="center"/>
              <w:rPr>
                <w:rFonts w:hAnsi="Times New Roman"/>
              </w:rPr>
            </w:pPr>
            <w:r>
              <w:rPr>
                <w:rFonts w:hAnsi="Times New Roman"/>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1089" w:hRule="atLeast"/>
          <w:jc w:val="center"/>
        </w:trPr>
        <w:tc>
          <w:tcPr>
            <w:tcW w:w="1000" w:type="dxa"/>
            <w:vMerge w:val="continue"/>
            <w:tcBorders>
              <w:top w:val="single" w:color="auto" w:sz="6" w:space="0"/>
              <w:left w:val="single" w:color="auto" w:sz="12" w:space="0"/>
              <w:bottom w:val="single" w:color="auto" w:sz="6" w:space="0"/>
            </w:tcBorders>
            <w:vAlign w:val="center"/>
          </w:tcPr>
          <w:p>
            <w:pPr>
              <w:pStyle w:val="135"/>
              <w:jc w:val="center"/>
              <w:rPr>
                <w:rFonts w:hAnsi="Times New Roman"/>
                <w:lang w:val="zh-CN"/>
              </w:rPr>
            </w:pPr>
          </w:p>
        </w:tc>
        <w:tc>
          <w:tcPr>
            <w:tcW w:w="1236" w:type="dxa"/>
            <w:tcBorders>
              <w:top w:val="single" w:color="auto" w:sz="6" w:space="0"/>
              <w:bottom w:val="single" w:color="auto" w:sz="6" w:space="0"/>
              <w:right w:val="single" w:color="auto" w:sz="4" w:space="0"/>
            </w:tcBorders>
            <w:vAlign w:val="center"/>
          </w:tcPr>
          <w:p>
            <w:pPr>
              <w:pStyle w:val="135"/>
              <w:jc w:val="center"/>
              <w:rPr>
                <w:rFonts w:hAnsi="Times New Roman"/>
              </w:rPr>
            </w:pPr>
            <w:r>
              <w:rPr>
                <w:rFonts w:hAnsi="Times New Roman"/>
              </w:rPr>
              <w:t>工业广场</w:t>
            </w:r>
          </w:p>
        </w:tc>
        <w:tc>
          <w:tcPr>
            <w:tcW w:w="2976" w:type="dxa"/>
            <w:tcBorders>
              <w:top w:val="single" w:color="auto" w:sz="6" w:space="0"/>
              <w:left w:val="single" w:color="auto" w:sz="4" w:space="0"/>
              <w:bottom w:val="single" w:color="auto" w:sz="6" w:space="0"/>
            </w:tcBorders>
            <w:vAlign w:val="center"/>
          </w:tcPr>
          <w:p>
            <w:pPr>
              <w:pStyle w:val="135"/>
              <w:rPr>
                <w:rFonts w:hAnsi="Times New Roman"/>
              </w:rPr>
            </w:pPr>
            <w:r>
              <w:rPr>
                <w:rFonts w:hAnsi="Times New Roman"/>
              </w:rPr>
              <w:t>临时占地和新开辟破坏区，竣工后要进行土地复垦和植被重建工作，要进行土地平整、植树、种草工作</w:t>
            </w:r>
          </w:p>
        </w:tc>
        <w:tc>
          <w:tcPr>
            <w:tcW w:w="2333" w:type="dxa"/>
            <w:tcBorders>
              <w:top w:val="single" w:color="auto" w:sz="6" w:space="0"/>
              <w:bottom w:val="single" w:color="auto" w:sz="6" w:space="0"/>
            </w:tcBorders>
            <w:vAlign w:val="center"/>
          </w:tcPr>
          <w:p>
            <w:pPr>
              <w:pStyle w:val="135"/>
              <w:rPr>
                <w:rFonts w:hAnsi="Times New Roman"/>
              </w:rPr>
            </w:pPr>
            <w:r>
              <w:rPr>
                <w:rFonts w:hAnsi="Times New Roman"/>
              </w:rPr>
              <w:t>临时占地恢复植被</w:t>
            </w:r>
          </w:p>
        </w:tc>
        <w:tc>
          <w:tcPr>
            <w:tcW w:w="984" w:type="dxa"/>
            <w:tcBorders>
              <w:top w:val="single" w:color="auto" w:sz="6" w:space="0"/>
              <w:bottom w:val="single" w:color="auto" w:sz="6" w:space="0"/>
              <w:right w:val="single" w:color="auto" w:sz="12" w:space="0"/>
            </w:tcBorders>
            <w:vAlign w:val="center"/>
          </w:tcPr>
          <w:p>
            <w:pPr>
              <w:pStyle w:val="135"/>
              <w:jc w:val="center"/>
              <w:rPr>
                <w:rFonts w:hAnsi="Times New Roman"/>
              </w:rPr>
            </w:pPr>
            <w:r>
              <w:rPr>
                <w:rFonts w:hAnsi="Times New Roman"/>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291" w:hRule="atLeast"/>
          <w:jc w:val="center"/>
        </w:trPr>
        <w:tc>
          <w:tcPr>
            <w:tcW w:w="1000" w:type="dxa"/>
            <w:vMerge w:val="continue"/>
            <w:tcBorders>
              <w:top w:val="single" w:color="auto" w:sz="6" w:space="0"/>
              <w:left w:val="single" w:color="auto" w:sz="12" w:space="0"/>
              <w:bottom w:val="single" w:color="auto" w:sz="12" w:space="0"/>
            </w:tcBorders>
            <w:vAlign w:val="center"/>
          </w:tcPr>
          <w:p>
            <w:pPr>
              <w:pStyle w:val="135"/>
              <w:jc w:val="center"/>
              <w:rPr>
                <w:rFonts w:hAnsi="Times New Roman"/>
                <w:lang w:val="zh-CN"/>
              </w:rPr>
            </w:pPr>
          </w:p>
        </w:tc>
        <w:tc>
          <w:tcPr>
            <w:tcW w:w="1236" w:type="dxa"/>
            <w:tcBorders>
              <w:top w:val="single" w:color="auto" w:sz="6" w:space="0"/>
              <w:bottom w:val="single" w:color="auto" w:sz="12" w:space="0"/>
              <w:right w:val="single" w:color="auto" w:sz="4" w:space="0"/>
            </w:tcBorders>
            <w:vAlign w:val="center"/>
          </w:tcPr>
          <w:p>
            <w:pPr>
              <w:pStyle w:val="135"/>
              <w:jc w:val="center"/>
              <w:rPr>
                <w:rFonts w:hAnsi="Times New Roman"/>
              </w:rPr>
            </w:pPr>
            <w:r>
              <w:rPr>
                <w:rFonts w:hAnsi="Times New Roman"/>
              </w:rPr>
              <w:t>选矿厂</w:t>
            </w:r>
          </w:p>
        </w:tc>
        <w:tc>
          <w:tcPr>
            <w:tcW w:w="2976" w:type="dxa"/>
            <w:tcBorders>
              <w:top w:val="single" w:color="auto" w:sz="6" w:space="0"/>
              <w:left w:val="single" w:color="auto" w:sz="4" w:space="0"/>
              <w:bottom w:val="single" w:color="auto" w:sz="12" w:space="0"/>
            </w:tcBorders>
            <w:vAlign w:val="center"/>
          </w:tcPr>
          <w:p>
            <w:pPr>
              <w:pStyle w:val="135"/>
              <w:rPr>
                <w:rFonts w:hAnsi="Times New Roman"/>
              </w:rPr>
            </w:pPr>
            <w:r>
              <w:rPr>
                <w:rFonts w:hAnsi="Times New Roman"/>
              </w:rPr>
              <w:t>平整场地，修建设施，厂区绿化，对于临时占地和新开辟破坏区，竣工后要进行土地复垦和植被重建工作，要进行土地平整、植树、种草工作；</w:t>
            </w:r>
          </w:p>
        </w:tc>
        <w:tc>
          <w:tcPr>
            <w:tcW w:w="2333" w:type="dxa"/>
            <w:tcBorders>
              <w:top w:val="single" w:color="auto" w:sz="6" w:space="0"/>
              <w:bottom w:val="single" w:color="auto" w:sz="12" w:space="0"/>
            </w:tcBorders>
            <w:vAlign w:val="center"/>
          </w:tcPr>
          <w:p>
            <w:pPr>
              <w:pStyle w:val="135"/>
              <w:rPr>
                <w:rFonts w:hAnsi="Times New Roman"/>
              </w:rPr>
            </w:pPr>
            <w:r>
              <w:rPr>
                <w:rFonts w:hAnsi="Times New Roman"/>
              </w:rPr>
              <w:t>临时占地恢复植被</w:t>
            </w:r>
          </w:p>
        </w:tc>
        <w:tc>
          <w:tcPr>
            <w:tcW w:w="984" w:type="dxa"/>
            <w:tcBorders>
              <w:top w:val="single" w:color="auto" w:sz="6" w:space="0"/>
              <w:bottom w:val="single" w:color="auto" w:sz="12" w:space="0"/>
              <w:right w:val="single" w:color="auto" w:sz="12" w:space="0"/>
            </w:tcBorders>
            <w:vAlign w:val="center"/>
          </w:tcPr>
          <w:p>
            <w:pPr>
              <w:pStyle w:val="135"/>
              <w:jc w:val="center"/>
              <w:rPr>
                <w:rFonts w:hAnsi="Times New Roman"/>
              </w:rPr>
            </w:pPr>
            <w:r>
              <w:rPr>
                <w:rFonts w:hAnsi="Times New Roman"/>
              </w:rPr>
              <w:t>已落实</w:t>
            </w:r>
          </w:p>
        </w:tc>
      </w:tr>
    </w:tbl>
    <w:p>
      <w:pPr>
        <w:pStyle w:val="88"/>
      </w:pPr>
    </w:p>
    <w:p>
      <w:pPr>
        <w:pStyle w:val="88"/>
      </w:pPr>
    </w:p>
    <w:p>
      <w:pPr>
        <w:pStyle w:val="10"/>
        <w:spacing w:beforeLines="50"/>
        <w:rPr>
          <w:rFonts w:ascii="Times New Roman" w:hAnsi="Times New Roman"/>
        </w:rPr>
      </w:pPr>
      <w:r>
        <w:rPr>
          <w:rFonts w:ascii="Times New Roman" w:hAnsi="Times New Roman"/>
        </w:rPr>
        <w:t>6.</w:t>
      </w:r>
      <w:r>
        <w:rPr>
          <w:rFonts w:hint="eastAsia" w:ascii="Times New Roman" w:hAnsi="Times New Roman"/>
        </w:rPr>
        <w:t>3</w:t>
      </w:r>
      <w:r>
        <w:rPr>
          <w:rFonts w:ascii="Times New Roman" w:hAnsi="Times New Roman"/>
        </w:rPr>
        <w:t>.2营运期采取的生态保护措施</w:t>
      </w:r>
    </w:p>
    <w:p>
      <w:pPr>
        <w:pStyle w:val="107"/>
        <w:rPr>
          <w:rFonts w:eastAsia="宋体"/>
        </w:rPr>
      </w:pPr>
      <w:r>
        <w:rPr>
          <w:rFonts w:eastAsia="宋体"/>
        </w:rPr>
        <w:t xml:space="preserve">    运营期采取的生态保护措施见表</w:t>
      </w:r>
      <w:r>
        <w:t>6.</w:t>
      </w:r>
      <w:r>
        <w:rPr>
          <w:rFonts w:hint="eastAsia"/>
        </w:rPr>
        <w:t>3</w:t>
      </w:r>
      <w:r>
        <w:t>-2</w:t>
      </w:r>
      <w:r>
        <w:rPr>
          <w:rFonts w:eastAsia="宋体"/>
        </w:rPr>
        <w:t>。</w:t>
      </w:r>
    </w:p>
    <w:p>
      <w:pPr>
        <w:pStyle w:val="107"/>
        <w:adjustRightInd w:val="0"/>
        <w:snapToGrid w:val="0"/>
        <w:spacing w:line="240" w:lineRule="auto"/>
        <w:rPr>
          <w:rFonts w:eastAsia="黑体"/>
          <w:bCs/>
          <w:sz w:val="22"/>
          <w:szCs w:val="22"/>
        </w:rPr>
      </w:pPr>
      <w:r>
        <w:rPr>
          <w:rFonts w:eastAsia="黑体"/>
          <w:bCs/>
          <w:sz w:val="22"/>
          <w:szCs w:val="22"/>
        </w:rPr>
        <w:t xml:space="preserve">    表6.</w:t>
      </w:r>
      <w:r>
        <w:rPr>
          <w:rFonts w:hint="eastAsia" w:eastAsia="黑体"/>
          <w:bCs/>
          <w:sz w:val="22"/>
          <w:szCs w:val="22"/>
        </w:rPr>
        <w:t>3</w:t>
      </w:r>
      <w:r>
        <w:rPr>
          <w:rFonts w:eastAsia="黑体"/>
          <w:bCs/>
          <w:sz w:val="22"/>
          <w:szCs w:val="22"/>
        </w:rPr>
        <w:t>-2           工程采取的生态保护措施及落实情况一览表</w:t>
      </w:r>
    </w:p>
    <w:tbl>
      <w:tblPr>
        <w:tblStyle w:val="54"/>
        <w:tblW w:w="852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0"/>
        <w:gridCol w:w="3169"/>
        <w:gridCol w:w="2765"/>
        <w:gridCol w:w="14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1120" w:type="dxa"/>
            <w:vAlign w:val="center"/>
          </w:tcPr>
          <w:p>
            <w:pPr>
              <w:pStyle w:val="135"/>
              <w:jc w:val="center"/>
              <w:rPr>
                <w:rFonts w:hAnsi="Times New Roman"/>
              </w:rPr>
            </w:pPr>
            <w:bookmarkStart w:id="736" w:name="_Toc406504257"/>
            <w:bookmarkStart w:id="737" w:name="_Toc407217405"/>
            <w:bookmarkStart w:id="738" w:name="_Toc407153539"/>
            <w:bookmarkStart w:id="739" w:name="_Toc420663727"/>
            <w:r>
              <w:rPr>
                <w:rFonts w:hAnsi="Times New Roman"/>
              </w:rPr>
              <w:t>环境保护要素</w:t>
            </w:r>
          </w:p>
        </w:tc>
        <w:tc>
          <w:tcPr>
            <w:tcW w:w="3169" w:type="dxa"/>
            <w:vAlign w:val="center"/>
          </w:tcPr>
          <w:p>
            <w:pPr>
              <w:pStyle w:val="135"/>
              <w:jc w:val="center"/>
              <w:rPr>
                <w:rFonts w:hAnsi="Times New Roman"/>
              </w:rPr>
            </w:pPr>
            <w:r>
              <w:rPr>
                <w:rFonts w:hAnsi="Times New Roman"/>
              </w:rPr>
              <w:t>环评提出的治理或处置措施</w:t>
            </w:r>
          </w:p>
        </w:tc>
        <w:tc>
          <w:tcPr>
            <w:tcW w:w="2765" w:type="dxa"/>
            <w:vAlign w:val="center"/>
          </w:tcPr>
          <w:p>
            <w:pPr>
              <w:pStyle w:val="135"/>
              <w:jc w:val="center"/>
              <w:rPr>
                <w:rFonts w:hAnsi="Times New Roman"/>
              </w:rPr>
            </w:pPr>
            <w:r>
              <w:rPr>
                <w:rFonts w:hAnsi="Times New Roman"/>
              </w:rPr>
              <w:t>工程实际采取的环保措施情况</w:t>
            </w:r>
          </w:p>
        </w:tc>
        <w:tc>
          <w:tcPr>
            <w:tcW w:w="1474" w:type="dxa"/>
            <w:vAlign w:val="center"/>
          </w:tcPr>
          <w:p>
            <w:pPr>
              <w:pStyle w:val="135"/>
              <w:jc w:val="center"/>
              <w:rPr>
                <w:rFonts w:hAnsi="Times New Roman"/>
              </w:rPr>
            </w:pPr>
            <w:r>
              <w:rPr>
                <w:rFonts w:hAnsi="Times New Roman"/>
              </w:rPr>
              <w:t>落实情况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1120" w:type="dxa"/>
            <w:vAlign w:val="center"/>
          </w:tcPr>
          <w:p>
            <w:pPr>
              <w:jc w:val="center"/>
              <w:rPr>
                <w:sz w:val="20"/>
                <w:szCs w:val="20"/>
              </w:rPr>
            </w:pPr>
            <w:r>
              <w:rPr>
                <w:sz w:val="20"/>
                <w:szCs w:val="20"/>
              </w:rPr>
              <w:t>塌陷区</w:t>
            </w:r>
          </w:p>
        </w:tc>
        <w:tc>
          <w:tcPr>
            <w:tcW w:w="3169" w:type="dxa"/>
            <w:vAlign w:val="center"/>
          </w:tcPr>
          <w:p>
            <w:pPr>
              <w:jc w:val="center"/>
              <w:rPr>
                <w:sz w:val="20"/>
                <w:szCs w:val="20"/>
              </w:rPr>
            </w:pPr>
            <w:r>
              <w:rPr>
                <w:kern w:val="0"/>
                <w:szCs w:val="21"/>
              </w:rPr>
              <w:t>对于发生的地面塌陷填充并平整场地覆土绿化，并加强地表岩石移动监测工作；</w:t>
            </w:r>
          </w:p>
        </w:tc>
        <w:tc>
          <w:tcPr>
            <w:tcW w:w="2765" w:type="dxa"/>
            <w:vAlign w:val="center"/>
          </w:tcPr>
          <w:p>
            <w:pPr>
              <w:jc w:val="center"/>
              <w:rPr>
                <w:sz w:val="20"/>
                <w:szCs w:val="20"/>
              </w:rPr>
            </w:pPr>
            <w:r>
              <w:rPr>
                <w:sz w:val="20"/>
                <w:szCs w:val="20"/>
              </w:rPr>
              <w:t>尚未出现新的塌陷区，已设置岩石移动监测设施</w:t>
            </w:r>
          </w:p>
        </w:tc>
        <w:tc>
          <w:tcPr>
            <w:tcW w:w="1474" w:type="dxa"/>
            <w:vAlign w:val="center"/>
          </w:tcPr>
          <w:p>
            <w:pPr>
              <w:jc w:val="center"/>
              <w:rPr>
                <w:sz w:val="20"/>
                <w:szCs w:val="20"/>
              </w:rPr>
            </w:pPr>
            <w:r>
              <w:rPr>
                <w:sz w:val="20"/>
                <w:szCs w:val="20"/>
              </w:rPr>
              <w:t>已落实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09" w:hRule="atLeast"/>
          <w:jc w:val="center"/>
        </w:trPr>
        <w:tc>
          <w:tcPr>
            <w:tcW w:w="1120" w:type="dxa"/>
            <w:vAlign w:val="center"/>
          </w:tcPr>
          <w:p>
            <w:pPr>
              <w:jc w:val="center"/>
              <w:rPr>
                <w:sz w:val="20"/>
                <w:szCs w:val="20"/>
              </w:rPr>
            </w:pPr>
            <w:r>
              <w:rPr>
                <w:sz w:val="20"/>
                <w:szCs w:val="20"/>
              </w:rPr>
              <w:t>工业场地</w:t>
            </w:r>
          </w:p>
        </w:tc>
        <w:tc>
          <w:tcPr>
            <w:tcW w:w="3169" w:type="dxa"/>
            <w:vAlign w:val="center"/>
          </w:tcPr>
          <w:p>
            <w:pPr>
              <w:jc w:val="center"/>
              <w:rPr>
                <w:spacing w:val="-4"/>
                <w:sz w:val="20"/>
                <w:szCs w:val="20"/>
              </w:rPr>
            </w:pPr>
            <w:r>
              <w:rPr>
                <w:kern w:val="0"/>
                <w:szCs w:val="21"/>
              </w:rPr>
              <w:t>留有足够的矿柱支撑采空区顶底板，矿柱不得回收，并加强地表岩石移动监测工作；</w:t>
            </w:r>
          </w:p>
        </w:tc>
        <w:tc>
          <w:tcPr>
            <w:tcW w:w="2765" w:type="dxa"/>
            <w:vAlign w:val="center"/>
          </w:tcPr>
          <w:p>
            <w:pPr>
              <w:jc w:val="center"/>
              <w:rPr>
                <w:spacing w:val="-4"/>
                <w:sz w:val="20"/>
                <w:szCs w:val="20"/>
              </w:rPr>
            </w:pPr>
            <w:r>
              <w:rPr>
                <w:kern w:val="0"/>
                <w:szCs w:val="21"/>
              </w:rPr>
              <w:t>留有足够的矿柱支撑采空区顶底板，加强地表岩石移动监测工作；</w:t>
            </w:r>
          </w:p>
        </w:tc>
        <w:tc>
          <w:tcPr>
            <w:tcW w:w="1474" w:type="dxa"/>
            <w:vAlign w:val="center"/>
          </w:tcPr>
          <w:p>
            <w:pPr>
              <w:jc w:val="center"/>
              <w:rPr>
                <w:sz w:val="20"/>
                <w:szCs w:val="20"/>
              </w:rPr>
            </w:pPr>
            <w:r>
              <w:rPr>
                <w:sz w:val="20"/>
                <w:szCs w:val="20"/>
              </w:rPr>
              <w:t>已落实</w:t>
            </w:r>
          </w:p>
        </w:tc>
      </w:tr>
    </w:tbl>
    <w:p>
      <w:pPr>
        <w:pStyle w:val="10"/>
        <w:spacing w:beforeLines="50" w:line="360" w:lineRule="auto"/>
        <w:rPr>
          <w:rFonts w:ascii="Times New Roman" w:hAnsi="Times New Roman"/>
        </w:rPr>
      </w:pPr>
      <w:bookmarkStart w:id="740" w:name="_Toc464290391"/>
      <w:r>
        <w:rPr>
          <w:rFonts w:ascii="Times New Roman" w:hAnsi="Times New Roman"/>
        </w:rPr>
        <w:t>6.</w:t>
      </w:r>
      <w:r>
        <w:rPr>
          <w:rFonts w:hint="eastAsia" w:ascii="Times New Roman" w:hAnsi="Times New Roman"/>
        </w:rPr>
        <w:t>3</w:t>
      </w:r>
      <w:r>
        <w:rPr>
          <w:rFonts w:ascii="Times New Roman" w:hAnsi="Times New Roman"/>
        </w:rPr>
        <w:t>.3服务期满后生态恢复措施</w:t>
      </w:r>
      <w:bookmarkEnd w:id="736"/>
      <w:bookmarkEnd w:id="737"/>
      <w:bookmarkEnd w:id="738"/>
      <w:bookmarkEnd w:id="739"/>
      <w:bookmarkEnd w:id="740"/>
    </w:p>
    <w:p>
      <w:pPr>
        <w:spacing w:line="360" w:lineRule="auto"/>
        <w:ind w:firstLine="480" w:firstLineChars="200"/>
        <w:rPr>
          <w:sz w:val="24"/>
          <w:lang w:val="zh-CN"/>
        </w:rPr>
      </w:pPr>
      <w:r>
        <w:rPr>
          <w:sz w:val="24"/>
          <w:lang w:val="zh-CN"/>
        </w:rPr>
        <w:t>服务期满后，建设单位应根据实际情况制定矿区生态恢复的工作计划，明确责任部门和责任人，明确恢复要求，落实相应资金等，按照有关要求及时对本次开采造成的生态问题进行恢复，具体措施见表6.</w:t>
      </w:r>
      <w:r>
        <w:rPr>
          <w:rFonts w:hint="eastAsia"/>
          <w:sz w:val="24"/>
          <w:lang w:val="zh-CN"/>
        </w:rPr>
        <w:t>3</w:t>
      </w:r>
      <w:r>
        <w:rPr>
          <w:sz w:val="24"/>
          <w:lang w:val="zh-CN"/>
        </w:rPr>
        <w:t>-3。</w:t>
      </w:r>
    </w:p>
    <w:p>
      <w:pPr>
        <w:spacing w:line="500" w:lineRule="exact"/>
        <w:ind w:firstLine="600" w:firstLineChars="250"/>
        <w:rPr>
          <w:rFonts w:eastAsia="黑体"/>
          <w:bCs/>
          <w:kern w:val="0"/>
          <w:sz w:val="24"/>
        </w:rPr>
      </w:pPr>
      <w:bookmarkStart w:id="741" w:name="_Toc173284108"/>
      <w:bookmarkStart w:id="742" w:name="_Toc173147958"/>
      <w:r>
        <w:rPr>
          <w:rFonts w:eastAsia="黑体"/>
          <w:bCs/>
          <w:sz w:val="24"/>
        </w:rPr>
        <w:t>表6.</w:t>
      </w:r>
      <w:r>
        <w:rPr>
          <w:rFonts w:hint="eastAsia" w:eastAsia="黑体"/>
          <w:bCs/>
          <w:sz w:val="24"/>
        </w:rPr>
        <w:t>3</w:t>
      </w:r>
      <w:r>
        <w:rPr>
          <w:rFonts w:eastAsia="黑体"/>
          <w:bCs/>
          <w:sz w:val="24"/>
        </w:rPr>
        <w:t xml:space="preserve">-3          </w:t>
      </w:r>
      <w:r>
        <w:rPr>
          <w:rFonts w:eastAsia="黑体"/>
          <w:bCs/>
          <w:kern w:val="0"/>
          <w:sz w:val="24"/>
        </w:rPr>
        <w:t>闭矿期生物恢复措施一览表</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7"/>
        <w:gridCol w:w="865"/>
        <w:gridCol w:w="812"/>
        <w:gridCol w:w="923"/>
        <w:gridCol w:w="662"/>
        <w:gridCol w:w="2773"/>
        <w:gridCol w:w="926"/>
        <w:gridCol w:w="580"/>
        <w:gridCol w:w="5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272" w:type="dxa"/>
            <w:gridSpan w:val="2"/>
            <w:shd w:val="clear" w:color="auto" w:fill="auto"/>
            <w:vAlign w:val="center"/>
          </w:tcPr>
          <w:p>
            <w:pPr>
              <w:widowControl/>
              <w:spacing w:line="240" w:lineRule="exact"/>
              <w:ind w:left="-42" w:leftChars="-20" w:right="-105" w:rightChars="-50"/>
              <w:jc w:val="center"/>
              <w:rPr>
                <w:rFonts w:eastAsiaTheme="minorEastAsia"/>
                <w:kern w:val="0"/>
                <w:sz w:val="20"/>
                <w:szCs w:val="20"/>
              </w:rPr>
            </w:pPr>
            <w:bookmarkStart w:id="743" w:name="OLE_LINK20"/>
            <w:bookmarkStart w:id="744" w:name="OLE_LINK21"/>
            <w:r>
              <w:rPr>
                <w:rFonts w:eastAsiaTheme="minorEastAsia"/>
                <w:kern w:val="0"/>
                <w:sz w:val="20"/>
                <w:szCs w:val="20"/>
              </w:rPr>
              <w:t>占地用途</w:t>
            </w:r>
          </w:p>
        </w:tc>
        <w:tc>
          <w:tcPr>
            <w:tcW w:w="812" w:type="dxa"/>
            <w:vMerge w:val="restart"/>
            <w:shd w:val="clear" w:color="auto" w:fill="auto"/>
            <w:vAlign w:val="center"/>
          </w:tcPr>
          <w:p>
            <w:pPr>
              <w:widowControl/>
              <w:spacing w:line="240" w:lineRule="exact"/>
              <w:ind w:left="-42" w:leftChars="-20" w:right="-105" w:rightChars="-50"/>
              <w:jc w:val="center"/>
              <w:rPr>
                <w:rFonts w:eastAsiaTheme="minorEastAsia"/>
                <w:kern w:val="0"/>
                <w:sz w:val="20"/>
                <w:szCs w:val="20"/>
              </w:rPr>
            </w:pPr>
            <w:r>
              <w:rPr>
                <w:rFonts w:eastAsiaTheme="minorEastAsia"/>
                <w:kern w:val="0"/>
                <w:sz w:val="20"/>
                <w:szCs w:val="20"/>
              </w:rPr>
              <w:t>占地面积</w:t>
            </w:r>
          </w:p>
          <w:p>
            <w:pPr>
              <w:spacing w:line="240" w:lineRule="exact"/>
              <w:ind w:left="-42" w:leftChars="-20" w:right="-105" w:rightChars="-50"/>
              <w:jc w:val="center"/>
              <w:rPr>
                <w:rFonts w:eastAsiaTheme="minorEastAsia"/>
                <w:kern w:val="0"/>
                <w:sz w:val="20"/>
                <w:szCs w:val="20"/>
              </w:rPr>
            </w:pPr>
            <w:r>
              <w:rPr>
                <w:rFonts w:eastAsiaTheme="minorEastAsia"/>
                <w:kern w:val="0"/>
                <w:sz w:val="20"/>
                <w:szCs w:val="20"/>
              </w:rPr>
              <w:t>(m</w:t>
            </w:r>
            <w:r>
              <w:rPr>
                <w:rFonts w:eastAsiaTheme="minorEastAsia"/>
                <w:kern w:val="0"/>
                <w:sz w:val="20"/>
                <w:szCs w:val="20"/>
                <w:vertAlign w:val="superscript"/>
              </w:rPr>
              <w:t>2</w:t>
            </w:r>
            <w:r>
              <w:rPr>
                <w:rFonts w:eastAsiaTheme="minorEastAsia"/>
                <w:kern w:val="0"/>
                <w:sz w:val="20"/>
                <w:szCs w:val="20"/>
              </w:rPr>
              <w:t>)</w:t>
            </w:r>
          </w:p>
        </w:tc>
        <w:tc>
          <w:tcPr>
            <w:tcW w:w="923" w:type="dxa"/>
            <w:vMerge w:val="restart"/>
            <w:shd w:val="clear" w:color="auto" w:fill="auto"/>
            <w:vAlign w:val="center"/>
          </w:tcPr>
          <w:p>
            <w:pPr>
              <w:spacing w:line="240" w:lineRule="exact"/>
              <w:ind w:left="-42" w:leftChars="-20" w:right="-105" w:rightChars="-50"/>
              <w:jc w:val="center"/>
              <w:rPr>
                <w:rFonts w:eastAsiaTheme="minorEastAsia"/>
                <w:kern w:val="0"/>
                <w:sz w:val="20"/>
                <w:szCs w:val="20"/>
              </w:rPr>
            </w:pPr>
            <w:r>
              <w:rPr>
                <w:rFonts w:eastAsiaTheme="minorEastAsia"/>
                <w:kern w:val="0"/>
                <w:sz w:val="20"/>
                <w:szCs w:val="20"/>
              </w:rPr>
              <w:t>可恢复面积(m</w:t>
            </w:r>
            <w:r>
              <w:rPr>
                <w:rFonts w:eastAsiaTheme="minorEastAsia"/>
                <w:kern w:val="0"/>
                <w:sz w:val="20"/>
                <w:szCs w:val="20"/>
                <w:vertAlign w:val="superscript"/>
              </w:rPr>
              <w:t>2</w:t>
            </w:r>
            <w:r>
              <w:rPr>
                <w:rFonts w:eastAsiaTheme="minorEastAsia"/>
                <w:kern w:val="0"/>
                <w:sz w:val="20"/>
                <w:szCs w:val="20"/>
              </w:rPr>
              <w:t>)</w:t>
            </w:r>
          </w:p>
        </w:tc>
        <w:tc>
          <w:tcPr>
            <w:tcW w:w="662" w:type="dxa"/>
            <w:vMerge w:val="restart"/>
            <w:shd w:val="clear" w:color="auto" w:fill="auto"/>
            <w:vAlign w:val="center"/>
          </w:tcPr>
          <w:p>
            <w:pPr>
              <w:widowControl/>
              <w:spacing w:line="240" w:lineRule="exact"/>
              <w:ind w:left="-42" w:leftChars="-20" w:right="-105" w:rightChars="-50"/>
              <w:jc w:val="center"/>
              <w:rPr>
                <w:rFonts w:eastAsiaTheme="minorEastAsia"/>
                <w:kern w:val="0"/>
                <w:sz w:val="20"/>
                <w:szCs w:val="20"/>
              </w:rPr>
            </w:pPr>
            <w:r>
              <w:rPr>
                <w:rFonts w:eastAsiaTheme="minorEastAsia"/>
                <w:kern w:val="0"/>
                <w:sz w:val="20"/>
                <w:szCs w:val="20"/>
              </w:rPr>
              <w:t>恢复率</w:t>
            </w:r>
          </w:p>
          <w:p>
            <w:pPr>
              <w:spacing w:line="240" w:lineRule="exact"/>
              <w:ind w:left="-42" w:leftChars="-20" w:right="-105" w:rightChars="-50"/>
              <w:jc w:val="center"/>
              <w:rPr>
                <w:rFonts w:eastAsiaTheme="minorEastAsia"/>
                <w:kern w:val="0"/>
                <w:sz w:val="20"/>
                <w:szCs w:val="20"/>
              </w:rPr>
            </w:pPr>
            <w:r>
              <w:rPr>
                <w:rFonts w:eastAsiaTheme="minorEastAsia"/>
                <w:kern w:val="0"/>
                <w:sz w:val="20"/>
                <w:szCs w:val="20"/>
              </w:rPr>
              <w:t>(%)</w:t>
            </w:r>
          </w:p>
        </w:tc>
        <w:tc>
          <w:tcPr>
            <w:tcW w:w="2773" w:type="dxa"/>
            <w:vMerge w:val="restart"/>
            <w:shd w:val="clear" w:color="auto" w:fill="auto"/>
            <w:vAlign w:val="center"/>
          </w:tcPr>
          <w:p>
            <w:pPr>
              <w:spacing w:line="240" w:lineRule="exact"/>
              <w:ind w:left="-42" w:leftChars="-20" w:right="-105" w:rightChars="-50"/>
              <w:jc w:val="center"/>
              <w:rPr>
                <w:rFonts w:eastAsiaTheme="minorEastAsia"/>
                <w:kern w:val="0"/>
                <w:sz w:val="20"/>
                <w:szCs w:val="20"/>
              </w:rPr>
            </w:pPr>
            <w:r>
              <w:rPr>
                <w:rFonts w:eastAsiaTheme="minorEastAsia"/>
                <w:kern w:val="0"/>
                <w:sz w:val="20"/>
                <w:szCs w:val="20"/>
              </w:rPr>
              <w:t>主要工程内容</w:t>
            </w:r>
          </w:p>
        </w:tc>
        <w:tc>
          <w:tcPr>
            <w:tcW w:w="926" w:type="dxa"/>
            <w:vMerge w:val="restart"/>
            <w:shd w:val="clear" w:color="auto" w:fill="auto"/>
            <w:vAlign w:val="center"/>
          </w:tcPr>
          <w:p>
            <w:pPr>
              <w:widowControl/>
              <w:spacing w:line="240" w:lineRule="exact"/>
              <w:ind w:left="-42" w:leftChars="-20" w:right="-105" w:rightChars="-50"/>
              <w:jc w:val="center"/>
              <w:rPr>
                <w:rFonts w:eastAsiaTheme="minorEastAsia"/>
                <w:kern w:val="0"/>
                <w:sz w:val="20"/>
                <w:szCs w:val="20"/>
              </w:rPr>
            </w:pPr>
            <w:r>
              <w:rPr>
                <w:rFonts w:eastAsiaTheme="minorEastAsia"/>
                <w:kern w:val="0"/>
                <w:sz w:val="20"/>
                <w:szCs w:val="20"/>
              </w:rPr>
              <w:t>恢复</w:t>
            </w:r>
          </w:p>
          <w:p>
            <w:pPr>
              <w:spacing w:line="240" w:lineRule="exact"/>
              <w:ind w:left="-42" w:leftChars="-20" w:right="-105" w:rightChars="-50"/>
              <w:jc w:val="center"/>
              <w:rPr>
                <w:rFonts w:eastAsiaTheme="minorEastAsia"/>
                <w:kern w:val="0"/>
                <w:sz w:val="20"/>
                <w:szCs w:val="20"/>
              </w:rPr>
            </w:pPr>
            <w:r>
              <w:rPr>
                <w:rFonts w:eastAsiaTheme="minorEastAsia"/>
                <w:kern w:val="0"/>
                <w:sz w:val="20"/>
                <w:szCs w:val="20"/>
              </w:rPr>
              <w:t>属性</w:t>
            </w:r>
          </w:p>
        </w:tc>
        <w:tc>
          <w:tcPr>
            <w:tcW w:w="580" w:type="dxa"/>
            <w:vMerge w:val="restart"/>
            <w:vAlign w:val="center"/>
          </w:tcPr>
          <w:p>
            <w:pPr>
              <w:widowControl/>
              <w:spacing w:line="240" w:lineRule="exact"/>
              <w:ind w:left="-42" w:leftChars="-20" w:right="-105" w:rightChars="-50"/>
              <w:jc w:val="center"/>
              <w:rPr>
                <w:rFonts w:eastAsiaTheme="minorEastAsia"/>
                <w:kern w:val="0"/>
                <w:sz w:val="20"/>
                <w:szCs w:val="20"/>
              </w:rPr>
            </w:pPr>
            <w:r>
              <w:rPr>
                <w:rFonts w:eastAsiaTheme="minorEastAsia"/>
                <w:kern w:val="0"/>
                <w:sz w:val="20"/>
                <w:szCs w:val="20"/>
              </w:rPr>
              <w:t>责任单位</w:t>
            </w:r>
          </w:p>
        </w:tc>
        <w:tc>
          <w:tcPr>
            <w:tcW w:w="580" w:type="dxa"/>
            <w:vMerge w:val="restart"/>
            <w:vAlign w:val="center"/>
          </w:tcPr>
          <w:p>
            <w:pPr>
              <w:widowControl/>
              <w:spacing w:line="240" w:lineRule="exact"/>
              <w:ind w:left="-42" w:leftChars="-20" w:right="-105" w:rightChars="-50"/>
              <w:jc w:val="center"/>
              <w:rPr>
                <w:rFonts w:eastAsiaTheme="minorEastAsia"/>
                <w:kern w:val="0"/>
                <w:sz w:val="20"/>
                <w:szCs w:val="20"/>
              </w:rPr>
            </w:pPr>
            <w:r>
              <w:rPr>
                <w:rFonts w:eastAsiaTheme="minorEastAsia"/>
                <w:kern w:val="0"/>
                <w:sz w:val="20"/>
                <w:szCs w:val="20"/>
              </w:rPr>
              <w:t>预计投资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07" w:type="dxa"/>
            <w:shd w:val="clear" w:color="auto" w:fill="auto"/>
            <w:vAlign w:val="center"/>
          </w:tcPr>
          <w:p>
            <w:pPr>
              <w:widowControl/>
              <w:spacing w:line="240" w:lineRule="exact"/>
              <w:ind w:left="-42" w:leftChars="-20" w:right="-105" w:rightChars="-50"/>
              <w:rPr>
                <w:rFonts w:eastAsiaTheme="minorEastAsia"/>
                <w:kern w:val="0"/>
                <w:sz w:val="20"/>
                <w:szCs w:val="20"/>
              </w:rPr>
            </w:pPr>
            <w:r>
              <w:rPr>
                <w:rFonts w:eastAsiaTheme="minorEastAsia"/>
                <w:kern w:val="0"/>
                <w:sz w:val="20"/>
                <w:szCs w:val="20"/>
              </w:rPr>
              <w:t>采区</w:t>
            </w:r>
          </w:p>
        </w:tc>
        <w:tc>
          <w:tcPr>
            <w:tcW w:w="865" w:type="dxa"/>
            <w:shd w:val="clear" w:color="auto" w:fill="auto"/>
            <w:vAlign w:val="center"/>
          </w:tcPr>
          <w:p>
            <w:pPr>
              <w:widowControl/>
              <w:spacing w:line="240" w:lineRule="exact"/>
              <w:ind w:left="-42" w:leftChars="-20" w:right="-105" w:rightChars="-50"/>
              <w:jc w:val="center"/>
              <w:rPr>
                <w:rFonts w:eastAsiaTheme="minorEastAsia"/>
                <w:kern w:val="0"/>
                <w:sz w:val="20"/>
                <w:szCs w:val="20"/>
              </w:rPr>
            </w:pPr>
            <w:r>
              <w:rPr>
                <w:rFonts w:eastAsiaTheme="minorEastAsia"/>
                <w:kern w:val="0"/>
                <w:sz w:val="20"/>
                <w:szCs w:val="20"/>
              </w:rPr>
              <w:t>用途</w:t>
            </w:r>
          </w:p>
        </w:tc>
        <w:tc>
          <w:tcPr>
            <w:tcW w:w="812" w:type="dxa"/>
            <w:vMerge w:val="continue"/>
            <w:shd w:val="clear" w:color="auto" w:fill="auto"/>
            <w:vAlign w:val="center"/>
          </w:tcPr>
          <w:p>
            <w:pPr>
              <w:widowControl/>
              <w:spacing w:line="240" w:lineRule="exact"/>
              <w:ind w:left="-42" w:leftChars="-20" w:right="-105" w:rightChars="-50"/>
              <w:rPr>
                <w:rFonts w:eastAsiaTheme="minorEastAsia"/>
                <w:kern w:val="0"/>
                <w:sz w:val="20"/>
                <w:szCs w:val="20"/>
              </w:rPr>
            </w:pPr>
          </w:p>
        </w:tc>
        <w:tc>
          <w:tcPr>
            <w:tcW w:w="923" w:type="dxa"/>
            <w:vMerge w:val="continue"/>
            <w:shd w:val="clear" w:color="auto" w:fill="auto"/>
            <w:vAlign w:val="center"/>
          </w:tcPr>
          <w:p>
            <w:pPr>
              <w:widowControl/>
              <w:spacing w:line="240" w:lineRule="exact"/>
              <w:ind w:left="-42" w:leftChars="-20" w:right="-105" w:rightChars="-50"/>
              <w:rPr>
                <w:rFonts w:eastAsiaTheme="minorEastAsia"/>
                <w:kern w:val="0"/>
                <w:sz w:val="20"/>
                <w:szCs w:val="20"/>
              </w:rPr>
            </w:pPr>
          </w:p>
        </w:tc>
        <w:tc>
          <w:tcPr>
            <w:tcW w:w="662" w:type="dxa"/>
            <w:vMerge w:val="continue"/>
            <w:tcBorders>
              <w:bottom w:val="single" w:color="auto" w:sz="2" w:space="0"/>
            </w:tcBorders>
            <w:shd w:val="clear" w:color="auto" w:fill="auto"/>
            <w:vAlign w:val="center"/>
          </w:tcPr>
          <w:p>
            <w:pPr>
              <w:widowControl/>
              <w:spacing w:line="240" w:lineRule="exact"/>
              <w:ind w:left="-42" w:leftChars="-20" w:right="-105" w:rightChars="-50"/>
              <w:rPr>
                <w:rFonts w:eastAsiaTheme="minorEastAsia"/>
                <w:kern w:val="0"/>
                <w:sz w:val="20"/>
                <w:szCs w:val="20"/>
              </w:rPr>
            </w:pPr>
          </w:p>
        </w:tc>
        <w:tc>
          <w:tcPr>
            <w:tcW w:w="2773" w:type="dxa"/>
            <w:vMerge w:val="continue"/>
            <w:shd w:val="clear" w:color="auto" w:fill="auto"/>
            <w:vAlign w:val="center"/>
          </w:tcPr>
          <w:p>
            <w:pPr>
              <w:widowControl/>
              <w:spacing w:line="240" w:lineRule="exact"/>
              <w:ind w:left="-42" w:leftChars="-20" w:right="-105" w:rightChars="-50"/>
              <w:rPr>
                <w:rFonts w:eastAsiaTheme="minorEastAsia"/>
                <w:kern w:val="0"/>
                <w:sz w:val="20"/>
                <w:szCs w:val="20"/>
              </w:rPr>
            </w:pPr>
          </w:p>
        </w:tc>
        <w:tc>
          <w:tcPr>
            <w:tcW w:w="926" w:type="dxa"/>
            <w:vMerge w:val="continue"/>
            <w:shd w:val="clear" w:color="auto" w:fill="auto"/>
            <w:vAlign w:val="center"/>
          </w:tcPr>
          <w:p>
            <w:pPr>
              <w:widowControl/>
              <w:spacing w:line="240" w:lineRule="exact"/>
              <w:ind w:left="-42" w:leftChars="-20" w:right="-105" w:rightChars="-50"/>
              <w:jc w:val="center"/>
              <w:rPr>
                <w:rFonts w:eastAsiaTheme="minorEastAsia"/>
                <w:kern w:val="0"/>
                <w:sz w:val="20"/>
                <w:szCs w:val="20"/>
              </w:rPr>
            </w:pPr>
          </w:p>
        </w:tc>
        <w:tc>
          <w:tcPr>
            <w:tcW w:w="580" w:type="dxa"/>
            <w:vMerge w:val="continue"/>
            <w:vAlign w:val="center"/>
          </w:tcPr>
          <w:p>
            <w:pPr>
              <w:widowControl/>
              <w:spacing w:line="240" w:lineRule="exact"/>
              <w:ind w:left="-42" w:leftChars="-20" w:right="-105" w:rightChars="-50"/>
              <w:jc w:val="center"/>
              <w:rPr>
                <w:rFonts w:eastAsiaTheme="minorEastAsia"/>
                <w:kern w:val="0"/>
                <w:sz w:val="20"/>
                <w:szCs w:val="20"/>
              </w:rPr>
            </w:pPr>
          </w:p>
        </w:tc>
        <w:tc>
          <w:tcPr>
            <w:tcW w:w="580" w:type="dxa"/>
            <w:vMerge w:val="continue"/>
            <w:vAlign w:val="center"/>
          </w:tcPr>
          <w:p>
            <w:pPr>
              <w:widowControl/>
              <w:spacing w:line="240" w:lineRule="exact"/>
              <w:ind w:left="-42" w:leftChars="-20" w:right="-105" w:rightChars="-50"/>
              <w:jc w:val="center"/>
              <w:rPr>
                <w:rFonts w:eastAsiaTheme="minorEastAsia"/>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9" w:hRule="atLeast"/>
        </w:trPr>
        <w:tc>
          <w:tcPr>
            <w:tcW w:w="407" w:type="dxa"/>
            <w:vMerge w:val="restart"/>
            <w:shd w:val="clear" w:color="auto" w:fill="auto"/>
            <w:vAlign w:val="center"/>
          </w:tcPr>
          <w:p>
            <w:pPr>
              <w:widowControl/>
              <w:spacing w:line="240" w:lineRule="exact"/>
              <w:ind w:left="-42" w:leftChars="-20" w:right="-50"/>
              <w:rPr>
                <w:rFonts w:eastAsiaTheme="minorEastAsia"/>
                <w:kern w:val="0"/>
                <w:sz w:val="20"/>
                <w:szCs w:val="20"/>
              </w:rPr>
            </w:pPr>
            <w:r>
              <w:rPr>
                <w:rFonts w:eastAsiaTheme="minorEastAsia"/>
                <w:kern w:val="0"/>
                <w:sz w:val="20"/>
                <w:szCs w:val="20"/>
              </w:rPr>
              <w:t>采矿</w:t>
            </w:r>
          </w:p>
        </w:tc>
        <w:tc>
          <w:tcPr>
            <w:tcW w:w="865"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塌陷区</w:t>
            </w:r>
          </w:p>
        </w:tc>
        <w:tc>
          <w:tcPr>
            <w:tcW w:w="81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hint="eastAsia" w:eastAsiaTheme="minorEastAsia"/>
                <w:kern w:val="0"/>
                <w:sz w:val="20"/>
                <w:szCs w:val="20"/>
              </w:rPr>
              <w:t>11000</w:t>
            </w:r>
          </w:p>
        </w:tc>
        <w:tc>
          <w:tcPr>
            <w:tcW w:w="923"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hint="eastAsia" w:eastAsiaTheme="minorEastAsia"/>
                <w:kern w:val="0"/>
                <w:sz w:val="20"/>
                <w:szCs w:val="20"/>
              </w:rPr>
              <w:t>9900</w:t>
            </w:r>
          </w:p>
        </w:tc>
        <w:tc>
          <w:tcPr>
            <w:tcW w:w="66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90</w:t>
            </w:r>
          </w:p>
        </w:tc>
        <w:tc>
          <w:tcPr>
            <w:tcW w:w="2773" w:type="dxa"/>
            <w:tcBorders>
              <w:bottom w:val="single" w:color="auto" w:sz="2" w:space="0"/>
            </w:tcBorders>
            <w:shd w:val="clear" w:color="auto" w:fill="auto"/>
            <w:vAlign w:val="center"/>
          </w:tcPr>
          <w:p>
            <w:pPr>
              <w:spacing w:line="240" w:lineRule="exact"/>
              <w:ind w:left="-42" w:leftChars="-20" w:right="-50"/>
              <w:rPr>
                <w:rFonts w:eastAsiaTheme="minorEastAsia"/>
                <w:kern w:val="0"/>
                <w:sz w:val="20"/>
                <w:szCs w:val="20"/>
              </w:rPr>
            </w:pPr>
            <w:r>
              <w:rPr>
                <w:rFonts w:eastAsiaTheme="minorEastAsia"/>
                <w:kern w:val="0"/>
                <w:sz w:val="20"/>
                <w:szCs w:val="20"/>
              </w:rPr>
              <w:t>拆除设施，平整并覆土，封闭巷道和井口，实施生态恢复工程。</w:t>
            </w:r>
          </w:p>
        </w:tc>
        <w:tc>
          <w:tcPr>
            <w:tcW w:w="926" w:type="dxa"/>
            <w:vMerge w:val="restart"/>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林草地</w:t>
            </w:r>
          </w:p>
        </w:tc>
        <w:tc>
          <w:tcPr>
            <w:tcW w:w="580" w:type="dxa"/>
            <w:vMerge w:val="restart"/>
            <w:vAlign w:val="center"/>
          </w:tcPr>
          <w:p>
            <w:pPr>
              <w:jc w:val="center"/>
              <w:rPr>
                <w:rFonts w:eastAsiaTheme="minorEastAsia"/>
                <w:sz w:val="20"/>
                <w:szCs w:val="20"/>
              </w:rPr>
            </w:pPr>
            <w:r>
              <w:rPr>
                <w:rFonts w:eastAsiaTheme="minorEastAsia"/>
                <w:sz w:val="20"/>
                <w:szCs w:val="20"/>
              </w:rPr>
              <w:t>灵宝金源晨光有色矿冶有限公司</w:t>
            </w:r>
          </w:p>
        </w:tc>
        <w:tc>
          <w:tcPr>
            <w:tcW w:w="580" w:type="dxa"/>
            <w:vMerge w:val="restart"/>
            <w:vAlign w:val="center"/>
          </w:tcPr>
          <w:p>
            <w:pPr>
              <w:jc w:val="center"/>
              <w:rPr>
                <w:rFonts w:eastAsiaTheme="minorEastAsia"/>
                <w:sz w:val="20"/>
                <w:szCs w:val="20"/>
              </w:rPr>
            </w:pPr>
            <w:r>
              <w:rPr>
                <w:rFonts w:eastAsiaTheme="minorEastAsia"/>
                <w:sz w:val="20"/>
                <w:szCs w:val="20"/>
              </w:rPr>
              <w:t>520万元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3" w:hRule="atLeast"/>
        </w:trPr>
        <w:tc>
          <w:tcPr>
            <w:tcW w:w="407" w:type="dxa"/>
            <w:vMerge w:val="continue"/>
            <w:shd w:val="clear" w:color="auto" w:fill="auto"/>
            <w:vAlign w:val="center"/>
          </w:tcPr>
          <w:p>
            <w:pPr>
              <w:widowControl/>
              <w:spacing w:line="240" w:lineRule="exact"/>
              <w:ind w:left="-42" w:leftChars="-20" w:right="-50"/>
              <w:rPr>
                <w:rFonts w:eastAsiaTheme="minorEastAsia"/>
                <w:kern w:val="0"/>
                <w:sz w:val="20"/>
                <w:szCs w:val="20"/>
              </w:rPr>
            </w:pPr>
            <w:bookmarkStart w:id="745" w:name="_Hlk341086297"/>
          </w:p>
        </w:tc>
        <w:tc>
          <w:tcPr>
            <w:tcW w:w="865"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废石堆场(原有竖井+新建斜井）</w:t>
            </w:r>
          </w:p>
        </w:tc>
        <w:tc>
          <w:tcPr>
            <w:tcW w:w="81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124300</w:t>
            </w:r>
          </w:p>
        </w:tc>
        <w:tc>
          <w:tcPr>
            <w:tcW w:w="923" w:type="dxa"/>
            <w:shd w:val="clear" w:color="auto" w:fill="auto"/>
            <w:vAlign w:val="center"/>
          </w:tcPr>
          <w:p>
            <w:pPr>
              <w:jc w:val="center"/>
              <w:rPr>
                <w:rFonts w:eastAsiaTheme="minorEastAsia"/>
                <w:kern w:val="0"/>
                <w:sz w:val="20"/>
                <w:szCs w:val="20"/>
              </w:rPr>
            </w:pPr>
            <w:r>
              <w:rPr>
                <w:rFonts w:eastAsiaTheme="minorEastAsia"/>
                <w:kern w:val="0"/>
                <w:sz w:val="20"/>
                <w:szCs w:val="20"/>
              </w:rPr>
              <w:t>74340</w:t>
            </w:r>
          </w:p>
        </w:tc>
        <w:tc>
          <w:tcPr>
            <w:tcW w:w="66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90</w:t>
            </w:r>
          </w:p>
        </w:tc>
        <w:tc>
          <w:tcPr>
            <w:tcW w:w="2773" w:type="dxa"/>
            <w:tcBorders>
              <w:top w:val="single" w:color="auto" w:sz="2" w:space="0"/>
            </w:tcBorders>
            <w:shd w:val="clear" w:color="auto" w:fill="auto"/>
            <w:vAlign w:val="center"/>
          </w:tcPr>
          <w:p>
            <w:pPr>
              <w:spacing w:line="240" w:lineRule="exact"/>
              <w:ind w:left="-42" w:leftChars="-20" w:right="-50"/>
              <w:rPr>
                <w:rFonts w:eastAsiaTheme="minorEastAsia"/>
                <w:kern w:val="0"/>
                <w:sz w:val="20"/>
                <w:szCs w:val="20"/>
              </w:rPr>
            </w:pPr>
            <w:r>
              <w:rPr>
                <w:rFonts w:eastAsiaTheme="minorEastAsia"/>
                <w:kern w:val="0"/>
                <w:sz w:val="20"/>
                <w:szCs w:val="20"/>
              </w:rPr>
              <w:t>闭矿期，削坡、平整，覆土、生态恢复；</w:t>
            </w:r>
          </w:p>
        </w:tc>
        <w:tc>
          <w:tcPr>
            <w:tcW w:w="926" w:type="dxa"/>
            <w:vMerge w:val="continue"/>
            <w:shd w:val="clear" w:color="auto" w:fill="auto"/>
            <w:vAlign w:val="center"/>
          </w:tcPr>
          <w:p>
            <w:pPr>
              <w:widowControl/>
              <w:spacing w:line="240" w:lineRule="exact"/>
              <w:ind w:left="-42" w:leftChars="-20" w:right="-50"/>
              <w:jc w:val="center"/>
              <w:rPr>
                <w:rFonts w:eastAsiaTheme="minorEastAsia"/>
                <w:kern w:val="0"/>
                <w:sz w:val="20"/>
                <w:szCs w:val="20"/>
              </w:rPr>
            </w:pPr>
          </w:p>
        </w:tc>
        <w:tc>
          <w:tcPr>
            <w:tcW w:w="580" w:type="dxa"/>
            <w:vMerge w:val="continue"/>
          </w:tcPr>
          <w:p>
            <w:pPr>
              <w:widowControl/>
              <w:spacing w:line="240" w:lineRule="exact"/>
              <w:ind w:left="-42" w:leftChars="-20" w:right="-50"/>
              <w:rPr>
                <w:rFonts w:eastAsiaTheme="minorEastAsia"/>
                <w:kern w:val="0"/>
                <w:sz w:val="20"/>
                <w:szCs w:val="20"/>
              </w:rPr>
            </w:pPr>
          </w:p>
        </w:tc>
        <w:tc>
          <w:tcPr>
            <w:tcW w:w="580" w:type="dxa"/>
            <w:vMerge w:val="continue"/>
          </w:tcPr>
          <w:p>
            <w:pPr>
              <w:widowControl/>
              <w:spacing w:line="240" w:lineRule="exact"/>
              <w:ind w:left="-42" w:leftChars="-20" w:right="-50"/>
              <w:rPr>
                <w:rFonts w:eastAsiaTheme="minorEastAsia"/>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20" w:hRule="atLeast"/>
        </w:trPr>
        <w:tc>
          <w:tcPr>
            <w:tcW w:w="407" w:type="dxa"/>
            <w:vMerge w:val="continue"/>
            <w:shd w:val="clear" w:color="auto" w:fill="auto"/>
            <w:vAlign w:val="center"/>
          </w:tcPr>
          <w:p>
            <w:pPr>
              <w:widowControl/>
              <w:spacing w:line="240" w:lineRule="exact"/>
              <w:ind w:left="-42" w:leftChars="-20" w:right="-50"/>
              <w:rPr>
                <w:rFonts w:eastAsiaTheme="minorEastAsia"/>
                <w:kern w:val="0"/>
                <w:sz w:val="20"/>
                <w:szCs w:val="20"/>
              </w:rPr>
            </w:pPr>
          </w:p>
        </w:tc>
        <w:tc>
          <w:tcPr>
            <w:tcW w:w="865"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工广（20万t/a+15万t/a）</w:t>
            </w:r>
          </w:p>
        </w:tc>
        <w:tc>
          <w:tcPr>
            <w:tcW w:w="81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19200</w:t>
            </w:r>
          </w:p>
        </w:tc>
        <w:tc>
          <w:tcPr>
            <w:tcW w:w="923"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12096</w:t>
            </w:r>
          </w:p>
        </w:tc>
        <w:tc>
          <w:tcPr>
            <w:tcW w:w="66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70</w:t>
            </w:r>
          </w:p>
        </w:tc>
        <w:tc>
          <w:tcPr>
            <w:tcW w:w="2773" w:type="dxa"/>
            <w:shd w:val="clear" w:color="auto" w:fill="auto"/>
            <w:vAlign w:val="center"/>
          </w:tcPr>
          <w:p>
            <w:pPr>
              <w:widowControl/>
              <w:spacing w:line="240" w:lineRule="exact"/>
              <w:ind w:left="-42" w:leftChars="-20" w:right="-50"/>
              <w:rPr>
                <w:rFonts w:eastAsiaTheme="minorEastAsia"/>
                <w:kern w:val="0"/>
                <w:sz w:val="20"/>
                <w:szCs w:val="20"/>
              </w:rPr>
            </w:pPr>
            <w:r>
              <w:rPr>
                <w:rFonts w:eastAsiaTheme="minorEastAsia"/>
                <w:kern w:val="0"/>
                <w:sz w:val="20"/>
                <w:szCs w:val="20"/>
              </w:rPr>
              <w:t>闭矿期，平整，覆土、生态恢复</w:t>
            </w:r>
          </w:p>
        </w:tc>
        <w:tc>
          <w:tcPr>
            <w:tcW w:w="926" w:type="dxa"/>
            <w:shd w:val="clear" w:color="auto" w:fill="auto"/>
            <w:vAlign w:val="center"/>
          </w:tcPr>
          <w:p>
            <w:pPr>
              <w:spacing w:line="240" w:lineRule="exact"/>
              <w:jc w:val="center"/>
              <w:rPr>
                <w:rFonts w:eastAsiaTheme="minorEastAsia"/>
                <w:kern w:val="0"/>
                <w:sz w:val="20"/>
                <w:szCs w:val="20"/>
              </w:rPr>
            </w:pPr>
            <w:r>
              <w:rPr>
                <w:rFonts w:eastAsiaTheme="minorEastAsia"/>
                <w:kern w:val="0"/>
                <w:sz w:val="20"/>
                <w:szCs w:val="20"/>
              </w:rPr>
              <w:t>林草地</w:t>
            </w:r>
          </w:p>
        </w:tc>
        <w:tc>
          <w:tcPr>
            <w:tcW w:w="580" w:type="dxa"/>
            <w:vMerge w:val="continue"/>
          </w:tcPr>
          <w:p>
            <w:pPr>
              <w:spacing w:line="240" w:lineRule="exact"/>
              <w:rPr>
                <w:rFonts w:eastAsiaTheme="minorEastAsia"/>
                <w:kern w:val="0"/>
                <w:sz w:val="20"/>
                <w:szCs w:val="20"/>
              </w:rPr>
            </w:pPr>
          </w:p>
        </w:tc>
        <w:tc>
          <w:tcPr>
            <w:tcW w:w="580" w:type="dxa"/>
            <w:vMerge w:val="continue"/>
          </w:tcPr>
          <w:p>
            <w:pPr>
              <w:spacing w:line="240" w:lineRule="exact"/>
              <w:rPr>
                <w:rFonts w:eastAsiaTheme="minorEastAsia"/>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407" w:type="dxa"/>
            <w:vMerge w:val="restart"/>
            <w:shd w:val="clear" w:color="auto" w:fill="auto"/>
            <w:vAlign w:val="center"/>
          </w:tcPr>
          <w:p>
            <w:pPr>
              <w:widowControl/>
              <w:spacing w:line="240" w:lineRule="exact"/>
              <w:ind w:left="-42" w:leftChars="-20" w:right="-50"/>
              <w:rPr>
                <w:rFonts w:eastAsiaTheme="minorEastAsia"/>
                <w:kern w:val="0"/>
                <w:sz w:val="20"/>
                <w:szCs w:val="20"/>
              </w:rPr>
            </w:pPr>
            <w:r>
              <w:rPr>
                <w:rFonts w:eastAsiaTheme="minorEastAsia"/>
                <w:kern w:val="0"/>
                <w:sz w:val="20"/>
                <w:szCs w:val="20"/>
              </w:rPr>
              <w:t>选矿</w:t>
            </w:r>
          </w:p>
        </w:tc>
        <w:tc>
          <w:tcPr>
            <w:tcW w:w="865"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工广</w:t>
            </w:r>
          </w:p>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（650t/d</w:t>
            </w:r>
          </w:p>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+500t/d）</w:t>
            </w:r>
          </w:p>
        </w:tc>
        <w:tc>
          <w:tcPr>
            <w:tcW w:w="81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12000</w:t>
            </w:r>
          </w:p>
        </w:tc>
        <w:tc>
          <w:tcPr>
            <w:tcW w:w="923"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7560</w:t>
            </w:r>
          </w:p>
        </w:tc>
        <w:tc>
          <w:tcPr>
            <w:tcW w:w="66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70</w:t>
            </w:r>
          </w:p>
        </w:tc>
        <w:tc>
          <w:tcPr>
            <w:tcW w:w="2773" w:type="dxa"/>
            <w:shd w:val="clear" w:color="auto" w:fill="auto"/>
            <w:vAlign w:val="center"/>
          </w:tcPr>
          <w:p>
            <w:pPr>
              <w:widowControl/>
              <w:spacing w:line="240" w:lineRule="exact"/>
              <w:ind w:left="-42" w:leftChars="-20" w:right="-50"/>
              <w:rPr>
                <w:rFonts w:eastAsiaTheme="minorEastAsia"/>
                <w:kern w:val="0"/>
                <w:sz w:val="20"/>
                <w:szCs w:val="20"/>
              </w:rPr>
            </w:pPr>
            <w:r>
              <w:rPr>
                <w:rFonts w:eastAsiaTheme="minorEastAsia"/>
                <w:kern w:val="0"/>
                <w:sz w:val="20"/>
                <w:szCs w:val="20"/>
              </w:rPr>
              <w:t>闭矿期：拆除设施，平整并覆土，封闭巷道和硐井口，实施生态恢复工程。</w:t>
            </w:r>
          </w:p>
        </w:tc>
        <w:tc>
          <w:tcPr>
            <w:tcW w:w="926" w:type="dxa"/>
            <w:vMerge w:val="restart"/>
            <w:shd w:val="clear" w:color="auto" w:fill="auto"/>
            <w:vAlign w:val="center"/>
          </w:tcPr>
          <w:p>
            <w:pPr>
              <w:spacing w:line="240" w:lineRule="exact"/>
              <w:jc w:val="center"/>
              <w:rPr>
                <w:rFonts w:eastAsiaTheme="minorEastAsia"/>
                <w:sz w:val="20"/>
                <w:szCs w:val="20"/>
              </w:rPr>
            </w:pPr>
            <w:r>
              <w:rPr>
                <w:rFonts w:eastAsiaTheme="minorEastAsia"/>
                <w:kern w:val="0"/>
                <w:sz w:val="20"/>
                <w:szCs w:val="20"/>
              </w:rPr>
              <w:t>林草地</w:t>
            </w:r>
          </w:p>
        </w:tc>
        <w:tc>
          <w:tcPr>
            <w:tcW w:w="580" w:type="dxa"/>
            <w:vMerge w:val="continue"/>
          </w:tcPr>
          <w:p>
            <w:pPr>
              <w:spacing w:line="240" w:lineRule="exact"/>
              <w:rPr>
                <w:rFonts w:eastAsiaTheme="minorEastAsia"/>
                <w:kern w:val="0"/>
                <w:sz w:val="20"/>
                <w:szCs w:val="20"/>
              </w:rPr>
            </w:pPr>
          </w:p>
        </w:tc>
        <w:tc>
          <w:tcPr>
            <w:tcW w:w="580" w:type="dxa"/>
            <w:vMerge w:val="continue"/>
          </w:tcPr>
          <w:p>
            <w:pPr>
              <w:spacing w:line="240" w:lineRule="exact"/>
              <w:rPr>
                <w:rFonts w:eastAsiaTheme="minorEastAsia"/>
                <w:kern w:val="0"/>
                <w:sz w:val="20"/>
                <w:szCs w:val="20"/>
              </w:rPr>
            </w:pPr>
          </w:p>
        </w:tc>
      </w:tr>
      <w:bookmarkEnd w:id="745"/>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atLeast"/>
        </w:trPr>
        <w:tc>
          <w:tcPr>
            <w:tcW w:w="407" w:type="dxa"/>
            <w:vMerge w:val="continue"/>
            <w:shd w:val="clear" w:color="auto" w:fill="auto"/>
            <w:vAlign w:val="center"/>
          </w:tcPr>
          <w:p>
            <w:pPr>
              <w:widowControl/>
              <w:spacing w:line="240" w:lineRule="exact"/>
              <w:ind w:left="-42" w:leftChars="-20" w:right="-50"/>
              <w:rPr>
                <w:rFonts w:eastAsiaTheme="minorEastAsia"/>
                <w:kern w:val="0"/>
                <w:sz w:val="20"/>
                <w:szCs w:val="20"/>
              </w:rPr>
            </w:pPr>
          </w:p>
        </w:tc>
        <w:tc>
          <w:tcPr>
            <w:tcW w:w="865"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尾矿库</w:t>
            </w:r>
          </w:p>
        </w:tc>
        <w:tc>
          <w:tcPr>
            <w:tcW w:w="81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98000</w:t>
            </w:r>
          </w:p>
        </w:tc>
        <w:tc>
          <w:tcPr>
            <w:tcW w:w="923"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88200</w:t>
            </w:r>
          </w:p>
        </w:tc>
        <w:tc>
          <w:tcPr>
            <w:tcW w:w="66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90</w:t>
            </w:r>
          </w:p>
        </w:tc>
        <w:tc>
          <w:tcPr>
            <w:tcW w:w="2773" w:type="dxa"/>
            <w:shd w:val="clear" w:color="auto" w:fill="auto"/>
            <w:vAlign w:val="center"/>
          </w:tcPr>
          <w:p>
            <w:pPr>
              <w:widowControl/>
              <w:spacing w:line="240" w:lineRule="exact"/>
              <w:ind w:left="-42" w:leftChars="-20" w:right="-50"/>
              <w:rPr>
                <w:rFonts w:eastAsiaTheme="minorEastAsia"/>
                <w:kern w:val="0"/>
                <w:sz w:val="20"/>
                <w:szCs w:val="20"/>
              </w:rPr>
            </w:pPr>
            <w:r>
              <w:rPr>
                <w:rFonts w:eastAsiaTheme="minorEastAsia"/>
                <w:kern w:val="0"/>
                <w:sz w:val="20"/>
                <w:szCs w:val="20"/>
              </w:rPr>
              <w:t>闭矿期，削坡、平整，覆土、生态恢复</w:t>
            </w:r>
          </w:p>
        </w:tc>
        <w:tc>
          <w:tcPr>
            <w:tcW w:w="926" w:type="dxa"/>
            <w:vMerge w:val="continue"/>
            <w:shd w:val="clear" w:color="auto" w:fill="auto"/>
            <w:vAlign w:val="center"/>
          </w:tcPr>
          <w:p>
            <w:pPr>
              <w:widowControl/>
              <w:spacing w:line="240" w:lineRule="exact"/>
              <w:ind w:left="-42" w:leftChars="-20" w:right="-50"/>
              <w:jc w:val="center"/>
              <w:rPr>
                <w:rFonts w:eastAsiaTheme="minorEastAsia"/>
                <w:kern w:val="0"/>
                <w:sz w:val="20"/>
                <w:szCs w:val="20"/>
              </w:rPr>
            </w:pPr>
          </w:p>
        </w:tc>
        <w:tc>
          <w:tcPr>
            <w:tcW w:w="580" w:type="dxa"/>
            <w:vMerge w:val="continue"/>
          </w:tcPr>
          <w:p>
            <w:pPr>
              <w:widowControl/>
              <w:spacing w:line="240" w:lineRule="exact"/>
              <w:ind w:left="-42" w:leftChars="-20" w:right="-50"/>
              <w:rPr>
                <w:rFonts w:eastAsiaTheme="minorEastAsia"/>
                <w:kern w:val="0"/>
                <w:sz w:val="20"/>
                <w:szCs w:val="20"/>
              </w:rPr>
            </w:pPr>
          </w:p>
        </w:tc>
        <w:tc>
          <w:tcPr>
            <w:tcW w:w="580" w:type="dxa"/>
            <w:vMerge w:val="continue"/>
          </w:tcPr>
          <w:p>
            <w:pPr>
              <w:widowControl/>
              <w:spacing w:line="240" w:lineRule="exact"/>
              <w:ind w:left="-42" w:leftChars="-20" w:right="-50"/>
              <w:rPr>
                <w:rFonts w:eastAsiaTheme="minorEastAsia"/>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407" w:type="dxa"/>
            <w:vMerge w:val="restart"/>
            <w:shd w:val="clear" w:color="auto" w:fill="auto"/>
            <w:vAlign w:val="center"/>
          </w:tcPr>
          <w:p>
            <w:pPr>
              <w:widowControl/>
              <w:spacing w:line="240" w:lineRule="exact"/>
              <w:ind w:left="-42" w:leftChars="-20" w:right="-50"/>
              <w:rPr>
                <w:rFonts w:eastAsiaTheme="minorEastAsia"/>
                <w:kern w:val="0"/>
                <w:sz w:val="20"/>
                <w:szCs w:val="20"/>
              </w:rPr>
            </w:pPr>
            <w:r>
              <w:rPr>
                <w:rFonts w:eastAsiaTheme="minorEastAsia"/>
                <w:kern w:val="0"/>
                <w:sz w:val="20"/>
                <w:szCs w:val="20"/>
              </w:rPr>
              <w:t>其他</w:t>
            </w:r>
          </w:p>
        </w:tc>
        <w:tc>
          <w:tcPr>
            <w:tcW w:w="865"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道路</w:t>
            </w:r>
          </w:p>
        </w:tc>
        <w:tc>
          <w:tcPr>
            <w:tcW w:w="81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19000</w:t>
            </w:r>
          </w:p>
        </w:tc>
        <w:tc>
          <w:tcPr>
            <w:tcW w:w="923"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11970</w:t>
            </w:r>
          </w:p>
        </w:tc>
        <w:tc>
          <w:tcPr>
            <w:tcW w:w="66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70</w:t>
            </w:r>
          </w:p>
        </w:tc>
        <w:tc>
          <w:tcPr>
            <w:tcW w:w="2773" w:type="dxa"/>
            <w:vMerge w:val="restart"/>
            <w:shd w:val="clear" w:color="auto" w:fill="auto"/>
            <w:vAlign w:val="center"/>
          </w:tcPr>
          <w:p>
            <w:pPr>
              <w:widowControl/>
              <w:spacing w:line="240" w:lineRule="exact"/>
              <w:ind w:left="-42" w:leftChars="-20" w:right="-50"/>
              <w:rPr>
                <w:rFonts w:eastAsiaTheme="minorEastAsia"/>
                <w:kern w:val="0"/>
                <w:sz w:val="20"/>
                <w:szCs w:val="20"/>
              </w:rPr>
            </w:pPr>
            <w:r>
              <w:rPr>
                <w:rFonts w:eastAsiaTheme="minorEastAsia"/>
                <w:kern w:val="0"/>
                <w:sz w:val="20"/>
                <w:szCs w:val="20"/>
              </w:rPr>
              <w:t>闭矿期：拆除设施，平整并覆土，封闭巷道和硐井口，实施生态恢复工程。</w:t>
            </w:r>
          </w:p>
        </w:tc>
        <w:tc>
          <w:tcPr>
            <w:tcW w:w="926" w:type="dxa"/>
            <w:vMerge w:val="restart"/>
            <w:shd w:val="clear" w:color="auto" w:fill="auto"/>
            <w:vAlign w:val="center"/>
          </w:tcPr>
          <w:p>
            <w:pPr>
              <w:spacing w:line="240" w:lineRule="exact"/>
              <w:jc w:val="center"/>
              <w:rPr>
                <w:rFonts w:eastAsiaTheme="minorEastAsia"/>
                <w:sz w:val="20"/>
                <w:szCs w:val="20"/>
              </w:rPr>
            </w:pPr>
            <w:r>
              <w:rPr>
                <w:rFonts w:eastAsiaTheme="minorEastAsia"/>
                <w:kern w:val="0"/>
                <w:sz w:val="20"/>
                <w:szCs w:val="20"/>
              </w:rPr>
              <w:t>林草地</w:t>
            </w:r>
          </w:p>
        </w:tc>
        <w:tc>
          <w:tcPr>
            <w:tcW w:w="580" w:type="dxa"/>
            <w:vMerge w:val="continue"/>
          </w:tcPr>
          <w:p>
            <w:pPr>
              <w:spacing w:line="240" w:lineRule="exact"/>
              <w:rPr>
                <w:rFonts w:eastAsiaTheme="minorEastAsia"/>
                <w:kern w:val="0"/>
                <w:sz w:val="20"/>
                <w:szCs w:val="20"/>
              </w:rPr>
            </w:pPr>
          </w:p>
        </w:tc>
        <w:tc>
          <w:tcPr>
            <w:tcW w:w="580" w:type="dxa"/>
            <w:vMerge w:val="continue"/>
          </w:tcPr>
          <w:p>
            <w:pPr>
              <w:spacing w:line="240" w:lineRule="exact"/>
              <w:rPr>
                <w:rFonts w:eastAsiaTheme="minorEastAsia"/>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407" w:type="dxa"/>
            <w:vMerge w:val="continue"/>
            <w:shd w:val="clear" w:color="auto" w:fill="auto"/>
            <w:vAlign w:val="center"/>
          </w:tcPr>
          <w:p>
            <w:pPr>
              <w:widowControl/>
              <w:spacing w:line="240" w:lineRule="exact"/>
              <w:ind w:left="-42" w:leftChars="-20" w:right="-50"/>
              <w:rPr>
                <w:rFonts w:eastAsiaTheme="minorEastAsia"/>
                <w:kern w:val="0"/>
                <w:sz w:val="20"/>
                <w:szCs w:val="20"/>
              </w:rPr>
            </w:pPr>
          </w:p>
        </w:tc>
        <w:tc>
          <w:tcPr>
            <w:tcW w:w="865"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办公生活区</w:t>
            </w:r>
          </w:p>
        </w:tc>
        <w:tc>
          <w:tcPr>
            <w:tcW w:w="81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13600</w:t>
            </w:r>
          </w:p>
        </w:tc>
        <w:tc>
          <w:tcPr>
            <w:tcW w:w="923"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8568</w:t>
            </w:r>
          </w:p>
        </w:tc>
        <w:tc>
          <w:tcPr>
            <w:tcW w:w="662" w:type="dxa"/>
            <w:shd w:val="clear" w:color="auto" w:fill="auto"/>
            <w:vAlign w:val="center"/>
          </w:tcPr>
          <w:p>
            <w:pPr>
              <w:widowControl/>
              <w:spacing w:line="240" w:lineRule="exact"/>
              <w:ind w:left="-42" w:leftChars="-20" w:right="-50"/>
              <w:jc w:val="center"/>
              <w:rPr>
                <w:rFonts w:eastAsiaTheme="minorEastAsia"/>
                <w:kern w:val="0"/>
                <w:sz w:val="20"/>
                <w:szCs w:val="20"/>
              </w:rPr>
            </w:pPr>
            <w:r>
              <w:rPr>
                <w:rFonts w:eastAsiaTheme="minorEastAsia"/>
                <w:kern w:val="0"/>
                <w:sz w:val="20"/>
                <w:szCs w:val="20"/>
              </w:rPr>
              <w:t>70</w:t>
            </w:r>
          </w:p>
        </w:tc>
        <w:tc>
          <w:tcPr>
            <w:tcW w:w="2773" w:type="dxa"/>
            <w:vMerge w:val="continue"/>
            <w:shd w:val="clear" w:color="auto" w:fill="auto"/>
            <w:vAlign w:val="center"/>
          </w:tcPr>
          <w:p>
            <w:pPr>
              <w:widowControl/>
              <w:spacing w:line="240" w:lineRule="exact"/>
              <w:ind w:left="-42" w:leftChars="-20" w:right="-50"/>
              <w:rPr>
                <w:rFonts w:eastAsiaTheme="minorEastAsia"/>
                <w:kern w:val="0"/>
                <w:sz w:val="20"/>
                <w:szCs w:val="20"/>
              </w:rPr>
            </w:pPr>
          </w:p>
        </w:tc>
        <w:tc>
          <w:tcPr>
            <w:tcW w:w="926" w:type="dxa"/>
            <w:vMerge w:val="continue"/>
            <w:shd w:val="clear" w:color="auto" w:fill="auto"/>
            <w:vAlign w:val="center"/>
          </w:tcPr>
          <w:p>
            <w:pPr>
              <w:widowControl/>
              <w:spacing w:line="240" w:lineRule="exact"/>
              <w:ind w:left="-42" w:leftChars="-20" w:right="-50"/>
              <w:rPr>
                <w:rFonts w:eastAsiaTheme="minorEastAsia"/>
                <w:kern w:val="0"/>
                <w:sz w:val="20"/>
                <w:szCs w:val="20"/>
              </w:rPr>
            </w:pPr>
          </w:p>
        </w:tc>
        <w:tc>
          <w:tcPr>
            <w:tcW w:w="580" w:type="dxa"/>
            <w:vMerge w:val="continue"/>
          </w:tcPr>
          <w:p>
            <w:pPr>
              <w:widowControl/>
              <w:spacing w:line="240" w:lineRule="exact"/>
              <w:ind w:left="-42" w:leftChars="-20" w:right="-50"/>
              <w:rPr>
                <w:rFonts w:eastAsiaTheme="minorEastAsia"/>
                <w:kern w:val="0"/>
                <w:sz w:val="20"/>
                <w:szCs w:val="20"/>
              </w:rPr>
            </w:pPr>
          </w:p>
        </w:tc>
        <w:tc>
          <w:tcPr>
            <w:tcW w:w="580" w:type="dxa"/>
            <w:vMerge w:val="continue"/>
          </w:tcPr>
          <w:p>
            <w:pPr>
              <w:widowControl/>
              <w:spacing w:line="240" w:lineRule="exact"/>
              <w:ind w:left="-42" w:leftChars="-20" w:right="-50"/>
              <w:rPr>
                <w:rFonts w:eastAsiaTheme="minorEastAsia"/>
                <w:kern w:val="0"/>
                <w:sz w:val="20"/>
                <w:szCs w:val="20"/>
              </w:rPr>
            </w:pPr>
          </w:p>
        </w:tc>
      </w:tr>
      <w:bookmarkEnd w:id="743"/>
      <w:bookmarkEnd w:id="744"/>
    </w:tbl>
    <w:p>
      <w:pPr>
        <w:spacing w:line="500" w:lineRule="exact"/>
        <w:ind w:firstLine="600" w:firstLineChars="250"/>
        <w:rPr>
          <w:rFonts w:eastAsia="黑体"/>
          <w:bCs/>
          <w:kern w:val="0"/>
          <w:sz w:val="24"/>
        </w:rPr>
      </w:pPr>
    </w:p>
    <w:p>
      <w:pPr>
        <w:pStyle w:val="79"/>
        <w:spacing w:after="240"/>
        <w:rPr>
          <w:sz w:val="24"/>
        </w:rPr>
      </w:pPr>
    </w:p>
    <w:p>
      <w:pPr>
        <w:pStyle w:val="79"/>
        <w:spacing w:after="240"/>
      </w:pPr>
      <w:r>
        <w:rPr>
          <w:sz w:val="24"/>
        </w:rPr>
        <w:br w:type="page"/>
      </w:r>
      <w:bookmarkStart w:id="746" w:name="_Toc488578925"/>
      <w:bookmarkStart w:id="747" w:name="_Toc470358704"/>
      <w:bookmarkStart w:id="748" w:name="_Toc406504258"/>
      <w:bookmarkStart w:id="749" w:name="_Toc407217406"/>
      <w:bookmarkStart w:id="750" w:name="_Toc370112144"/>
      <w:bookmarkStart w:id="751" w:name="_Toc420663728"/>
      <w:bookmarkStart w:id="752" w:name="_Toc407153540"/>
      <w:r>
        <w:t>第七章  环境管理和监测情况调查</w:t>
      </w:r>
      <w:bookmarkEnd w:id="741"/>
      <w:bookmarkEnd w:id="742"/>
      <w:bookmarkEnd w:id="746"/>
      <w:bookmarkEnd w:id="747"/>
      <w:bookmarkEnd w:id="748"/>
      <w:bookmarkEnd w:id="749"/>
      <w:bookmarkEnd w:id="750"/>
      <w:bookmarkEnd w:id="751"/>
      <w:bookmarkEnd w:id="752"/>
    </w:p>
    <w:p>
      <w:pPr>
        <w:pStyle w:val="3"/>
        <w:spacing w:before="0" w:after="0"/>
        <w:rPr>
          <w:rFonts w:ascii="Times New Roman" w:hAnsi="Times New Roman"/>
          <w:szCs w:val="20"/>
        </w:rPr>
      </w:pPr>
      <w:bookmarkStart w:id="753" w:name="_Toc488578926"/>
      <w:bookmarkStart w:id="754" w:name="_Toc470358705"/>
      <w:bookmarkStart w:id="755" w:name="_Toc420663729"/>
      <w:bookmarkStart w:id="756" w:name="_Toc407153541"/>
      <w:bookmarkStart w:id="757" w:name="_Toc406504259"/>
      <w:bookmarkStart w:id="758" w:name="_Toc173284109"/>
      <w:bookmarkStart w:id="759" w:name="_Toc173147959"/>
      <w:bookmarkStart w:id="760" w:name="_Toc407217407"/>
      <w:bookmarkStart w:id="761" w:name="_Toc370112145"/>
      <w:r>
        <w:rPr>
          <w:rFonts w:ascii="Times New Roman" w:hAnsi="Times New Roman"/>
          <w:szCs w:val="20"/>
        </w:rPr>
        <w:t>7.1 调查目的</w:t>
      </w:r>
      <w:bookmarkEnd w:id="753"/>
      <w:bookmarkEnd w:id="754"/>
      <w:bookmarkEnd w:id="755"/>
      <w:bookmarkEnd w:id="756"/>
      <w:bookmarkEnd w:id="757"/>
      <w:bookmarkEnd w:id="758"/>
      <w:bookmarkEnd w:id="759"/>
      <w:bookmarkEnd w:id="760"/>
      <w:bookmarkEnd w:id="761"/>
    </w:p>
    <w:p>
      <w:pPr>
        <w:spacing w:line="360" w:lineRule="auto"/>
        <w:ind w:firstLine="480" w:firstLineChars="200"/>
        <w:rPr>
          <w:sz w:val="24"/>
        </w:rPr>
      </w:pPr>
      <w:r>
        <w:rPr>
          <w:sz w:val="24"/>
        </w:rPr>
        <w:t>调查的目的是为了了解本项目在建设和试生产过程中生态恢复措施、污染防治设施的建设情况、环境管理机构设置及环境监测计划的制定与实施情况，并提出合理化建议。</w:t>
      </w:r>
    </w:p>
    <w:p>
      <w:pPr>
        <w:pStyle w:val="3"/>
        <w:spacing w:before="0" w:after="0"/>
        <w:rPr>
          <w:rFonts w:ascii="Times New Roman" w:hAnsi="Times New Roman"/>
        </w:rPr>
      </w:pPr>
      <w:bookmarkStart w:id="762" w:name="_Toc488578927"/>
      <w:bookmarkStart w:id="763" w:name="_Toc470358706"/>
      <w:bookmarkStart w:id="764" w:name="_Toc422237415"/>
      <w:bookmarkStart w:id="765" w:name="_Toc370112148"/>
      <w:bookmarkStart w:id="766" w:name="_Toc407217410"/>
      <w:bookmarkStart w:id="767" w:name="_Toc173284112"/>
      <w:bookmarkStart w:id="768" w:name="_Toc173147962"/>
      <w:bookmarkStart w:id="769" w:name="_Toc406504262"/>
      <w:bookmarkStart w:id="770" w:name="_Toc420663732"/>
      <w:bookmarkStart w:id="771" w:name="_Toc407153544"/>
      <w:r>
        <w:rPr>
          <w:rFonts w:ascii="Times New Roman" w:hAnsi="Times New Roman"/>
        </w:rPr>
        <w:t>7.2 环境管理情况</w:t>
      </w:r>
      <w:bookmarkEnd w:id="762"/>
      <w:bookmarkEnd w:id="763"/>
      <w:bookmarkEnd w:id="764"/>
    </w:p>
    <w:p>
      <w:pPr>
        <w:spacing w:line="360" w:lineRule="auto"/>
        <w:ind w:firstLine="480" w:firstLineChars="200"/>
        <w:rPr>
          <w:sz w:val="24"/>
        </w:rPr>
      </w:pPr>
      <w:r>
        <w:rPr>
          <w:sz w:val="24"/>
        </w:rPr>
        <w:t>本项目在生产过程中环境管理体系和日常管理制度逐步得到完善，能够及时发现和解决生产过程中出现的环境问题。</w:t>
      </w:r>
    </w:p>
    <w:p>
      <w:pPr>
        <w:pStyle w:val="10"/>
        <w:spacing w:line="360" w:lineRule="auto"/>
        <w:rPr>
          <w:rFonts w:ascii="Times New Roman" w:hAnsi="Times New Roman"/>
        </w:rPr>
      </w:pPr>
      <w:r>
        <w:rPr>
          <w:rFonts w:ascii="Times New Roman" w:hAnsi="Times New Roman"/>
        </w:rPr>
        <w:t>7.2.1 环境管理机构设置情况</w:t>
      </w:r>
    </w:p>
    <w:p>
      <w:pPr>
        <w:pStyle w:val="68"/>
        <w:spacing w:line="360" w:lineRule="auto"/>
        <w:ind w:firstLine="480"/>
        <w:jc w:val="both"/>
        <w:rPr>
          <w:sz w:val="24"/>
          <w:szCs w:val="24"/>
        </w:rPr>
      </w:pPr>
      <w:r>
        <w:rPr>
          <w:sz w:val="24"/>
          <w:szCs w:val="24"/>
        </w:rPr>
        <w:t>根据《建设项目环境保护设计规范》等的要求，公司设环保科，由一名副经理分管，2名环保专业人员从事专职环境管理工作。</w:t>
      </w:r>
    </w:p>
    <w:p>
      <w:pPr>
        <w:pStyle w:val="10"/>
        <w:spacing w:line="360" w:lineRule="auto"/>
        <w:rPr>
          <w:rFonts w:ascii="Times New Roman" w:hAnsi="Times New Roman"/>
        </w:rPr>
      </w:pPr>
      <w:bookmarkStart w:id="772" w:name="_Toc173147961"/>
      <w:bookmarkStart w:id="773" w:name="_Toc173284111"/>
      <w:r>
        <w:rPr>
          <w:rFonts w:ascii="Times New Roman" w:hAnsi="Times New Roman"/>
        </w:rPr>
        <w:t>7.2.2 环境管理人员的职责</w:t>
      </w:r>
      <w:bookmarkEnd w:id="772"/>
      <w:bookmarkEnd w:id="773"/>
    </w:p>
    <w:p>
      <w:pPr>
        <w:pStyle w:val="68"/>
        <w:spacing w:line="360" w:lineRule="auto"/>
        <w:ind w:firstLine="480"/>
        <w:jc w:val="both"/>
        <w:rPr>
          <w:sz w:val="24"/>
          <w:szCs w:val="24"/>
        </w:rPr>
      </w:pPr>
      <w:r>
        <w:rPr>
          <w:sz w:val="24"/>
          <w:szCs w:val="24"/>
        </w:rPr>
        <w:t>（1）贯彻执行各项环境保护政策、法规和标准。</w:t>
      </w:r>
    </w:p>
    <w:p>
      <w:pPr>
        <w:pStyle w:val="68"/>
        <w:spacing w:line="360" w:lineRule="auto"/>
        <w:ind w:firstLine="480"/>
        <w:jc w:val="both"/>
        <w:rPr>
          <w:sz w:val="24"/>
          <w:szCs w:val="24"/>
        </w:rPr>
      </w:pPr>
      <w:r>
        <w:rPr>
          <w:sz w:val="24"/>
          <w:szCs w:val="24"/>
        </w:rPr>
        <w:t>（2）制定各部门环境保护管理职责条例；制定环保设施及污染物排放管理监督办法；建立环境及污染源监测与统计，“三级监控”体系管理制度；组织企业水土保持监测工作，接受水行政主管部门指导；建立环保工作目标考核制度。</w:t>
      </w:r>
    </w:p>
    <w:p>
      <w:pPr>
        <w:pStyle w:val="68"/>
        <w:spacing w:line="360" w:lineRule="auto"/>
        <w:ind w:firstLine="480"/>
        <w:jc w:val="both"/>
        <w:rPr>
          <w:sz w:val="24"/>
          <w:szCs w:val="24"/>
        </w:rPr>
      </w:pPr>
      <w:r>
        <w:rPr>
          <w:sz w:val="24"/>
          <w:szCs w:val="24"/>
        </w:rPr>
        <w:t>（3）负责编制并实施环境保护计划，维护各措施的正常运行，落实各项监测计划，开展日常环境保护工作。</w:t>
      </w:r>
    </w:p>
    <w:p>
      <w:pPr>
        <w:pStyle w:val="68"/>
        <w:spacing w:line="360" w:lineRule="auto"/>
        <w:ind w:firstLine="480"/>
        <w:jc w:val="both"/>
        <w:rPr>
          <w:sz w:val="24"/>
          <w:szCs w:val="24"/>
        </w:rPr>
      </w:pPr>
      <w:r>
        <w:rPr>
          <w:sz w:val="24"/>
          <w:szCs w:val="24"/>
        </w:rPr>
        <w:t>（4）根据政府及环保部门提出的环境保护要求（如总量控制指标，达标排放等），制定企业实施计划；做好污染物控制，确保环保设施正常运行，并配合当地环保部门及环境监测部门的工作。</w:t>
      </w:r>
    </w:p>
    <w:p>
      <w:pPr>
        <w:pStyle w:val="68"/>
        <w:spacing w:line="360" w:lineRule="auto"/>
        <w:ind w:firstLine="480"/>
        <w:jc w:val="both"/>
        <w:rPr>
          <w:sz w:val="24"/>
          <w:szCs w:val="24"/>
        </w:rPr>
      </w:pPr>
      <w:r>
        <w:rPr>
          <w:sz w:val="24"/>
          <w:szCs w:val="24"/>
        </w:rPr>
        <w:t>（5）建立健全环境保护管理制度，做好各有关环保工作的资料收集、整理、记录、建档、宣传等工作,定时编制并提交项目环境管理工作报告。</w:t>
      </w:r>
    </w:p>
    <w:p>
      <w:pPr>
        <w:pStyle w:val="68"/>
        <w:spacing w:line="360" w:lineRule="auto"/>
        <w:ind w:firstLine="480"/>
        <w:jc w:val="both"/>
        <w:rPr>
          <w:sz w:val="24"/>
          <w:szCs w:val="24"/>
        </w:rPr>
      </w:pPr>
      <w:r>
        <w:rPr>
          <w:sz w:val="24"/>
          <w:szCs w:val="24"/>
        </w:rPr>
        <w:t>（6）负责并监督环境保护工作，定期进行环保安全检查，发现环境问题及时上报、及时处理；并负责调查出现环境问题的原由，协助有关部门解决问题、处理好由环境问题所带来的纠纷等。</w:t>
      </w:r>
    </w:p>
    <w:p>
      <w:pPr>
        <w:pStyle w:val="68"/>
        <w:spacing w:line="360" w:lineRule="auto"/>
        <w:ind w:firstLine="480"/>
        <w:jc w:val="both"/>
        <w:rPr>
          <w:sz w:val="24"/>
          <w:szCs w:val="24"/>
        </w:rPr>
      </w:pPr>
      <w:r>
        <w:rPr>
          <w:sz w:val="24"/>
          <w:szCs w:val="24"/>
        </w:rPr>
        <w:t>（7）监督检查各产污环节污染防治措施的落实及运行情况，保证各污染物达标排放。</w:t>
      </w:r>
    </w:p>
    <w:p>
      <w:pPr>
        <w:pStyle w:val="68"/>
        <w:spacing w:line="360" w:lineRule="auto"/>
        <w:ind w:firstLine="480"/>
        <w:jc w:val="both"/>
        <w:rPr>
          <w:sz w:val="24"/>
          <w:szCs w:val="24"/>
        </w:rPr>
      </w:pPr>
      <w:r>
        <w:rPr>
          <w:sz w:val="24"/>
          <w:szCs w:val="24"/>
        </w:rPr>
        <w:t>（8）制定可行的应急计划，并检查执行情况，确保生产事故或污染治理措施出现故障时，不对环境造成严重污染。</w:t>
      </w:r>
    </w:p>
    <w:p>
      <w:pPr>
        <w:pStyle w:val="68"/>
        <w:spacing w:line="360" w:lineRule="auto"/>
        <w:ind w:firstLine="480"/>
        <w:jc w:val="both"/>
        <w:rPr>
          <w:sz w:val="24"/>
          <w:szCs w:val="24"/>
        </w:rPr>
      </w:pPr>
      <w:r>
        <w:rPr>
          <w:sz w:val="24"/>
          <w:szCs w:val="24"/>
        </w:rPr>
        <w:t>（9）开展环保教育和专业培训，提高企业员工的环保素质；组织开展环保研究和学术交流，推广并应用先进环保技术。</w:t>
      </w:r>
    </w:p>
    <w:p>
      <w:pPr>
        <w:spacing w:line="360" w:lineRule="auto"/>
        <w:ind w:firstLine="480" w:firstLineChars="200"/>
        <w:rPr>
          <w:sz w:val="24"/>
        </w:rPr>
      </w:pPr>
      <w:r>
        <w:rPr>
          <w:sz w:val="24"/>
        </w:rPr>
        <w:t>（10）负责厂区日常环境保护管理工作。</w:t>
      </w:r>
    </w:p>
    <w:p>
      <w:pPr>
        <w:pStyle w:val="3"/>
        <w:rPr>
          <w:rFonts w:ascii="Times New Roman" w:hAnsi="Times New Roman"/>
        </w:rPr>
      </w:pPr>
      <w:bookmarkStart w:id="774" w:name="_Toc488578928"/>
      <w:bookmarkStart w:id="775" w:name="_Toc470358707"/>
      <w:r>
        <w:rPr>
          <w:rFonts w:ascii="Times New Roman" w:hAnsi="Times New Roman"/>
        </w:rPr>
        <w:t>7.3环境监测计划落实情况调查</w:t>
      </w:r>
      <w:bookmarkEnd w:id="774"/>
      <w:bookmarkEnd w:id="775"/>
    </w:p>
    <w:p>
      <w:pPr>
        <w:pStyle w:val="68"/>
        <w:spacing w:line="360" w:lineRule="auto"/>
        <w:ind w:firstLine="480"/>
        <w:jc w:val="both"/>
        <w:rPr>
          <w:sz w:val="24"/>
          <w:szCs w:val="24"/>
        </w:rPr>
      </w:pPr>
      <w:r>
        <w:rPr>
          <w:sz w:val="24"/>
        </w:rPr>
        <w:t>目前监测工作委托灵宝市环境监测站定期进行。制订了相应的监测计划，具体见表</w:t>
      </w:r>
      <w:r>
        <w:rPr>
          <w:sz w:val="24"/>
          <w:szCs w:val="24"/>
        </w:rPr>
        <w:t>7.3-1。监测分析方法按照国家有关技术标准和规范进行。</w:t>
      </w:r>
    </w:p>
    <w:p>
      <w:pPr>
        <w:ind w:firstLine="440" w:firstLineChars="200"/>
      </w:pPr>
      <w:r>
        <w:rPr>
          <w:rFonts w:eastAsia="黑体"/>
          <w:sz w:val="22"/>
        </w:rPr>
        <w:t>表7.3-1                 监测计划一览表</w:t>
      </w:r>
    </w:p>
    <w:tbl>
      <w:tblPr>
        <w:tblStyle w:val="54"/>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7"/>
        <w:gridCol w:w="3136"/>
        <w:gridCol w:w="1326"/>
        <w:gridCol w:w="1277"/>
        <w:gridCol w:w="991"/>
        <w:gridCol w:w="10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07"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阶段</w:t>
            </w:r>
          </w:p>
        </w:tc>
        <w:tc>
          <w:tcPr>
            <w:tcW w:w="3136"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监测地点</w:t>
            </w:r>
          </w:p>
        </w:tc>
        <w:tc>
          <w:tcPr>
            <w:tcW w:w="1326"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项目</w:t>
            </w:r>
          </w:p>
        </w:tc>
        <w:tc>
          <w:tcPr>
            <w:tcW w:w="1277"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监测频次</w:t>
            </w:r>
          </w:p>
        </w:tc>
        <w:tc>
          <w:tcPr>
            <w:tcW w:w="991"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监测</w:t>
            </w:r>
          </w:p>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要求</w:t>
            </w:r>
          </w:p>
        </w:tc>
        <w:tc>
          <w:tcPr>
            <w:tcW w:w="1007"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实施</w:t>
            </w:r>
          </w:p>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机构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707" w:type="dxa"/>
            <w:vMerge w:val="restart"/>
            <w:vAlign w:val="center"/>
          </w:tcPr>
          <w:p>
            <w:pPr>
              <w:pStyle w:val="173"/>
              <w:ind w:left="-210" w:leftChars="-100" w:right="-193" w:rightChars="-92"/>
              <w:jc w:val="center"/>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运营期</w:t>
            </w:r>
          </w:p>
        </w:tc>
        <w:tc>
          <w:tcPr>
            <w:tcW w:w="3136" w:type="dxa"/>
            <w:vAlign w:val="center"/>
          </w:tcPr>
          <w:p>
            <w:pPr>
              <w:rPr>
                <w:rFonts w:eastAsiaTheme="majorEastAsia"/>
                <w:b/>
                <w:sz w:val="20"/>
                <w:szCs w:val="20"/>
                <w:u w:val="single"/>
              </w:rPr>
            </w:pPr>
            <w:r>
              <w:rPr>
                <w:rFonts w:eastAsiaTheme="majorEastAsia"/>
                <w:b/>
                <w:sz w:val="20"/>
                <w:szCs w:val="20"/>
                <w:u w:val="single"/>
              </w:rPr>
              <w:t>在选矿厂原矿堆场下风向界外10m设置1个测点</w:t>
            </w:r>
            <w:r>
              <w:rPr>
                <w:rFonts w:hint="eastAsia" w:eastAsiaTheme="majorEastAsia"/>
                <w:b/>
                <w:sz w:val="20"/>
                <w:szCs w:val="20"/>
                <w:u w:val="single"/>
              </w:rPr>
              <w:t>、</w:t>
            </w:r>
            <w:r>
              <w:rPr>
                <w:rFonts w:eastAsiaTheme="majorEastAsia"/>
                <w:b/>
                <w:sz w:val="20"/>
                <w:szCs w:val="20"/>
                <w:u w:val="single"/>
              </w:rPr>
              <w:t>废石堆场下风向10m设置1个测点</w:t>
            </w:r>
            <w:r>
              <w:rPr>
                <w:rFonts w:hint="eastAsia" w:eastAsiaTheme="majorEastAsia"/>
                <w:b/>
                <w:sz w:val="20"/>
                <w:szCs w:val="20"/>
                <w:u w:val="single"/>
              </w:rPr>
              <w:t>、尾矿库</w:t>
            </w:r>
            <w:r>
              <w:rPr>
                <w:rFonts w:eastAsiaTheme="majorEastAsia"/>
                <w:b/>
                <w:sz w:val="20"/>
                <w:szCs w:val="20"/>
                <w:u w:val="single"/>
              </w:rPr>
              <w:t>下风向0m设置1个测点</w:t>
            </w:r>
          </w:p>
        </w:tc>
        <w:tc>
          <w:tcPr>
            <w:tcW w:w="1326"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TSP</w:t>
            </w:r>
          </w:p>
        </w:tc>
        <w:tc>
          <w:tcPr>
            <w:tcW w:w="1277" w:type="dxa"/>
            <w:vAlign w:val="center"/>
          </w:tcPr>
          <w:p>
            <w:pPr>
              <w:jc w:val="center"/>
              <w:rPr>
                <w:rFonts w:eastAsiaTheme="majorEastAsia"/>
                <w:b/>
                <w:sz w:val="20"/>
                <w:szCs w:val="20"/>
                <w:u w:val="single"/>
              </w:rPr>
            </w:pPr>
            <w:r>
              <w:rPr>
                <w:rFonts w:hint="eastAsia" w:eastAsiaTheme="majorEastAsia"/>
                <w:b/>
                <w:sz w:val="20"/>
                <w:szCs w:val="20"/>
                <w:u w:val="single"/>
              </w:rPr>
              <w:t>2</w:t>
            </w:r>
            <w:r>
              <w:rPr>
                <w:rFonts w:eastAsiaTheme="majorEastAsia"/>
                <w:b/>
                <w:sz w:val="20"/>
                <w:szCs w:val="20"/>
                <w:u w:val="single"/>
              </w:rPr>
              <w:t>次/年</w:t>
            </w:r>
          </w:p>
        </w:tc>
        <w:tc>
          <w:tcPr>
            <w:tcW w:w="991" w:type="dxa"/>
            <w:vAlign w:val="center"/>
          </w:tcPr>
          <w:p>
            <w:pPr>
              <w:rPr>
                <w:rFonts w:eastAsiaTheme="majorEastAsia"/>
                <w:b/>
                <w:sz w:val="20"/>
                <w:szCs w:val="20"/>
                <w:u w:val="single"/>
              </w:rPr>
            </w:pPr>
            <w:r>
              <w:rPr>
                <w:rFonts w:eastAsiaTheme="majorEastAsia"/>
                <w:b/>
                <w:sz w:val="20"/>
                <w:szCs w:val="20"/>
                <w:u w:val="single"/>
              </w:rPr>
              <w:t>按测试规范进行</w:t>
            </w:r>
          </w:p>
        </w:tc>
        <w:tc>
          <w:tcPr>
            <w:tcW w:w="1007"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监测</w:t>
            </w:r>
          </w:p>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707" w:type="dxa"/>
            <w:vMerge w:val="continue"/>
            <w:vAlign w:val="center"/>
          </w:tcPr>
          <w:p>
            <w:pPr>
              <w:pStyle w:val="173"/>
              <w:adjustRightInd/>
              <w:spacing w:line="240" w:lineRule="auto"/>
              <w:ind w:left="-210" w:leftChars="-100" w:right="-193" w:rightChars="-92"/>
              <w:jc w:val="center"/>
              <w:textAlignment w:val="auto"/>
              <w:rPr>
                <w:rFonts w:ascii="Times New Roman" w:hAnsi="Times New Roman" w:cs="Times New Roman" w:eastAsiaTheme="majorEastAsia"/>
                <w:b/>
                <w:sz w:val="20"/>
                <w:u w:val="single"/>
              </w:rPr>
            </w:pPr>
          </w:p>
        </w:tc>
        <w:tc>
          <w:tcPr>
            <w:tcW w:w="3136"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废石堆场下游雨水收集池、尾矿库回流水、</w:t>
            </w:r>
            <w:r>
              <w:rPr>
                <w:rFonts w:ascii="Times New Roman" w:hAnsi="Times New Roman" w:eastAsia="宋体" w:cs="Times New Roman"/>
                <w:b/>
                <w:sz w:val="20"/>
                <w:u w:val="single"/>
              </w:rPr>
              <w:t>2个地下水监测井（美山村饮用水、</w:t>
            </w:r>
            <w:r>
              <w:rPr>
                <w:rFonts w:hint="eastAsia" w:ascii="Times New Roman" w:hAnsi="Times New Roman" w:eastAsia="宋体" w:cs="Times New Roman"/>
                <w:b/>
                <w:sz w:val="20"/>
                <w:u w:val="single"/>
              </w:rPr>
              <w:t>原设计南竖井</w:t>
            </w:r>
            <w:r>
              <w:rPr>
                <w:rFonts w:ascii="Times New Roman" w:hAnsi="Times New Roman" w:eastAsia="宋体" w:cs="Times New Roman"/>
                <w:b/>
                <w:sz w:val="20"/>
                <w:u w:val="single"/>
              </w:rPr>
              <w:t>）</w:t>
            </w:r>
          </w:p>
        </w:tc>
        <w:tc>
          <w:tcPr>
            <w:tcW w:w="1326"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COD</w:t>
            </w:r>
            <w:r>
              <w:rPr>
                <w:rFonts w:ascii="Times New Roman" w:hAnsi="Times New Roman" w:cs="Times New Roman" w:eastAsiaTheme="majorEastAsia"/>
                <w:b/>
                <w:sz w:val="20"/>
                <w:u w:val="single"/>
                <w:vertAlign w:val="subscript"/>
              </w:rPr>
              <w:t>Cr</w:t>
            </w:r>
            <w:r>
              <w:rPr>
                <w:rFonts w:ascii="Times New Roman" w:hAnsi="Times New Roman" w:cs="Times New Roman" w:eastAsiaTheme="majorEastAsia"/>
                <w:b/>
                <w:sz w:val="20"/>
                <w:u w:val="single"/>
              </w:rPr>
              <w:t>、铅</w:t>
            </w:r>
            <w:r>
              <w:rPr>
                <w:rFonts w:hint="eastAsia" w:ascii="Times New Roman" w:hAnsi="Times New Roman" w:cs="Times New Roman" w:eastAsiaTheme="majorEastAsia"/>
                <w:b/>
                <w:sz w:val="20"/>
                <w:u w:val="single"/>
              </w:rPr>
              <w:t>、</w:t>
            </w:r>
            <w:r>
              <w:rPr>
                <w:rFonts w:ascii="Times New Roman" w:hAnsi="Times New Roman" w:cs="Times New Roman" w:eastAsiaTheme="majorEastAsia"/>
                <w:b/>
                <w:sz w:val="20"/>
                <w:u w:val="single"/>
              </w:rPr>
              <w:t>砷</w:t>
            </w:r>
            <w:r>
              <w:rPr>
                <w:rFonts w:hint="eastAsia" w:ascii="Times New Roman" w:hAnsi="Times New Roman" w:cs="Times New Roman" w:eastAsiaTheme="majorEastAsia"/>
                <w:b/>
                <w:sz w:val="20"/>
                <w:u w:val="single"/>
              </w:rPr>
              <w:t>、</w:t>
            </w:r>
            <w:r>
              <w:rPr>
                <w:rFonts w:ascii="Times New Roman" w:hAnsi="Times New Roman" w:cs="Times New Roman" w:eastAsiaTheme="majorEastAsia"/>
                <w:b/>
                <w:sz w:val="20"/>
                <w:u w:val="single"/>
              </w:rPr>
              <w:t>各</w:t>
            </w:r>
            <w:r>
              <w:rPr>
                <w:rFonts w:hint="eastAsia" w:ascii="Times New Roman" w:hAnsi="Times New Roman" w:cs="Times New Roman" w:eastAsiaTheme="majorEastAsia"/>
                <w:b/>
                <w:sz w:val="20"/>
                <w:u w:val="single"/>
              </w:rPr>
              <w:t>、</w:t>
            </w:r>
            <w:r>
              <w:rPr>
                <w:rFonts w:ascii="Times New Roman" w:hAnsi="Times New Roman" w:cs="Times New Roman" w:eastAsiaTheme="majorEastAsia"/>
                <w:b/>
                <w:sz w:val="20"/>
                <w:u w:val="single"/>
              </w:rPr>
              <w:t>铬</w:t>
            </w:r>
            <w:r>
              <w:rPr>
                <w:rFonts w:hint="eastAsia" w:ascii="Times New Roman" w:hAnsi="Times New Roman" w:cs="Times New Roman" w:eastAsiaTheme="majorEastAsia"/>
                <w:b/>
                <w:sz w:val="20"/>
                <w:u w:val="single"/>
              </w:rPr>
              <w:t>、</w:t>
            </w:r>
            <w:r>
              <w:rPr>
                <w:rFonts w:ascii="Times New Roman" w:hAnsi="Times New Roman" w:cs="Times New Roman" w:eastAsiaTheme="majorEastAsia"/>
                <w:b/>
                <w:sz w:val="20"/>
                <w:u w:val="single"/>
              </w:rPr>
              <w:t>汞</w:t>
            </w:r>
            <w:r>
              <w:rPr>
                <w:rFonts w:hint="eastAsia" w:ascii="Times New Roman" w:hAnsi="Times New Roman" w:cs="Times New Roman" w:eastAsiaTheme="majorEastAsia"/>
                <w:b/>
                <w:sz w:val="20"/>
                <w:u w:val="single"/>
              </w:rPr>
              <w:t>、铜、锌、</w:t>
            </w:r>
            <w:r>
              <w:rPr>
                <w:rFonts w:ascii="Times New Roman" w:hAnsi="Times New Roman" w:cs="Times New Roman" w:eastAsiaTheme="majorEastAsia"/>
                <w:b/>
                <w:sz w:val="20"/>
                <w:u w:val="single"/>
              </w:rPr>
              <w:t>硫化物</w:t>
            </w:r>
          </w:p>
        </w:tc>
        <w:tc>
          <w:tcPr>
            <w:tcW w:w="1277"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hint="eastAsia" w:ascii="Times New Roman" w:hAnsi="Times New Roman" w:eastAsia="宋体" w:cs="Times New Roman"/>
                <w:b/>
                <w:sz w:val="20"/>
                <w:u w:val="single"/>
              </w:rPr>
              <w:t>2次/年</w:t>
            </w:r>
          </w:p>
        </w:tc>
        <w:tc>
          <w:tcPr>
            <w:tcW w:w="991" w:type="dxa"/>
            <w:vAlign w:val="center"/>
          </w:tcPr>
          <w:p>
            <w:pPr>
              <w:autoSpaceDE w:val="0"/>
              <w:autoSpaceDN w:val="0"/>
              <w:adjustRightInd w:val="0"/>
              <w:jc w:val="center"/>
              <w:rPr>
                <w:rFonts w:eastAsiaTheme="majorEastAsia"/>
                <w:b/>
                <w:sz w:val="20"/>
                <w:szCs w:val="20"/>
                <w:u w:val="single"/>
              </w:rPr>
            </w:pPr>
            <w:r>
              <w:rPr>
                <w:rFonts w:eastAsiaTheme="majorEastAsia"/>
                <w:b/>
                <w:sz w:val="20"/>
                <w:szCs w:val="20"/>
                <w:u w:val="single"/>
              </w:rPr>
              <w:t>/</w:t>
            </w:r>
          </w:p>
        </w:tc>
        <w:tc>
          <w:tcPr>
            <w:tcW w:w="1007" w:type="dxa"/>
            <w:vAlign w:val="center"/>
          </w:tcPr>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监测</w:t>
            </w:r>
          </w:p>
          <w:p>
            <w:pPr>
              <w:pStyle w:val="173"/>
              <w:adjustRightInd/>
              <w:spacing w:line="240" w:lineRule="auto"/>
              <w:jc w:val="center"/>
              <w:textAlignment w:val="auto"/>
              <w:rPr>
                <w:rFonts w:ascii="Times New Roman" w:hAnsi="Times New Roman" w:cs="Times New Roman" w:eastAsiaTheme="majorEastAsia"/>
                <w:b/>
                <w:sz w:val="20"/>
                <w:u w:val="single"/>
              </w:rPr>
            </w:pPr>
            <w:r>
              <w:rPr>
                <w:rFonts w:ascii="Times New Roman" w:hAnsi="Times New Roman" w:cs="Times New Roman" w:eastAsiaTheme="majorEastAsia"/>
                <w:b/>
                <w:sz w:val="20"/>
                <w:u w:val="single"/>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707" w:type="dxa"/>
            <w:vMerge w:val="continue"/>
            <w:vAlign w:val="center"/>
          </w:tcPr>
          <w:p>
            <w:pPr>
              <w:pStyle w:val="173"/>
              <w:adjustRightInd/>
              <w:spacing w:line="240" w:lineRule="auto"/>
              <w:ind w:left="-210" w:leftChars="-100" w:right="-193" w:rightChars="-92"/>
              <w:jc w:val="center"/>
              <w:textAlignment w:val="auto"/>
              <w:rPr>
                <w:rFonts w:ascii="Times New Roman" w:hAnsi="Times New Roman" w:cs="Times New Roman" w:eastAsiaTheme="majorEastAsia"/>
                <w:b/>
                <w:sz w:val="20"/>
                <w:u w:val="single"/>
              </w:rPr>
            </w:pPr>
          </w:p>
        </w:tc>
        <w:tc>
          <w:tcPr>
            <w:tcW w:w="3136" w:type="dxa"/>
            <w:vAlign w:val="center"/>
          </w:tcPr>
          <w:p>
            <w:pPr>
              <w:pStyle w:val="173"/>
              <w:adjustRightInd/>
              <w:spacing w:line="300" w:lineRule="exact"/>
              <w:jc w:val="center"/>
              <w:textAlignment w:val="auto"/>
              <w:rPr>
                <w:rFonts w:ascii="Times New Roman" w:hAnsi="Times New Roman" w:eastAsia="宋体" w:cs="Times New Roman"/>
                <w:b/>
                <w:sz w:val="20"/>
                <w:u w:val="single"/>
              </w:rPr>
            </w:pPr>
            <w:r>
              <w:rPr>
                <w:rFonts w:ascii="Times New Roman" w:hAnsi="Times New Roman" w:eastAsia="宋体" w:cs="Times New Roman"/>
                <w:b/>
                <w:sz w:val="20"/>
                <w:u w:val="single"/>
              </w:rPr>
              <w:t>选矿厂各方向边界外1m</w:t>
            </w:r>
          </w:p>
        </w:tc>
        <w:tc>
          <w:tcPr>
            <w:tcW w:w="1326" w:type="dxa"/>
            <w:vAlign w:val="center"/>
          </w:tcPr>
          <w:p>
            <w:pPr>
              <w:pStyle w:val="173"/>
              <w:adjustRightInd/>
              <w:spacing w:line="300" w:lineRule="exact"/>
              <w:jc w:val="center"/>
              <w:textAlignment w:val="auto"/>
              <w:rPr>
                <w:rFonts w:ascii="Times New Roman" w:hAnsi="Times New Roman" w:eastAsia="宋体" w:cs="Times New Roman"/>
                <w:b/>
                <w:sz w:val="20"/>
                <w:u w:val="single"/>
              </w:rPr>
            </w:pPr>
            <w:r>
              <w:rPr>
                <w:rFonts w:ascii="Times New Roman" w:hAnsi="Times New Roman" w:eastAsia="宋体" w:cs="Times New Roman"/>
                <w:b/>
                <w:sz w:val="20"/>
                <w:u w:val="single"/>
              </w:rPr>
              <w:t>等效连续</w:t>
            </w:r>
            <w:r>
              <w:rPr>
                <w:rFonts w:hint="eastAsia" w:ascii="Times New Roman" w:hAnsi="Times New Roman" w:eastAsia="宋体" w:cs="Times New Roman"/>
                <w:b/>
                <w:sz w:val="20"/>
                <w:u w:val="single"/>
              </w:rPr>
              <w:t>A声级</w:t>
            </w:r>
          </w:p>
        </w:tc>
        <w:tc>
          <w:tcPr>
            <w:tcW w:w="1277" w:type="dxa"/>
            <w:vAlign w:val="center"/>
          </w:tcPr>
          <w:p>
            <w:pPr>
              <w:pStyle w:val="173"/>
              <w:adjustRightInd/>
              <w:spacing w:line="300" w:lineRule="exact"/>
              <w:jc w:val="center"/>
              <w:textAlignment w:val="auto"/>
              <w:rPr>
                <w:rFonts w:ascii="Times New Roman" w:hAnsi="Times New Roman" w:eastAsia="宋体" w:cs="Times New Roman"/>
                <w:b/>
                <w:sz w:val="20"/>
                <w:u w:val="single"/>
              </w:rPr>
            </w:pPr>
            <w:r>
              <w:rPr>
                <w:rFonts w:hint="eastAsia" w:ascii="Times New Roman" w:hAnsi="Times New Roman" w:eastAsia="宋体" w:cs="Times New Roman"/>
                <w:b/>
                <w:sz w:val="20"/>
                <w:u w:val="single"/>
              </w:rPr>
              <w:t>1</w:t>
            </w:r>
            <w:r>
              <w:rPr>
                <w:rFonts w:ascii="Times New Roman" w:hAnsi="Times New Roman" w:eastAsia="宋体" w:cs="Times New Roman"/>
                <w:b/>
                <w:sz w:val="20"/>
                <w:u w:val="single"/>
              </w:rPr>
              <w:t>次/年</w:t>
            </w:r>
          </w:p>
        </w:tc>
        <w:tc>
          <w:tcPr>
            <w:tcW w:w="991" w:type="dxa"/>
            <w:vAlign w:val="center"/>
          </w:tcPr>
          <w:p>
            <w:pPr>
              <w:autoSpaceDE w:val="0"/>
              <w:autoSpaceDN w:val="0"/>
              <w:adjustRightInd w:val="0"/>
              <w:jc w:val="center"/>
              <w:rPr>
                <w:b/>
                <w:sz w:val="20"/>
                <w:szCs w:val="20"/>
                <w:u w:val="single"/>
              </w:rPr>
            </w:pPr>
            <w:r>
              <w:rPr>
                <w:rFonts w:eastAsiaTheme="majorEastAsia"/>
                <w:b/>
                <w:sz w:val="20"/>
                <w:szCs w:val="20"/>
                <w:u w:val="single"/>
              </w:rPr>
              <w:t>/</w:t>
            </w:r>
          </w:p>
        </w:tc>
        <w:tc>
          <w:tcPr>
            <w:tcW w:w="1007" w:type="dxa"/>
            <w:vAlign w:val="center"/>
          </w:tcPr>
          <w:p>
            <w:pPr>
              <w:autoSpaceDE w:val="0"/>
              <w:autoSpaceDN w:val="0"/>
              <w:adjustRightInd w:val="0"/>
              <w:jc w:val="center"/>
              <w:rPr>
                <w:b/>
                <w:sz w:val="20"/>
                <w:szCs w:val="20"/>
                <w:u w:val="single"/>
              </w:rPr>
            </w:pPr>
            <w:r>
              <w:rPr>
                <w:b/>
                <w:sz w:val="20"/>
                <w:szCs w:val="20"/>
                <w:u w:val="single"/>
              </w:rPr>
              <w:t>监测</w:t>
            </w:r>
          </w:p>
          <w:p>
            <w:pPr>
              <w:autoSpaceDE w:val="0"/>
              <w:autoSpaceDN w:val="0"/>
              <w:adjustRightInd w:val="0"/>
              <w:jc w:val="center"/>
              <w:rPr>
                <w:b/>
                <w:sz w:val="20"/>
                <w:szCs w:val="20"/>
                <w:u w:val="single"/>
              </w:rPr>
            </w:pPr>
            <w:r>
              <w:rPr>
                <w:b/>
                <w:sz w:val="20"/>
                <w:szCs w:val="20"/>
                <w:u w:val="single"/>
              </w:rPr>
              <w:t>单位</w:t>
            </w:r>
          </w:p>
        </w:tc>
      </w:tr>
    </w:tbl>
    <w:p>
      <w:pPr>
        <w:pStyle w:val="171"/>
        <w:rPr>
          <w:rFonts w:ascii="Times New Roman" w:hAnsi="Times New Roman" w:eastAsia="宋体" w:cs="Times New Roman"/>
          <w:color w:val="auto"/>
        </w:rPr>
      </w:pPr>
    </w:p>
    <w:p>
      <w:pPr>
        <w:pStyle w:val="3"/>
        <w:rPr>
          <w:rFonts w:ascii="Times New Roman" w:hAnsi="Times New Roman"/>
        </w:rPr>
      </w:pPr>
      <w:bookmarkStart w:id="776" w:name="_Toc488578929"/>
      <w:bookmarkStart w:id="777" w:name="_Toc470358708"/>
      <w:r>
        <w:rPr>
          <w:rFonts w:ascii="Times New Roman" w:hAnsi="Times New Roman"/>
        </w:rPr>
        <w:t>7.4 环境管理建议</w:t>
      </w:r>
      <w:bookmarkEnd w:id="776"/>
      <w:bookmarkEnd w:id="777"/>
    </w:p>
    <w:p>
      <w:pPr>
        <w:spacing w:line="360" w:lineRule="auto"/>
        <w:ind w:firstLine="480" w:firstLineChars="200"/>
        <w:rPr>
          <w:snapToGrid w:val="0"/>
          <w:kern w:val="0"/>
          <w:sz w:val="24"/>
          <w:szCs w:val="20"/>
        </w:rPr>
        <w:sectPr>
          <w:footerReference r:id="rId12" w:type="default"/>
          <w:footerReference r:id="rId13" w:type="even"/>
          <w:pgSz w:w="11906" w:h="16838"/>
          <w:pgMar w:top="1440" w:right="1797" w:bottom="1440" w:left="1797" w:header="851" w:footer="992" w:gutter="0"/>
          <w:cols w:space="425" w:num="1"/>
          <w:docGrid w:linePitch="312" w:charSpace="0"/>
        </w:sectPr>
      </w:pPr>
      <w:r>
        <w:rPr>
          <w:snapToGrid w:val="0"/>
          <w:kern w:val="0"/>
          <w:sz w:val="24"/>
          <w:szCs w:val="20"/>
        </w:rPr>
        <w:t>建议建设单位在正常生产过程中要加强环保设施日常维护及管理，定期检查、维护与维修，保证稳定、可靠运行，确保污染物达标排放；加强环保法宣传教育，增强全体员工的环保意识，避免事故性排放，确保环境安全。</w:t>
      </w:r>
    </w:p>
    <w:bookmarkEnd w:id="765"/>
    <w:bookmarkEnd w:id="766"/>
    <w:bookmarkEnd w:id="767"/>
    <w:bookmarkEnd w:id="768"/>
    <w:bookmarkEnd w:id="769"/>
    <w:bookmarkEnd w:id="770"/>
    <w:bookmarkEnd w:id="771"/>
    <w:p>
      <w:pPr>
        <w:pStyle w:val="79"/>
        <w:spacing w:after="240"/>
        <w:rPr>
          <w:rStyle w:val="103"/>
          <w:rFonts w:eastAsia="黑体"/>
          <w:b/>
          <w:bCs w:val="0"/>
          <w:kern w:val="2"/>
          <w:sz w:val="32"/>
        </w:rPr>
      </w:pPr>
      <w:bookmarkStart w:id="778" w:name="_Toc227550132"/>
      <w:bookmarkStart w:id="779" w:name="_Toc235007636"/>
      <w:bookmarkStart w:id="780" w:name="_Toc235466348"/>
      <w:bookmarkStart w:id="781" w:name="_Toc467484948"/>
      <w:bookmarkStart w:id="782" w:name="_Toc470358709"/>
      <w:bookmarkStart w:id="783" w:name="_Toc488578930"/>
      <w:bookmarkStart w:id="784" w:name="_Toc467484949"/>
      <w:bookmarkStart w:id="785" w:name="_Toc235466349"/>
      <w:bookmarkStart w:id="786" w:name="_Toc173284115"/>
      <w:bookmarkStart w:id="787" w:name="_Toc173147965"/>
      <w:r>
        <w:rPr>
          <w:rStyle w:val="103"/>
          <w:rFonts w:eastAsia="黑体"/>
          <w:b/>
          <w:bCs w:val="0"/>
          <w:kern w:val="2"/>
          <w:sz w:val="32"/>
        </w:rPr>
        <w:t>第八章  社会环境影响调查与分析</w:t>
      </w:r>
      <w:bookmarkEnd w:id="778"/>
      <w:bookmarkEnd w:id="779"/>
      <w:bookmarkEnd w:id="780"/>
      <w:bookmarkEnd w:id="781"/>
      <w:bookmarkEnd w:id="782"/>
      <w:bookmarkEnd w:id="783"/>
    </w:p>
    <w:p>
      <w:pPr>
        <w:pStyle w:val="77"/>
      </w:pPr>
      <w:bookmarkStart w:id="788" w:name="_Toc488578931"/>
      <w:bookmarkStart w:id="789" w:name="_Toc470358710"/>
      <w:r>
        <w:t>8.1 区域社会环境概况</w:t>
      </w:r>
      <w:bookmarkEnd w:id="784"/>
      <w:bookmarkEnd w:id="785"/>
      <w:bookmarkEnd w:id="788"/>
      <w:bookmarkEnd w:id="789"/>
    </w:p>
    <w:p>
      <w:pPr>
        <w:spacing w:line="360" w:lineRule="auto"/>
        <w:ind w:firstLine="480" w:firstLineChars="200"/>
        <w:rPr>
          <w:snapToGrid w:val="0"/>
          <w:kern w:val="0"/>
          <w:sz w:val="24"/>
        </w:rPr>
      </w:pPr>
      <w:r>
        <w:rPr>
          <w:snapToGrid w:val="0"/>
          <w:kern w:val="0"/>
          <w:sz w:val="24"/>
        </w:rPr>
        <w:t>灵宝市位于豫、秦、晋交界的金三角地区，在北纬34°7′10″ ~ 34°44′21″与东经110°21′18″~111°11′35″之间。南依小秦岭、崤山，同陕西省洛南县、河南省卢氏县和洛宁县接壤；北濒黄河，与山西省芮城县、平陆县隔河相望；东与河南省陕县毗邻；西与陕西省潼关县为邻。全境东西长78.4km，南北宽68.7km，总面积3011km2。灵宝市现有10镇7乡，439个行政村，总人口约73万人，其中非农业人口约12万人。</w:t>
      </w:r>
    </w:p>
    <w:p>
      <w:pPr>
        <w:spacing w:line="360" w:lineRule="auto"/>
        <w:ind w:firstLine="480" w:firstLineChars="200"/>
        <w:rPr>
          <w:snapToGrid w:val="0"/>
          <w:kern w:val="0"/>
          <w:sz w:val="24"/>
        </w:rPr>
      </w:pPr>
      <w:r>
        <w:rPr>
          <w:snapToGrid w:val="0"/>
          <w:kern w:val="0"/>
          <w:sz w:val="24"/>
        </w:rPr>
        <w:t>区域农业结构主要以农业和林果业为主，作物有苹果、大枣、小麦、玉米、棉花、豆类等，经济林主要有苹果、大枣等。灵宝市工业经济主要利用当地丰富的矿产资源，形成了以矿业、化工、冶炼、建材及食品等门类比较齐全的工业体系。全市各乡镇均普及初中教育，村内有小学，各乡镇建有卫生院。</w:t>
      </w:r>
    </w:p>
    <w:p>
      <w:pPr>
        <w:spacing w:line="360" w:lineRule="auto"/>
        <w:ind w:firstLine="480" w:firstLineChars="200"/>
        <w:rPr>
          <w:snapToGrid w:val="0"/>
          <w:kern w:val="0"/>
          <w:sz w:val="24"/>
        </w:rPr>
      </w:pPr>
      <w:r>
        <w:rPr>
          <w:snapToGrid w:val="0"/>
          <w:kern w:val="0"/>
          <w:sz w:val="24"/>
        </w:rPr>
        <w:t>项目所在地朱阳镇位于河南省灵宝市西南部，是一个以种植业、养殖业、林果业、矿产业为主的深山区农业大镇、黄金大镇，又是豫、陕两省，灵宝、卢氏、洛南三县（市）交界处最大的区域性中心小城镇和商贸集散地，镇区距灵宝市区42公里，250省道贯通区间全镇，地理位置优越，经贸文化交流繁荣昌盛。全镇东西长42公里，南北宽43公里，总面积815平方公里，占全市总面积的25.9%，总人口4万余人。</w:t>
      </w:r>
    </w:p>
    <w:p>
      <w:pPr>
        <w:spacing w:line="360" w:lineRule="auto"/>
        <w:ind w:firstLine="480" w:firstLineChars="200"/>
        <w:rPr>
          <w:sz w:val="24"/>
        </w:rPr>
      </w:pPr>
      <w:r>
        <w:rPr>
          <w:snapToGrid w:val="0"/>
          <w:kern w:val="0"/>
          <w:sz w:val="24"/>
        </w:rPr>
        <w:t>项目所在地暂未发现文物古迹，若下一步开发过程中发现文物古迹应按相关规定要求采取措施加以保护。</w:t>
      </w:r>
    </w:p>
    <w:p>
      <w:pPr>
        <w:pStyle w:val="3"/>
        <w:spacing w:beforeLines="30" w:afterLines="30"/>
        <w:rPr>
          <w:rFonts w:ascii="Times New Roman" w:hAnsi="Times New Roman"/>
        </w:rPr>
      </w:pPr>
      <w:bookmarkStart w:id="790" w:name="_Toc467484950"/>
      <w:bookmarkStart w:id="791" w:name="_Toc470358711"/>
      <w:bookmarkStart w:id="792" w:name="_Toc488578932"/>
      <w:bookmarkStart w:id="793" w:name="_Toc235466350"/>
      <w:r>
        <w:rPr>
          <w:rFonts w:ascii="Times New Roman" w:hAnsi="Times New Roman"/>
        </w:rPr>
        <w:t>8.2 社会环境影响调查分析</w:t>
      </w:r>
      <w:bookmarkEnd w:id="790"/>
      <w:bookmarkEnd w:id="791"/>
      <w:bookmarkEnd w:id="792"/>
      <w:bookmarkEnd w:id="793"/>
    </w:p>
    <w:p>
      <w:pPr>
        <w:pStyle w:val="74"/>
      </w:pPr>
      <w:bookmarkStart w:id="794" w:name="_Toc470358712"/>
      <w:r>
        <w:t>8.2.1 工程社会效益简要分析</w:t>
      </w:r>
      <w:bookmarkEnd w:id="794"/>
    </w:p>
    <w:p>
      <w:pPr>
        <w:spacing w:line="360" w:lineRule="auto"/>
        <w:ind w:firstLine="480" w:firstLineChars="200"/>
        <w:rPr>
          <w:snapToGrid w:val="0"/>
          <w:kern w:val="0"/>
          <w:sz w:val="24"/>
        </w:rPr>
      </w:pPr>
      <w:r>
        <w:rPr>
          <w:snapToGrid w:val="0"/>
          <w:kern w:val="0"/>
          <w:sz w:val="24"/>
        </w:rPr>
        <w:t>该项目社会效益主要体现在以下几个方面：</w:t>
      </w:r>
    </w:p>
    <w:p>
      <w:pPr>
        <w:spacing w:line="360" w:lineRule="auto"/>
        <w:ind w:firstLine="480" w:firstLineChars="200"/>
        <w:rPr>
          <w:snapToGrid w:val="0"/>
          <w:kern w:val="0"/>
          <w:sz w:val="24"/>
        </w:rPr>
      </w:pPr>
      <w:r>
        <w:rPr>
          <w:snapToGrid w:val="0"/>
          <w:kern w:val="0"/>
          <w:sz w:val="24"/>
        </w:rPr>
        <w:t>①提供近300人的就业机会，一方面可以充分利用当地闲置的劳动力，另一方面增加当地居民的经济收入；</w:t>
      </w:r>
    </w:p>
    <w:p>
      <w:pPr>
        <w:spacing w:line="360" w:lineRule="auto"/>
        <w:ind w:firstLine="480" w:firstLineChars="200"/>
        <w:rPr>
          <w:snapToGrid w:val="0"/>
          <w:kern w:val="0"/>
          <w:sz w:val="24"/>
        </w:rPr>
      </w:pPr>
      <w:r>
        <w:rPr>
          <w:snapToGrid w:val="0"/>
          <w:kern w:val="0"/>
          <w:sz w:val="24"/>
        </w:rPr>
        <w:t>②项目建成投产后，可增加山区与外界的联系，加强信息传递、物质流通，带动当地建材业、加工业、交通运输业和第三产业等的发展，促进村民经济收入和物质文化生活水平的提高，加快山区群众脱贫致富的步伐；</w:t>
      </w:r>
    </w:p>
    <w:p>
      <w:pPr>
        <w:spacing w:line="360" w:lineRule="auto"/>
        <w:ind w:firstLine="480" w:firstLineChars="200"/>
        <w:rPr>
          <w:snapToGrid w:val="0"/>
          <w:kern w:val="0"/>
          <w:sz w:val="24"/>
        </w:rPr>
      </w:pPr>
      <w:r>
        <w:rPr>
          <w:snapToGrid w:val="0"/>
          <w:kern w:val="0"/>
          <w:sz w:val="24"/>
        </w:rPr>
        <w:t>③企业年销售提高当地政府税收；</w:t>
      </w:r>
    </w:p>
    <w:p>
      <w:pPr>
        <w:spacing w:line="360" w:lineRule="auto"/>
        <w:ind w:firstLine="480" w:firstLineChars="200"/>
        <w:rPr>
          <w:snapToGrid w:val="0"/>
          <w:kern w:val="0"/>
          <w:sz w:val="24"/>
        </w:rPr>
      </w:pPr>
      <w:bookmarkStart w:id="795" w:name="_Toc235466351"/>
      <w:r>
        <w:rPr>
          <w:snapToGrid w:val="0"/>
          <w:kern w:val="0"/>
          <w:sz w:val="24"/>
        </w:rPr>
        <w:t>由于项目建设包含配套的环保设施，制定了具有水土保持功能的措施，不仅可使各种污染物达标排放，大大减轻对环境的影响，也可防治水土流失，而且还具有一定的经济效益与环境效益。</w:t>
      </w:r>
    </w:p>
    <w:p>
      <w:pPr>
        <w:pStyle w:val="3"/>
        <w:spacing w:beforeLines="30" w:afterLines="30"/>
        <w:rPr>
          <w:rFonts w:ascii="Times New Roman" w:hAnsi="Times New Roman"/>
        </w:rPr>
      </w:pPr>
      <w:bookmarkStart w:id="796" w:name="_Toc470358713"/>
      <w:bookmarkStart w:id="797" w:name="_Toc467484951"/>
      <w:bookmarkStart w:id="798" w:name="_Toc488578933"/>
      <w:r>
        <w:rPr>
          <w:rFonts w:ascii="Times New Roman" w:hAnsi="Times New Roman"/>
        </w:rPr>
        <w:t>8.3 结论</w:t>
      </w:r>
      <w:bookmarkEnd w:id="795"/>
      <w:bookmarkEnd w:id="796"/>
      <w:bookmarkEnd w:id="797"/>
      <w:bookmarkEnd w:id="798"/>
    </w:p>
    <w:p>
      <w:pPr>
        <w:spacing w:line="360" w:lineRule="auto"/>
        <w:ind w:firstLine="480" w:firstLineChars="200"/>
        <w:rPr>
          <w:snapToGrid w:val="0"/>
          <w:kern w:val="0"/>
          <w:sz w:val="24"/>
        </w:rPr>
      </w:pPr>
      <w:r>
        <w:rPr>
          <w:snapToGrid w:val="0"/>
          <w:kern w:val="0"/>
          <w:sz w:val="24"/>
        </w:rPr>
        <w:t>综上所述，本项目在发展经济的同时，注意了控制污染及保护生态环境，又具有良好的社会效益，基本上做到了经济效益、环境效益、社会效益的统一。</w:t>
      </w:r>
    </w:p>
    <w:p>
      <w:pPr>
        <w:pStyle w:val="2"/>
        <w:spacing w:before="0" w:after="0" w:line="360" w:lineRule="auto"/>
        <w:jc w:val="center"/>
      </w:pPr>
    </w:p>
    <w:p/>
    <w:p/>
    <w:p/>
    <w:p/>
    <w:p/>
    <w:p>
      <w:pPr>
        <w:sectPr>
          <w:pgSz w:w="11906" w:h="16838"/>
          <w:pgMar w:top="1440" w:right="1797" w:bottom="1440" w:left="1797" w:header="851" w:footer="992" w:gutter="0"/>
          <w:cols w:space="425" w:num="1"/>
          <w:docGrid w:linePitch="312" w:charSpace="0"/>
        </w:sectPr>
      </w:pPr>
    </w:p>
    <w:p>
      <w:pPr>
        <w:pStyle w:val="79"/>
        <w:spacing w:after="240"/>
      </w:pPr>
      <w:bookmarkStart w:id="799" w:name="_Toc488578934"/>
      <w:bookmarkStart w:id="800" w:name="_Toc470358714"/>
      <w:bookmarkStart w:id="801" w:name="_Toc406504271"/>
      <w:bookmarkStart w:id="802" w:name="_Toc407153554"/>
      <w:bookmarkStart w:id="803" w:name="_Toc370112155"/>
      <w:bookmarkStart w:id="804" w:name="_Toc420663744"/>
      <w:bookmarkStart w:id="805" w:name="_Toc407217420"/>
      <w:r>
        <w:t>第九章  公众参与调查</w:t>
      </w:r>
      <w:bookmarkEnd w:id="786"/>
      <w:bookmarkEnd w:id="787"/>
      <w:bookmarkEnd w:id="799"/>
      <w:bookmarkEnd w:id="800"/>
      <w:bookmarkEnd w:id="801"/>
      <w:bookmarkEnd w:id="802"/>
      <w:bookmarkEnd w:id="803"/>
      <w:bookmarkEnd w:id="804"/>
      <w:bookmarkEnd w:id="805"/>
      <w:bookmarkStart w:id="806" w:name="_Toc173284116"/>
      <w:bookmarkStart w:id="807" w:name="_Toc173147966"/>
    </w:p>
    <w:p>
      <w:pPr>
        <w:pStyle w:val="3"/>
        <w:spacing w:before="0" w:after="0"/>
        <w:rPr>
          <w:rFonts w:ascii="Times New Roman" w:hAnsi="Times New Roman"/>
        </w:rPr>
      </w:pPr>
      <w:bookmarkStart w:id="808" w:name="_Toc488578935"/>
      <w:bookmarkStart w:id="809" w:name="_Toc470358715"/>
      <w:bookmarkStart w:id="810" w:name="_Toc406504272"/>
      <w:bookmarkStart w:id="811" w:name="_Toc370112156"/>
      <w:bookmarkStart w:id="812" w:name="_Toc420663745"/>
      <w:bookmarkStart w:id="813" w:name="_Toc407153555"/>
      <w:bookmarkStart w:id="814" w:name="_Toc407217421"/>
      <w:r>
        <w:rPr>
          <w:rFonts w:ascii="Times New Roman" w:hAnsi="Times New Roman"/>
        </w:rPr>
        <w:t>9.1 调查目的及意义</w:t>
      </w:r>
      <w:bookmarkEnd w:id="806"/>
      <w:bookmarkEnd w:id="807"/>
      <w:bookmarkEnd w:id="808"/>
      <w:bookmarkEnd w:id="809"/>
      <w:bookmarkEnd w:id="810"/>
      <w:bookmarkEnd w:id="811"/>
      <w:bookmarkEnd w:id="812"/>
      <w:bookmarkEnd w:id="813"/>
      <w:bookmarkEnd w:id="814"/>
    </w:p>
    <w:p>
      <w:pPr>
        <w:autoSpaceDE w:val="0"/>
        <w:autoSpaceDN w:val="0"/>
        <w:spacing w:line="360" w:lineRule="auto"/>
        <w:ind w:firstLine="480" w:firstLineChars="200"/>
        <w:jc w:val="left"/>
        <w:rPr>
          <w:sz w:val="24"/>
        </w:rPr>
      </w:pPr>
      <w:r>
        <w:rPr>
          <w:sz w:val="24"/>
        </w:rPr>
        <w:t>本项目</w:t>
      </w:r>
      <w:r>
        <w:rPr>
          <w:spacing w:val="2"/>
          <w:sz w:val="24"/>
        </w:rPr>
        <w:t>促进了当地人民群众的劳动就业，具有较好的经济效益和社会效益。但也不可避免地对周围水环境、大气环境、声环境、生态环境以及社会环境产生了一定的影响。按照国家有关法律、法规的规定及要求，了解工程建设、试生产期间矿区周围受影响区域居民对工程建设的意见和要求，并加以筛选，来弥补工程在设计、建设过程中的不足，进一步加强和完善该工程的污染防治工作和生态环境恢复工作，有利于该项目的可持续发展。</w:t>
      </w:r>
    </w:p>
    <w:p>
      <w:pPr>
        <w:pStyle w:val="3"/>
        <w:spacing w:before="0" w:after="0"/>
        <w:rPr>
          <w:rFonts w:ascii="Times New Roman" w:hAnsi="Times New Roman"/>
        </w:rPr>
      </w:pPr>
      <w:bookmarkStart w:id="815" w:name="_Toc406504273"/>
      <w:bookmarkStart w:id="816" w:name="_Toc407217422"/>
      <w:bookmarkStart w:id="817" w:name="_Toc173284117"/>
      <w:bookmarkStart w:id="818" w:name="_Toc173147967"/>
      <w:bookmarkStart w:id="819" w:name="_Toc370112157"/>
      <w:bookmarkStart w:id="820" w:name="_Toc420663746"/>
      <w:bookmarkStart w:id="821" w:name="_Toc407153556"/>
      <w:bookmarkStart w:id="822" w:name="_Toc470358716"/>
      <w:bookmarkStart w:id="823" w:name="_Toc488578936"/>
      <w:r>
        <w:rPr>
          <w:rFonts w:ascii="Times New Roman" w:hAnsi="Times New Roman"/>
        </w:rPr>
        <w:t>9.2 调查范围及对象</w:t>
      </w:r>
      <w:bookmarkEnd w:id="815"/>
      <w:bookmarkEnd w:id="816"/>
      <w:bookmarkEnd w:id="817"/>
      <w:bookmarkEnd w:id="818"/>
      <w:bookmarkEnd w:id="819"/>
      <w:bookmarkEnd w:id="820"/>
      <w:bookmarkEnd w:id="821"/>
      <w:bookmarkEnd w:id="822"/>
      <w:bookmarkEnd w:id="823"/>
    </w:p>
    <w:p>
      <w:pPr>
        <w:spacing w:line="360" w:lineRule="auto"/>
        <w:rPr>
          <w:sz w:val="24"/>
        </w:rPr>
      </w:pPr>
      <w:r>
        <w:rPr>
          <w:sz w:val="24"/>
        </w:rPr>
        <w:t xml:space="preserve">    由于本项目处于山沟内，工业场地、选厂、废石场四周1000m范围内无村庄等敏感点，项目周边2.5km有黑山村、大村和美山村。</w:t>
      </w:r>
    </w:p>
    <w:p>
      <w:pPr>
        <w:autoSpaceDE w:val="0"/>
        <w:autoSpaceDN w:val="0"/>
        <w:spacing w:line="360" w:lineRule="auto"/>
        <w:rPr>
          <w:sz w:val="24"/>
        </w:rPr>
      </w:pPr>
      <w:r>
        <w:rPr>
          <w:sz w:val="24"/>
        </w:rPr>
        <w:t xml:space="preserve">    在被调查人群选择时，综合考虑了年龄、职业、文化程度等情况，使被调查人员具有较好的代表性，以便充分反映出工程影响区居民对项目建设的态度和意见。</w:t>
      </w:r>
    </w:p>
    <w:p>
      <w:pPr>
        <w:pStyle w:val="3"/>
        <w:spacing w:before="0" w:after="0"/>
        <w:rPr>
          <w:rFonts w:ascii="Times New Roman" w:hAnsi="Times New Roman"/>
        </w:rPr>
      </w:pPr>
      <w:bookmarkStart w:id="824" w:name="_Toc406504274"/>
      <w:bookmarkStart w:id="825" w:name="_Toc420663747"/>
      <w:bookmarkStart w:id="826" w:name="_Toc173284118"/>
      <w:bookmarkStart w:id="827" w:name="_Toc407153557"/>
      <w:bookmarkStart w:id="828" w:name="_Toc370112158"/>
      <w:bookmarkStart w:id="829" w:name="_Toc173147968"/>
      <w:bookmarkStart w:id="830" w:name="_Toc407217423"/>
      <w:bookmarkStart w:id="831" w:name="_Toc470358717"/>
      <w:bookmarkStart w:id="832" w:name="_Toc488578937"/>
      <w:r>
        <w:rPr>
          <w:rFonts w:ascii="Times New Roman" w:hAnsi="Times New Roman"/>
        </w:rPr>
        <w:t>9.3 调查方法及内容</w:t>
      </w:r>
      <w:bookmarkEnd w:id="824"/>
      <w:bookmarkEnd w:id="825"/>
      <w:bookmarkEnd w:id="826"/>
      <w:bookmarkEnd w:id="827"/>
      <w:bookmarkEnd w:id="828"/>
      <w:bookmarkEnd w:id="829"/>
      <w:bookmarkEnd w:id="830"/>
      <w:bookmarkEnd w:id="831"/>
      <w:bookmarkEnd w:id="832"/>
    </w:p>
    <w:p>
      <w:pPr>
        <w:autoSpaceDE w:val="0"/>
        <w:autoSpaceDN w:val="0"/>
        <w:spacing w:line="360" w:lineRule="auto"/>
        <w:ind w:firstLine="480" w:firstLineChars="200"/>
        <w:jc w:val="left"/>
        <w:rPr>
          <w:sz w:val="24"/>
        </w:rPr>
      </w:pPr>
      <w:r>
        <w:rPr>
          <w:sz w:val="24"/>
        </w:rPr>
        <w:t>调查人员走访工程影响区村庄，听取周围村庄居民对该项目建设后的看法和意见，并以表格的形式让公众的代表填写出所持态度和要求等。调查表让被调查人员自由填写，调查表表达不完个人愿望的可以另外写，自愿交回。被调查的人员组成及调查内容见表9.4-2、表9.4-3。</w:t>
      </w:r>
    </w:p>
    <w:p>
      <w:pPr>
        <w:pStyle w:val="3"/>
        <w:spacing w:before="0" w:after="0"/>
        <w:rPr>
          <w:rFonts w:ascii="Times New Roman" w:hAnsi="Times New Roman"/>
        </w:rPr>
      </w:pPr>
      <w:bookmarkStart w:id="833" w:name="_Toc407217424"/>
      <w:bookmarkStart w:id="834" w:name="_Toc173147969"/>
      <w:bookmarkStart w:id="835" w:name="_Toc420663748"/>
      <w:bookmarkStart w:id="836" w:name="_Toc370112159"/>
      <w:bookmarkStart w:id="837" w:name="_Toc406504275"/>
      <w:bookmarkStart w:id="838" w:name="_Toc407153558"/>
      <w:bookmarkStart w:id="839" w:name="_Toc173284119"/>
      <w:bookmarkStart w:id="840" w:name="_Toc470358718"/>
      <w:bookmarkStart w:id="841" w:name="_Toc488578938"/>
      <w:r>
        <w:rPr>
          <w:rFonts w:ascii="Times New Roman" w:hAnsi="Times New Roman"/>
        </w:rPr>
        <w:t>9.4 调查结果统计分析</w:t>
      </w:r>
      <w:bookmarkEnd w:id="833"/>
      <w:bookmarkEnd w:id="834"/>
      <w:bookmarkEnd w:id="835"/>
      <w:bookmarkEnd w:id="836"/>
      <w:bookmarkEnd w:id="837"/>
      <w:bookmarkEnd w:id="838"/>
      <w:bookmarkEnd w:id="839"/>
      <w:bookmarkEnd w:id="840"/>
      <w:bookmarkEnd w:id="841"/>
    </w:p>
    <w:p>
      <w:pPr>
        <w:autoSpaceDE w:val="0"/>
        <w:autoSpaceDN w:val="0"/>
        <w:spacing w:line="360" w:lineRule="auto"/>
        <w:ind w:firstLine="480" w:firstLineChars="200"/>
        <w:jc w:val="left"/>
        <w:rPr>
          <w:kern w:val="0"/>
          <w:sz w:val="24"/>
        </w:rPr>
      </w:pPr>
      <w:r>
        <w:rPr>
          <w:sz w:val="24"/>
        </w:rPr>
        <w:t>本次公众参与共发放调查表100份，回收有效调查问卷100份，回收率为100%。从现场调查及问卷反馈情况看，被调查者对建设项目施工期、试运行期采取的环境保护措施的效果感到满意和基本满意，从现场调查及问卷反馈情况看，被调查者对</w:t>
      </w:r>
      <w:r>
        <w:rPr>
          <w:kern w:val="0"/>
          <w:sz w:val="24"/>
        </w:rPr>
        <w:t>建设项目施工期、试运行期采取的环境保护措施的效果感到满意和基本满意。调查表样表见附件9。</w:t>
      </w:r>
    </w:p>
    <w:p>
      <w:pPr>
        <w:autoSpaceDE w:val="0"/>
        <w:autoSpaceDN w:val="0"/>
        <w:spacing w:line="360" w:lineRule="auto"/>
        <w:ind w:firstLine="480" w:firstLineChars="200"/>
        <w:jc w:val="left"/>
        <w:rPr>
          <w:kern w:val="0"/>
          <w:sz w:val="24"/>
        </w:rPr>
      </w:pPr>
    </w:p>
    <w:p>
      <w:pPr>
        <w:autoSpaceDE w:val="0"/>
        <w:autoSpaceDN w:val="0"/>
        <w:spacing w:line="360" w:lineRule="auto"/>
        <w:ind w:firstLine="480" w:firstLineChars="200"/>
        <w:jc w:val="left"/>
        <w:rPr>
          <w:kern w:val="0"/>
          <w:sz w:val="24"/>
        </w:rPr>
      </w:pPr>
    </w:p>
    <w:p>
      <w:pPr>
        <w:autoSpaceDE w:val="0"/>
        <w:autoSpaceDN w:val="0"/>
        <w:spacing w:line="360" w:lineRule="auto"/>
        <w:ind w:firstLine="480" w:firstLineChars="200"/>
        <w:jc w:val="left"/>
        <w:rPr>
          <w:sz w:val="24"/>
        </w:rPr>
      </w:pPr>
    </w:p>
    <w:tbl>
      <w:tblPr>
        <w:tblStyle w:val="54"/>
        <w:tblW w:w="860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5"/>
        <w:gridCol w:w="705"/>
        <w:gridCol w:w="976"/>
        <w:gridCol w:w="1141"/>
        <w:gridCol w:w="356"/>
        <w:gridCol w:w="1318"/>
        <w:gridCol w:w="93"/>
        <w:gridCol w:w="144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9" w:hRule="atLeast"/>
        </w:trPr>
        <w:tc>
          <w:tcPr>
            <w:tcW w:w="8603" w:type="dxa"/>
            <w:gridSpan w:val="9"/>
            <w:tcBorders>
              <w:top w:val="nil"/>
              <w:left w:val="nil"/>
              <w:right w:val="nil"/>
            </w:tcBorders>
            <w:shd w:val="clear" w:color="auto" w:fill="auto"/>
            <w:vAlign w:val="center"/>
          </w:tcPr>
          <w:p>
            <w:pPr>
              <w:jc w:val="center"/>
              <w:rPr>
                <w:rFonts w:eastAsia="黑体"/>
                <w:b/>
                <w:szCs w:val="21"/>
              </w:rPr>
            </w:pPr>
            <w:r>
              <w:rPr>
                <w:rFonts w:eastAsia="黑体"/>
                <w:b/>
                <w:szCs w:val="21"/>
              </w:rPr>
              <w:t>表9.4-1灵宝金源晨光有色矿冶有限公司银家沟硫铁矿综合回收扩建工程项目</w:t>
            </w:r>
          </w:p>
          <w:p>
            <w:pPr>
              <w:tabs>
                <w:tab w:val="left" w:pos="4395"/>
              </w:tabs>
              <w:adjustRightInd w:val="0"/>
              <w:snapToGrid w:val="0"/>
              <w:jc w:val="center"/>
              <w:rPr>
                <w:rFonts w:eastAsia="黑体"/>
                <w:b/>
                <w:sz w:val="24"/>
              </w:rPr>
            </w:pPr>
            <w:r>
              <w:rPr>
                <w:rFonts w:eastAsia="黑体"/>
                <w:b/>
                <w:szCs w:val="21"/>
              </w:rPr>
              <w:t>竣工验收公众意见调查表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2" w:hRule="atLeast"/>
        </w:trPr>
        <w:tc>
          <w:tcPr>
            <w:tcW w:w="1285" w:type="dxa"/>
            <w:shd w:val="clear" w:color="auto" w:fill="auto"/>
            <w:vAlign w:val="center"/>
          </w:tcPr>
          <w:p>
            <w:pPr>
              <w:spacing w:line="360" w:lineRule="auto"/>
              <w:jc w:val="center"/>
              <w:rPr>
                <w:szCs w:val="21"/>
              </w:rPr>
            </w:pPr>
            <w:r>
              <w:rPr>
                <w:szCs w:val="21"/>
              </w:rPr>
              <w:t>姓名</w:t>
            </w:r>
          </w:p>
        </w:tc>
        <w:tc>
          <w:tcPr>
            <w:tcW w:w="1681" w:type="dxa"/>
            <w:gridSpan w:val="2"/>
            <w:shd w:val="clear" w:color="auto" w:fill="auto"/>
            <w:vAlign w:val="center"/>
          </w:tcPr>
          <w:p>
            <w:pPr>
              <w:spacing w:line="360" w:lineRule="auto"/>
              <w:jc w:val="center"/>
              <w:rPr>
                <w:szCs w:val="21"/>
              </w:rPr>
            </w:pPr>
          </w:p>
        </w:tc>
        <w:tc>
          <w:tcPr>
            <w:tcW w:w="1141" w:type="dxa"/>
            <w:shd w:val="clear" w:color="auto" w:fill="auto"/>
            <w:vAlign w:val="center"/>
          </w:tcPr>
          <w:p>
            <w:pPr>
              <w:spacing w:line="360" w:lineRule="auto"/>
              <w:jc w:val="center"/>
              <w:rPr>
                <w:szCs w:val="21"/>
              </w:rPr>
            </w:pPr>
            <w:r>
              <w:rPr>
                <w:szCs w:val="21"/>
              </w:rPr>
              <w:t>性别</w:t>
            </w:r>
          </w:p>
        </w:tc>
        <w:tc>
          <w:tcPr>
            <w:tcW w:w="1674" w:type="dxa"/>
            <w:gridSpan w:val="2"/>
            <w:shd w:val="clear" w:color="auto" w:fill="auto"/>
            <w:vAlign w:val="center"/>
          </w:tcPr>
          <w:p>
            <w:pPr>
              <w:spacing w:line="360" w:lineRule="auto"/>
              <w:jc w:val="center"/>
              <w:rPr>
                <w:szCs w:val="21"/>
              </w:rPr>
            </w:pPr>
          </w:p>
        </w:tc>
        <w:tc>
          <w:tcPr>
            <w:tcW w:w="1538" w:type="dxa"/>
            <w:gridSpan w:val="2"/>
            <w:shd w:val="clear" w:color="auto" w:fill="auto"/>
            <w:vAlign w:val="center"/>
          </w:tcPr>
          <w:p>
            <w:pPr>
              <w:spacing w:line="360" w:lineRule="auto"/>
              <w:jc w:val="center"/>
              <w:rPr>
                <w:szCs w:val="21"/>
              </w:rPr>
            </w:pPr>
            <w:r>
              <w:rPr>
                <w:szCs w:val="21"/>
              </w:rPr>
              <w:t>年龄</w:t>
            </w:r>
          </w:p>
        </w:tc>
        <w:tc>
          <w:tcPr>
            <w:tcW w:w="1284" w:type="dxa"/>
            <w:shd w:val="clear" w:color="auto" w:fill="auto"/>
            <w:vAlign w:val="center"/>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9" w:hRule="atLeast"/>
        </w:trPr>
        <w:tc>
          <w:tcPr>
            <w:tcW w:w="1285" w:type="dxa"/>
            <w:shd w:val="clear" w:color="auto" w:fill="auto"/>
            <w:vAlign w:val="center"/>
          </w:tcPr>
          <w:p>
            <w:pPr>
              <w:spacing w:line="360" w:lineRule="auto"/>
              <w:jc w:val="center"/>
              <w:rPr>
                <w:szCs w:val="21"/>
              </w:rPr>
            </w:pPr>
            <w:r>
              <w:rPr>
                <w:szCs w:val="21"/>
              </w:rPr>
              <w:t>职业</w:t>
            </w:r>
          </w:p>
        </w:tc>
        <w:tc>
          <w:tcPr>
            <w:tcW w:w="1681" w:type="dxa"/>
            <w:gridSpan w:val="2"/>
            <w:shd w:val="clear" w:color="auto" w:fill="auto"/>
            <w:vAlign w:val="center"/>
          </w:tcPr>
          <w:p>
            <w:pPr>
              <w:spacing w:line="360" w:lineRule="auto"/>
              <w:jc w:val="center"/>
              <w:rPr>
                <w:szCs w:val="21"/>
              </w:rPr>
            </w:pPr>
          </w:p>
        </w:tc>
        <w:tc>
          <w:tcPr>
            <w:tcW w:w="1141" w:type="dxa"/>
            <w:shd w:val="clear" w:color="auto" w:fill="auto"/>
            <w:vAlign w:val="center"/>
          </w:tcPr>
          <w:p>
            <w:pPr>
              <w:spacing w:line="360" w:lineRule="auto"/>
              <w:jc w:val="center"/>
              <w:rPr>
                <w:szCs w:val="21"/>
              </w:rPr>
            </w:pPr>
            <w:r>
              <w:rPr>
                <w:szCs w:val="21"/>
              </w:rPr>
              <w:t>民族</w:t>
            </w:r>
          </w:p>
        </w:tc>
        <w:tc>
          <w:tcPr>
            <w:tcW w:w="1674" w:type="dxa"/>
            <w:gridSpan w:val="2"/>
            <w:shd w:val="clear" w:color="auto" w:fill="auto"/>
            <w:vAlign w:val="center"/>
          </w:tcPr>
          <w:p>
            <w:pPr>
              <w:spacing w:line="360" w:lineRule="auto"/>
              <w:jc w:val="center"/>
              <w:rPr>
                <w:szCs w:val="21"/>
              </w:rPr>
            </w:pPr>
          </w:p>
        </w:tc>
        <w:tc>
          <w:tcPr>
            <w:tcW w:w="1538" w:type="dxa"/>
            <w:gridSpan w:val="2"/>
            <w:shd w:val="clear" w:color="auto" w:fill="auto"/>
            <w:vAlign w:val="center"/>
          </w:tcPr>
          <w:p>
            <w:pPr>
              <w:spacing w:line="360" w:lineRule="auto"/>
              <w:jc w:val="center"/>
              <w:rPr>
                <w:szCs w:val="21"/>
              </w:rPr>
            </w:pPr>
            <w:r>
              <w:rPr>
                <w:szCs w:val="21"/>
              </w:rPr>
              <w:t>受教育程度</w:t>
            </w:r>
          </w:p>
        </w:tc>
        <w:tc>
          <w:tcPr>
            <w:tcW w:w="1284" w:type="dxa"/>
            <w:shd w:val="clear" w:color="auto" w:fill="auto"/>
            <w:vAlign w:val="center"/>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3" w:hRule="atLeast"/>
        </w:trPr>
        <w:tc>
          <w:tcPr>
            <w:tcW w:w="1285" w:type="dxa"/>
            <w:shd w:val="clear" w:color="auto" w:fill="auto"/>
            <w:vAlign w:val="center"/>
          </w:tcPr>
          <w:p>
            <w:pPr>
              <w:spacing w:line="360" w:lineRule="auto"/>
              <w:jc w:val="center"/>
              <w:rPr>
                <w:szCs w:val="21"/>
              </w:rPr>
            </w:pPr>
            <w:r>
              <w:rPr>
                <w:szCs w:val="21"/>
              </w:rPr>
              <w:t>居住地址</w:t>
            </w:r>
          </w:p>
        </w:tc>
        <w:tc>
          <w:tcPr>
            <w:tcW w:w="4496" w:type="dxa"/>
            <w:gridSpan w:val="5"/>
            <w:shd w:val="clear" w:color="auto" w:fill="auto"/>
            <w:vAlign w:val="center"/>
          </w:tcPr>
          <w:p>
            <w:pPr>
              <w:spacing w:line="360" w:lineRule="auto"/>
              <w:jc w:val="center"/>
              <w:rPr>
                <w:szCs w:val="21"/>
              </w:rPr>
            </w:pPr>
          </w:p>
        </w:tc>
        <w:tc>
          <w:tcPr>
            <w:tcW w:w="1538" w:type="dxa"/>
            <w:gridSpan w:val="2"/>
            <w:shd w:val="clear" w:color="auto" w:fill="auto"/>
            <w:vAlign w:val="center"/>
          </w:tcPr>
          <w:p>
            <w:pPr>
              <w:spacing w:line="360" w:lineRule="auto"/>
              <w:jc w:val="center"/>
              <w:rPr>
                <w:szCs w:val="21"/>
              </w:rPr>
            </w:pPr>
            <w:r>
              <w:rPr>
                <w:szCs w:val="21"/>
              </w:rPr>
              <w:t>方位</w:t>
            </w:r>
          </w:p>
        </w:tc>
        <w:tc>
          <w:tcPr>
            <w:tcW w:w="1284" w:type="dxa"/>
            <w:shd w:val="clear" w:color="auto" w:fill="auto"/>
            <w:vAlign w:val="center"/>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atLeast"/>
        </w:trPr>
        <w:tc>
          <w:tcPr>
            <w:tcW w:w="1285" w:type="dxa"/>
            <w:shd w:val="clear" w:color="auto" w:fill="auto"/>
            <w:vAlign w:val="center"/>
          </w:tcPr>
          <w:p>
            <w:pPr>
              <w:spacing w:line="360" w:lineRule="auto"/>
              <w:jc w:val="center"/>
              <w:rPr>
                <w:szCs w:val="21"/>
              </w:rPr>
            </w:pPr>
            <w:r>
              <w:rPr>
                <w:szCs w:val="21"/>
              </w:rPr>
              <w:t>联系电话</w:t>
            </w:r>
          </w:p>
        </w:tc>
        <w:tc>
          <w:tcPr>
            <w:tcW w:w="7318" w:type="dxa"/>
            <w:gridSpan w:val="8"/>
            <w:shd w:val="clear" w:color="auto" w:fill="auto"/>
            <w:vAlign w:val="center"/>
          </w:tcPr>
          <w:p>
            <w:pPr>
              <w:spacing w:line="360" w:lineRule="auto"/>
              <w:jc w:val="center"/>
              <w:rPr>
                <w:spacing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shd w:val="clear" w:color="auto" w:fill="auto"/>
            <w:vAlign w:val="center"/>
          </w:tcPr>
          <w:p>
            <w:pPr>
              <w:spacing w:line="288" w:lineRule="auto"/>
              <w:jc w:val="center"/>
              <w:rPr>
                <w:szCs w:val="21"/>
              </w:rPr>
            </w:pPr>
            <w:r>
              <w:rPr>
                <w:szCs w:val="21"/>
              </w:rPr>
              <w:t>项目基</w:t>
            </w:r>
          </w:p>
          <w:p>
            <w:pPr>
              <w:spacing w:line="288" w:lineRule="auto"/>
              <w:jc w:val="center"/>
              <w:rPr>
                <w:szCs w:val="21"/>
              </w:rPr>
            </w:pPr>
            <w:r>
              <w:rPr>
                <w:szCs w:val="21"/>
              </w:rPr>
              <w:t>本情况</w:t>
            </w:r>
          </w:p>
        </w:tc>
        <w:tc>
          <w:tcPr>
            <w:tcW w:w="7318" w:type="dxa"/>
            <w:gridSpan w:val="8"/>
            <w:shd w:val="clear" w:color="auto" w:fill="auto"/>
            <w:vAlign w:val="center"/>
          </w:tcPr>
          <w:p>
            <w:pPr>
              <w:adjustRightInd w:val="0"/>
              <w:snapToGrid w:val="0"/>
              <w:spacing w:line="288" w:lineRule="auto"/>
              <w:ind w:firstLine="428" w:firstLineChars="200"/>
              <w:rPr>
                <w:kern w:val="20"/>
                <w:szCs w:val="21"/>
              </w:rPr>
            </w:pPr>
            <w:r>
              <w:rPr>
                <w:spacing w:val="2"/>
                <w:szCs w:val="21"/>
              </w:rPr>
              <w:t>灵宝金源晨光有色矿冶有限公司银家沟硫铁矿综合回收扩建工程项目位于灵宝市朱阳镇，总投资46446.09万元。</w:t>
            </w:r>
            <w:r>
              <w:rPr>
                <w:kern w:val="20"/>
                <w:szCs w:val="21"/>
              </w:rPr>
              <w:t>环评批复</w:t>
            </w:r>
            <w:r>
              <w:rPr>
                <w:spacing w:val="2"/>
                <w:szCs w:val="21"/>
              </w:rPr>
              <w:t>包括50万t/a采矿扩建工程、新增1000t/d选矿生产线及现有650t/d选矿生产线、现有尾矿库、办公生活区及项目区交通道路等。采矿工程</w:t>
            </w:r>
            <w:r>
              <w:rPr>
                <w:kern w:val="20"/>
                <w:szCs w:val="21"/>
              </w:rPr>
              <w:t>实建规模达到35万t/a，选厂实际新增500t/d选矿生产线，与原650t/d选矿生产线一起将达到35×10</w:t>
            </w:r>
            <w:r>
              <w:rPr>
                <w:kern w:val="20"/>
                <w:szCs w:val="21"/>
                <w:vertAlign w:val="superscript"/>
              </w:rPr>
              <w:t>4</w:t>
            </w:r>
            <w:r>
              <w:rPr>
                <w:kern w:val="20"/>
                <w:szCs w:val="21"/>
              </w:rPr>
              <w:t>t/a的选矿能力；选矿工艺采用破碎+筛分+球磨+浮选混合精矿+再磨+浮选铜-硫分离工艺，产品为铜精矿和硫精矿。目前该项目采取的主要污染防治措施如下：①废气：矿山湿式凿岩，配备洒水车洒水抑尘，选厂破碎、筛分系统设置“集气罩+袋式除尘器+15m高排气筒”，精矿堆场设置防雨棚。②废水：废水经过厂区污水站处理后回用于选矿系统，不外排。；③高噪声设备采取隔声、减震、消声措施；④尾矿集中堆存于尾矿库，废石堆存于废石场。</w:t>
            </w:r>
          </w:p>
          <w:p>
            <w:pPr>
              <w:adjustRightInd w:val="0"/>
              <w:snapToGrid w:val="0"/>
              <w:spacing w:line="288" w:lineRule="auto"/>
              <w:rPr>
                <w:spacing w:val="2"/>
                <w:szCs w:val="21"/>
              </w:rPr>
            </w:pPr>
            <w:r>
              <w:rPr>
                <w:kern w:val="20"/>
                <w:szCs w:val="21"/>
              </w:rPr>
              <w:t xml:space="preserve">    河南省环保厅以豫环审[20131250号文对环评报告书进行了批复。目前项目建设完成，申请竣工验收。</w:t>
            </w:r>
            <w:r>
              <w:rPr>
                <w:szCs w:val="21"/>
              </w:rPr>
              <w:t>为了解公众意见，本次验收工作开展公众调查活动请您按照自己的想法，在下面调查内容里填写自己的意见。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restart"/>
            <w:shd w:val="clear" w:color="auto" w:fill="auto"/>
            <w:vAlign w:val="center"/>
          </w:tcPr>
          <w:p>
            <w:pPr>
              <w:spacing w:line="288" w:lineRule="auto"/>
              <w:jc w:val="center"/>
              <w:rPr>
                <w:szCs w:val="21"/>
              </w:rPr>
            </w:pPr>
            <w:r>
              <w:rPr>
                <w:szCs w:val="21"/>
              </w:rPr>
              <w:t>调</w:t>
            </w:r>
          </w:p>
          <w:p>
            <w:pPr>
              <w:spacing w:line="288" w:lineRule="auto"/>
              <w:jc w:val="center"/>
              <w:rPr>
                <w:szCs w:val="21"/>
              </w:rPr>
            </w:pPr>
            <w:r>
              <w:rPr>
                <w:szCs w:val="21"/>
              </w:rPr>
              <w:t>查</w:t>
            </w:r>
          </w:p>
          <w:p>
            <w:pPr>
              <w:spacing w:line="288" w:lineRule="auto"/>
              <w:jc w:val="center"/>
              <w:rPr>
                <w:szCs w:val="21"/>
              </w:rPr>
            </w:pPr>
            <w:r>
              <w:rPr>
                <w:szCs w:val="21"/>
              </w:rPr>
              <w:t>内</w:t>
            </w:r>
          </w:p>
          <w:p>
            <w:pPr>
              <w:spacing w:line="288" w:lineRule="auto"/>
              <w:jc w:val="center"/>
              <w:rPr>
                <w:szCs w:val="21"/>
              </w:rPr>
            </w:pPr>
            <w:r>
              <w:rPr>
                <w:szCs w:val="21"/>
              </w:rPr>
              <w:t>容</w:t>
            </w:r>
          </w:p>
        </w:tc>
        <w:tc>
          <w:tcPr>
            <w:tcW w:w="705" w:type="dxa"/>
            <w:vMerge w:val="restart"/>
            <w:shd w:val="clear" w:color="auto" w:fill="auto"/>
            <w:vAlign w:val="center"/>
          </w:tcPr>
          <w:p>
            <w:pPr>
              <w:adjustRightInd w:val="0"/>
              <w:snapToGrid w:val="0"/>
              <w:spacing w:line="288" w:lineRule="auto"/>
              <w:jc w:val="center"/>
              <w:rPr>
                <w:szCs w:val="21"/>
              </w:rPr>
            </w:pPr>
            <w:r>
              <w:rPr>
                <w:szCs w:val="21"/>
              </w:rPr>
              <w:t>施工期</w:t>
            </w:r>
          </w:p>
        </w:tc>
        <w:tc>
          <w:tcPr>
            <w:tcW w:w="2473" w:type="dxa"/>
            <w:gridSpan w:val="3"/>
            <w:shd w:val="clear" w:color="auto" w:fill="auto"/>
            <w:vAlign w:val="center"/>
          </w:tcPr>
          <w:p>
            <w:pPr>
              <w:adjustRightInd w:val="0"/>
              <w:snapToGrid w:val="0"/>
              <w:spacing w:line="288" w:lineRule="auto"/>
              <w:jc w:val="center"/>
              <w:rPr>
                <w:szCs w:val="21"/>
              </w:rPr>
            </w:pPr>
            <w:r>
              <w:rPr>
                <w:szCs w:val="21"/>
              </w:rPr>
              <w:t>噪声对您的影响程度</w:t>
            </w:r>
          </w:p>
        </w:tc>
        <w:tc>
          <w:tcPr>
            <w:tcW w:w="1411" w:type="dxa"/>
            <w:gridSpan w:val="2"/>
            <w:shd w:val="clear" w:color="auto" w:fill="auto"/>
            <w:vAlign w:val="center"/>
          </w:tcPr>
          <w:p>
            <w:pPr>
              <w:adjustRightInd w:val="0"/>
              <w:snapToGrid w:val="0"/>
              <w:spacing w:line="288" w:lineRule="auto"/>
              <w:jc w:val="center"/>
              <w:rPr>
                <w:szCs w:val="21"/>
              </w:rPr>
            </w:pPr>
            <w:r>
              <w:rPr>
                <w:szCs w:val="21"/>
              </w:rPr>
              <w:t>□没有影响</w:t>
            </w:r>
          </w:p>
        </w:tc>
        <w:tc>
          <w:tcPr>
            <w:tcW w:w="1445" w:type="dxa"/>
            <w:shd w:val="clear" w:color="auto" w:fill="auto"/>
            <w:vAlign w:val="center"/>
          </w:tcPr>
          <w:p>
            <w:pPr>
              <w:adjustRightInd w:val="0"/>
              <w:snapToGrid w:val="0"/>
              <w:spacing w:line="288" w:lineRule="auto"/>
              <w:jc w:val="center"/>
              <w:rPr>
                <w:szCs w:val="21"/>
              </w:rPr>
            </w:pPr>
            <w:r>
              <w:rPr>
                <w:szCs w:val="21"/>
              </w:rPr>
              <w:t>□影响较轻</w:t>
            </w:r>
          </w:p>
        </w:tc>
        <w:tc>
          <w:tcPr>
            <w:tcW w:w="1284" w:type="dxa"/>
            <w:shd w:val="clear" w:color="auto" w:fill="auto"/>
            <w:vAlign w:val="center"/>
          </w:tcPr>
          <w:p>
            <w:pPr>
              <w:adjustRightInd w:val="0"/>
              <w:snapToGrid w:val="0"/>
              <w:spacing w:line="288" w:lineRule="auto"/>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continue"/>
            <w:shd w:val="clear" w:color="auto" w:fill="auto"/>
            <w:vAlign w:val="center"/>
          </w:tcPr>
          <w:p>
            <w:pPr>
              <w:spacing w:line="288" w:lineRule="auto"/>
              <w:jc w:val="center"/>
              <w:rPr>
                <w:szCs w:val="21"/>
              </w:rPr>
            </w:pPr>
          </w:p>
        </w:tc>
        <w:tc>
          <w:tcPr>
            <w:tcW w:w="705" w:type="dxa"/>
            <w:vMerge w:val="continue"/>
            <w:shd w:val="clear" w:color="auto" w:fill="auto"/>
            <w:vAlign w:val="center"/>
          </w:tcPr>
          <w:p>
            <w:pPr>
              <w:adjustRightInd w:val="0"/>
              <w:snapToGrid w:val="0"/>
              <w:spacing w:line="288" w:lineRule="auto"/>
              <w:jc w:val="center"/>
              <w:rPr>
                <w:szCs w:val="21"/>
              </w:rPr>
            </w:pPr>
          </w:p>
        </w:tc>
        <w:tc>
          <w:tcPr>
            <w:tcW w:w="2473" w:type="dxa"/>
            <w:gridSpan w:val="3"/>
            <w:shd w:val="clear" w:color="auto" w:fill="auto"/>
            <w:vAlign w:val="center"/>
          </w:tcPr>
          <w:p>
            <w:pPr>
              <w:adjustRightInd w:val="0"/>
              <w:snapToGrid w:val="0"/>
              <w:spacing w:line="288" w:lineRule="auto"/>
              <w:jc w:val="center"/>
              <w:rPr>
                <w:szCs w:val="21"/>
              </w:rPr>
            </w:pPr>
            <w:r>
              <w:rPr>
                <w:szCs w:val="21"/>
              </w:rPr>
              <w:t>扬尘对您的影响程度</w:t>
            </w:r>
          </w:p>
        </w:tc>
        <w:tc>
          <w:tcPr>
            <w:tcW w:w="1411" w:type="dxa"/>
            <w:gridSpan w:val="2"/>
            <w:shd w:val="clear" w:color="auto" w:fill="auto"/>
            <w:vAlign w:val="center"/>
          </w:tcPr>
          <w:p>
            <w:pPr>
              <w:adjustRightInd w:val="0"/>
              <w:snapToGrid w:val="0"/>
              <w:spacing w:line="288" w:lineRule="auto"/>
              <w:jc w:val="center"/>
              <w:rPr>
                <w:szCs w:val="21"/>
              </w:rPr>
            </w:pPr>
            <w:r>
              <w:rPr>
                <w:szCs w:val="21"/>
              </w:rPr>
              <w:t>□没有影响</w:t>
            </w:r>
          </w:p>
        </w:tc>
        <w:tc>
          <w:tcPr>
            <w:tcW w:w="1445" w:type="dxa"/>
            <w:shd w:val="clear" w:color="auto" w:fill="auto"/>
            <w:vAlign w:val="center"/>
          </w:tcPr>
          <w:p>
            <w:pPr>
              <w:adjustRightInd w:val="0"/>
              <w:snapToGrid w:val="0"/>
              <w:spacing w:line="288" w:lineRule="auto"/>
              <w:jc w:val="center"/>
              <w:rPr>
                <w:szCs w:val="21"/>
              </w:rPr>
            </w:pPr>
            <w:r>
              <w:rPr>
                <w:szCs w:val="21"/>
              </w:rPr>
              <w:t>□影响较轻</w:t>
            </w:r>
          </w:p>
        </w:tc>
        <w:tc>
          <w:tcPr>
            <w:tcW w:w="1284" w:type="dxa"/>
            <w:shd w:val="clear" w:color="auto" w:fill="auto"/>
            <w:vAlign w:val="center"/>
          </w:tcPr>
          <w:p>
            <w:pPr>
              <w:adjustRightInd w:val="0"/>
              <w:snapToGrid w:val="0"/>
              <w:spacing w:line="288" w:lineRule="auto"/>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continue"/>
            <w:shd w:val="clear" w:color="auto" w:fill="auto"/>
            <w:vAlign w:val="center"/>
          </w:tcPr>
          <w:p>
            <w:pPr>
              <w:spacing w:line="288" w:lineRule="auto"/>
              <w:jc w:val="center"/>
              <w:rPr>
                <w:szCs w:val="21"/>
              </w:rPr>
            </w:pPr>
          </w:p>
        </w:tc>
        <w:tc>
          <w:tcPr>
            <w:tcW w:w="705" w:type="dxa"/>
            <w:vMerge w:val="continue"/>
            <w:shd w:val="clear" w:color="auto" w:fill="auto"/>
            <w:vAlign w:val="center"/>
          </w:tcPr>
          <w:p>
            <w:pPr>
              <w:adjustRightInd w:val="0"/>
              <w:snapToGrid w:val="0"/>
              <w:spacing w:line="288" w:lineRule="auto"/>
              <w:jc w:val="center"/>
              <w:rPr>
                <w:szCs w:val="21"/>
              </w:rPr>
            </w:pPr>
          </w:p>
        </w:tc>
        <w:tc>
          <w:tcPr>
            <w:tcW w:w="2473" w:type="dxa"/>
            <w:gridSpan w:val="3"/>
            <w:shd w:val="clear" w:color="auto" w:fill="auto"/>
            <w:vAlign w:val="center"/>
          </w:tcPr>
          <w:p>
            <w:pPr>
              <w:adjustRightInd w:val="0"/>
              <w:snapToGrid w:val="0"/>
              <w:spacing w:line="288" w:lineRule="auto"/>
              <w:jc w:val="center"/>
              <w:rPr>
                <w:szCs w:val="21"/>
              </w:rPr>
            </w:pPr>
            <w:r>
              <w:rPr>
                <w:szCs w:val="21"/>
              </w:rPr>
              <w:t>废水对您的影响程度</w:t>
            </w:r>
          </w:p>
        </w:tc>
        <w:tc>
          <w:tcPr>
            <w:tcW w:w="1411" w:type="dxa"/>
            <w:gridSpan w:val="2"/>
            <w:shd w:val="clear" w:color="auto" w:fill="auto"/>
            <w:vAlign w:val="center"/>
          </w:tcPr>
          <w:p>
            <w:pPr>
              <w:adjustRightInd w:val="0"/>
              <w:snapToGrid w:val="0"/>
              <w:spacing w:line="288" w:lineRule="auto"/>
              <w:jc w:val="center"/>
              <w:rPr>
                <w:szCs w:val="21"/>
              </w:rPr>
            </w:pPr>
            <w:r>
              <w:rPr>
                <w:szCs w:val="21"/>
              </w:rPr>
              <w:t>□没有影响</w:t>
            </w:r>
          </w:p>
        </w:tc>
        <w:tc>
          <w:tcPr>
            <w:tcW w:w="1445" w:type="dxa"/>
            <w:shd w:val="clear" w:color="auto" w:fill="auto"/>
            <w:vAlign w:val="center"/>
          </w:tcPr>
          <w:p>
            <w:pPr>
              <w:adjustRightInd w:val="0"/>
              <w:snapToGrid w:val="0"/>
              <w:spacing w:line="288" w:lineRule="auto"/>
              <w:jc w:val="center"/>
              <w:rPr>
                <w:szCs w:val="21"/>
              </w:rPr>
            </w:pPr>
            <w:r>
              <w:rPr>
                <w:szCs w:val="21"/>
              </w:rPr>
              <w:t>□影响较轻</w:t>
            </w:r>
          </w:p>
        </w:tc>
        <w:tc>
          <w:tcPr>
            <w:tcW w:w="1284" w:type="dxa"/>
            <w:shd w:val="clear" w:color="auto" w:fill="auto"/>
            <w:vAlign w:val="center"/>
          </w:tcPr>
          <w:p>
            <w:pPr>
              <w:adjustRightInd w:val="0"/>
              <w:snapToGrid w:val="0"/>
              <w:spacing w:line="288" w:lineRule="auto"/>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continue"/>
            <w:shd w:val="clear" w:color="auto" w:fill="auto"/>
            <w:vAlign w:val="center"/>
          </w:tcPr>
          <w:p>
            <w:pPr>
              <w:spacing w:line="288" w:lineRule="auto"/>
              <w:jc w:val="center"/>
              <w:rPr>
                <w:szCs w:val="21"/>
              </w:rPr>
            </w:pPr>
          </w:p>
        </w:tc>
        <w:tc>
          <w:tcPr>
            <w:tcW w:w="705" w:type="dxa"/>
            <w:vMerge w:val="continue"/>
            <w:shd w:val="clear" w:color="auto" w:fill="auto"/>
            <w:vAlign w:val="center"/>
          </w:tcPr>
          <w:p>
            <w:pPr>
              <w:adjustRightInd w:val="0"/>
              <w:snapToGrid w:val="0"/>
              <w:spacing w:line="288" w:lineRule="auto"/>
              <w:jc w:val="center"/>
              <w:rPr>
                <w:szCs w:val="21"/>
              </w:rPr>
            </w:pPr>
          </w:p>
        </w:tc>
        <w:tc>
          <w:tcPr>
            <w:tcW w:w="2473" w:type="dxa"/>
            <w:gridSpan w:val="3"/>
            <w:shd w:val="clear" w:color="auto" w:fill="auto"/>
            <w:vAlign w:val="center"/>
          </w:tcPr>
          <w:p>
            <w:pPr>
              <w:adjustRightInd w:val="0"/>
              <w:snapToGrid w:val="0"/>
              <w:spacing w:line="288" w:lineRule="auto"/>
              <w:jc w:val="center"/>
              <w:rPr>
                <w:szCs w:val="21"/>
              </w:rPr>
            </w:pPr>
            <w:r>
              <w:rPr>
                <w:szCs w:val="21"/>
              </w:rPr>
              <w:t>是否有扰民现象或纠纷</w:t>
            </w:r>
          </w:p>
        </w:tc>
        <w:tc>
          <w:tcPr>
            <w:tcW w:w="1411" w:type="dxa"/>
            <w:gridSpan w:val="2"/>
            <w:shd w:val="clear" w:color="auto" w:fill="auto"/>
            <w:vAlign w:val="center"/>
          </w:tcPr>
          <w:p>
            <w:pPr>
              <w:adjustRightInd w:val="0"/>
              <w:snapToGrid w:val="0"/>
              <w:spacing w:line="288" w:lineRule="auto"/>
              <w:jc w:val="center"/>
              <w:rPr>
                <w:szCs w:val="21"/>
              </w:rPr>
            </w:pPr>
            <w:r>
              <w:rPr>
                <w:szCs w:val="21"/>
              </w:rPr>
              <w:t>□有</w:t>
            </w:r>
          </w:p>
        </w:tc>
        <w:tc>
          <w:tcPr>
            <w:tcW w:w="1445" w:type="dxa"/>
            <w:shd w:val="clear" w:color="auto" w:fill="auto"/>
            <w:vAlign w:val="center"/>
          </w:tcPr>
          <w:p>
            <w:pPr>
              <w:adjustRightInd w:val="0"/>
              <w:snapToGrid w:val="0"/>
              <w:spacing w:line="288" w:lineRule="auto"/>
              <w:jc w:val="center"/>
              <w:rPr>
                <w:szCs w:val="21"/>
              </w:rPr>
            </w:pPr>
            <w:r>
              <w:rPr>
                <w:szCs w:val="21"/>
              </w:rPr>
              <w:t>□没有</w:t>
            </w:r>
          </w:p>
        </w:tc>
        <w:tc>
          <w:tcPr>
            <w:tcW w:w="1284" w:type="dxa"/>
            <w:shd w:val="clear" w:color="auto" w:fill="auto"/>
            <w:vAlign w:val="center"/>
          </w:tcPr>
          <w:p>
            <w:pPr>
              <w:adjustRightInd w:val="0"/>
              <w:snapToGrid w:val="0"/>
              <w:spacing w:line="288"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continue"/>
            <w:shd w:val="clear" w:color="auto" w:fill="auto"/>
            <w:vAlign w:val="center"/>
          </w:tcPr>
          <w:p>
            <w:pPr>
              <w:spacing w:line="288" w:lineRule="auto"/>
              <w:jc w:val="center"/>
              <w:rPr>
                <w:szCs w:val="21"/>
              </w:rPr>
            </w:pPr>
          </w:p>
        </w:tc>
        <w:tc>
          <w:tcPr>
            <w:tcW w:w="705" w:type="dxa"/>
            <w:vMerge w:val="restart"/>
            <w:shd w:val="clear" w:color="auto" w:fill="auto"/>
            <w:vAlign w:val="center"/>
          </w:tcPr>
          <w:p>
            <w:pPr>
              <w:adjustRightInd w:val="0"/>
              <w:snapToGrid w:val="0"/>
              <w:spacing w:line="288" w:lineRule="auto"/>
              <w:jc w:val="center"/>
              <w:rPr>
                <w:szCs w:val="21"/>
              </w:rPr>
            </w:pPr>
            <w:r>
              <w:rPr>
                <w:szCs w:val="21"/>
              </w:rPr>
              <w:t>生产期</w:t>
            </w:r>
          </w:p>
        </w:tc>
        <w:tc>
          <w:tcPr>
            <w:tcW w:w="2473" w:type="dxa"/>
            <w:gridSpan w:val="3"/>
            <w:shd w:val="clear" w:color="auto" w:fill="auto"/>
            <w:vAlign w:val="center"/>
          </w:tcPr>
          <w:p>
            <w:pPr>
              <w:adjustRightInd w:val="0"/>
              <w:snapToGrid w:val="0"/>
              <w:spacing w:line="288" w:lineRule="auto"/>
              <w:jc w:val="center"/>
              <w:rPr>
                <w:szCs w:val="21"/>
              </w:rPr>
            </w:pPr>
            <w:r>
              <w:rPr>
                <w:szCs w:val="21"/>
              </w:rPr>
              <w:t>废气对您的影响程度</w:t>
            </w:r>
          </w:p>
        </w:tc>
        <w:tc>
          <w:tcPr>
            <w:tcW w:w="1411" w:type="dxa"/>
            <w:gridSpan w:val="2"/>
            <w:shd w:val="clear" w:color="auto" w:fill="auto"/>
            <w:vAlign w:val="center"/>
          </w:tcPr>
          <w:p>
            <w:pPr>
              <w:adjustRightInd w:val="0"/>
              <w:snapToGrid w:val="0"/>
              <w:spacing w:line="288" w:lineRule="auto"/>
              <w:jc w:val="center"/>
              <w:rPr>
                <w:szCs w:val="21"/>
              </w:rPr>
            </w:pPr>
            <w:r>
              <w:rPr>
                <w:szCs w:val="21"/>
              </w:rPr>
              <w:t>□没有影响</w:t>
            </w:r>
          </w:p>
        </w:tc>
        <w:tc>
          <w:tcPr>
            <w:tcW w:w="1445" w:type="dxa"/>
            <w:shd w:val="clear" w:color="auto" w:fill="auto"/>
            <w:vAlign w:val="center"/>
          </w:tcPr>
          <w:p>
            <w:pPr>
              <w:adjustRightInd w:val="0"/>
              <w:snapToGrid w:val="0"/>
              <w:spacing w:line="288" w:lineRule="auto"/>
              <w:jc w:val="center"/>
              <w:rPr>
                <w:szCs w:val="21"/>
              </w:rPr>
            </w:pPr>
            <w:r>
              <w:rPr>
                <w:szCs w:val="21"/>
              </w:rPr>
              <w:t>□影响较轻</w:t>
            </w:r>
          </w:p>
        </w:tc>
        <w:tc>
          <w:tcPr>
            <w:tcW w:w="1284" w:type="dxa"/>
            <w:shd w:val="clear" w:color="auto" w:fill="auto"/>
            <w:vAlign w:val="center"/>
          </w:tcPr>
          <w:p>
            <w:pPr>
              <w:adjustRightInd w:val="0"/>
              <w:snapToGrid w:val="0"/>
              <w:spacing w:line="288" w:lineRule="auto"/>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continue"/>
            <w:shd w:val="clear" w:color="auto" w:fill="auto"/>
            <w:vAlign w:val="center"/>
          </w:tcPr>
          <w:p>
            <w:pPr>
              <w:spacing w:line="288" w:lineRule="auto"/>
              <w:jc w:val="center"/>
              <w:rPr>
                <w:szCs w:val="21"/>
              </w:rPr>
            </w:pPr>
          </w:p>
        </w:tc>
        <w:tc>
          <w:tcPr>
            <w:tcW w:w="705" w:type="dxa"/>
            <w:vMerge w:val="continue"/>
            <w:shd w:val="clear" w:color="auto" w:fill="auto"/>
            <w:vAlign w:val="center"/>
          </w:tcPr>
          <w:p>
            <w:pPr>
              <w:adjustRightInd w:val="0"/>
              <w:snapToGrid w:val="0"/>
              <w:spacing w:line="288" w:lineRule="auto"/>
              <w:jc w:val="center"/>
              <w:rPr>
                <w:szCs w:val="21"/>
              </w:rPr>
            </w:pPr>
          </w:p>
        </w:tc>
        <w:tc>
          <w:tcPr>
            <w:tcW w:w="2473" w:type="dxa"/>
            <w:gridSpan w:val="3"/>
            <w:shd w:val="clear" w:color="auto" w:fill="auto"/>
            <w:vAlign w:val="center"/>
          </w:tcPr>
          <w:p>
            <w:pPr>
              <w:adjustRightInd w:val="0"/>
              <w:snapToGrid w:val="0"/>
              <w:spacing w:line="288" w:lineRule="auto"/>
              <w:jc w:val="center"/>
              <w:rPr>
                <w:szCs w:val="21"/>
              </w:rPr>
            </w:pPr>
            <w:r>
              <w:rPr>
                <w:szCs w:val="21"/>
              </w:rPr>
              <w:t>废水对您的影响程度</w:t>
            </w:r>
          </w:p>
        </w:tc>
        <w:tc>
          <w:tcPr>
            <w:tcW w:w="1411" w:type="dxa"/>
            <w:gridSpan w:val="2"/>
            <w:shd w:val="clear" w:color="auto" w:fill="auto"/>
            <w:vAlign w:val="center"/>
          </w:tcPr>
          <w:p>
            <w:pPr>
              <w:adjustRightInd w:val="0"/>
              <w:snapToGrid w:val="0"/>
              <w:spacing w:line="288" w:lineRule="auto"/>
              <w:jc w:val="center"/>
              <w:rPr>
                <w:szCs w:val="21"/>
              </w:rPr>
            </w:pPr>
            <w:r>
              <w:rPr>
                <w:szCs w:val="21"/>
              </w:rPr>
              <w:t>□没有影响</w:t>
            </w:r>
          </w:p>
        </w:tc>
        <w:tc>
          <w:tcPr>
            <w:tcW w:w="1445" w:type="dxa"/>
            <w:shd w:val="clear" w:color="auto" w:fill="auto"/>
            <w:vAlign w:val="center"/>
          </w:tcPr>
          <w:p>
            <w:pPr>
              <w:adjustRightInd w:val="0"/>
              <w:snapToGrid w:val="0"/>
              <w:spacing w:line="288" w:lineRule="auto"/>
              <w:jc w:val="center"/>
              <w:rPr>
                <w:szCs w:val="21"/>
              </w:rPr>
            </w:pPr>
            <w:r>
              <w:rPr>
                <w:szCs w:val="21"/>
              </w:rPr>
              <w:t>□影响较轻</w:t>
            </w:r>
          </w:p>
        </w:tc>
        <w:tc>
          <w:tcPr>
            <w:tcW w:w="1284" w:type="dxa"/>
            <w:shd w:val="clear" w:color="auto" w:fill="auto"/>
            <w:vAlign w:val="center"/>
          </w:tcPr>
          <w:p>
            <w:pPr>
              <w:adjustRightInd w:val="0"/>
              <w:snapToGrid w:val="0"/>
              <w:spacing w:line="288" w:lineRule="auto"/>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continue"/>
            <w:shd w:val="clear" w:color="auto" w:fill="auto"/>
            <w:vAlign w:val="center"/>
          </w:tcPr>
          <w:p>
            <w:pPr>
              <w:spacing w:line="288" w:lineRule="auto"/>
              <w:jc w:val="center"/>
              <w:rPr>
                <w:szCs w:val="21"/>
              </w:rPr>
            </w:pPr>
          </w:p>
        </w:tc>
        <w:tc>
          <w:tcPr>
            <w:tcW w:w="705" w:type="dxa"/>
            <w:vMerge w:val="continue"/>
            <w:shd w:val="clear" w:color="auto" w:fill="auto"/>
            <w:vAlign w:val="center"/>
          </w:tcPr>
          <w:p>
            <w:pPr>
              <w:adjustRightInd w:val="0"/>
              <w:snapToGrid w:val="0"/>
              <w:spacing w:line="288" w:lineRule="auto"/>
              <w:jc w:val="center"/>
              <w:rPr>
                <w:szCs w:val="21"/>
              </w:rPr>
            </w:pPr>
          </w:p>
        </w:tc>
        <w:tc>
          <w:tcPr>
            <w:tcW w:w="2473" w:type="dxa"/>
            <w:gridSpan w:val="3"/>
            <w:shd w:val="clear" w:color="auto" w:fill="auto"/>
            <w:vAlign w:val="center"/>
          </w:tcPr>
          <w:p>
            <w:pPr>
              <w:adjustRightInd w:val="0"/>
              <w:snapToGrid w:val="0"/>
              <w:spacing w:line="288" w:lineRule="auto"/>
              <w:jc w:val="center"/>
              <w:rPr>
                <w:szCs w:val="21"/>
              </w:rPr>
            </w:pPr>
            <w:r>
              <w:rPr>
                <w:szCs w:val="21"/>
              </w:rPr>
              <w:t>噪声对您的影响程度</w:t>
            </w:r>
          </w:p>
        </w:tc>
        <w:tc>
          <w:tcPr>
            <w:tcW w:w="1411" w:type="dxa"/>
            <w:gridSpan w:val="2"/>
            <w:shd w:val="clear" w:color="auto" w:fill="auto"/>
            <w:vAlign w:val="center"/>
          </w:tcPr>
          <w:p>
            <w:pPr>
              <w:adjustRightInd w:val="0"/>
              <w:snapToGrid w:val="0"/>
              <w:spacing w:line="288" w:lineRule="auto"/>
              <w:jc w:val="center"/>
              <w:rPr>
                <w:szCs w:val="21"/>
              </w:rPr>
            </w:pPr>
            <w:r>
              <w:rPr>
                <w:szCs w:val="21"/>
              </w:rPr>
              <w:t>□没有影响</w:t>
            </w:r>
          </w:p>
        </w:tc>
        <w:tc>
          <w:tcPr>
            <w:tcW w:w="1445" w:type="dxa"/>
            <w:shd w:val="clear" w:color="auto" w:fill="auto"/>
            <w:vAlign w:val="center"/>
          </w:tcPr>
          <w:p>
            <w:pPr>
              <w:adjustRightInd w:val="0"/>
              <w:snapToGrid w:val="0"/>
              <w:spacing w:line="288" w:lineRule="auto"/>
              <w:jc w:val="center"/>
              <w:rPr>
                <w:szCs w:val="21"/>
              </w:rPr>
            </w:pPr>
            <w:r>
              <w:rPr>
                <w:szCs w:val="21"/>
              </w:rPr>
              <w:t>□影响较轻</w:t>
            </w:r>
          </w:p>
        </w:tc>
        <w:tc>
          <w:tcPr>
            <w:tcW w:w="1284" w:type="dxa"/>
            <w:shd w:val="clear" w:color="auto" w:fill="auto"/>
            <w:vAlign w:val="center"/>
          </w:tcPr>
          <w:p>
            <w:pPr>
              <w:adjustRightInd w:val="0"/>
              <w:snapToGrid w:val="0"/>
              <w:spacing w:line="288" w:lineRule="auto"/>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continue"/>
            <w:shd w:val="clear" w:color="auto" w:fill="auto"/>
            <w:vAlign w:val="center"/>
          </w:tcPr>
          <w:p>
            <w:pPr>
              <w:spacing w:line="288" w:lineRule="auto"/>
              <w:jc w:val="center"/>
              <w:rPr>
                <w:szCs w:val="21"/>
              </w:rPr>
            </w:pPr>
          </w:p>
        </w:tc>
        <w:tc>
          <w:tcPr>
            <w:tcW w:w="705" w:type="dxa"/>
            <w:vMerge w:val="continue"/>
            <w:shd w:val="clear" w:color="auto" w:fill="auto"/>
            <w:vAlign w:val="center"/>
          </w:tcPr>
          <w:p>
            <w:pPr>
              <w:adjustRightInd w:val="0"/>
              <w:snapToGrid w:val="0"/>
              <w:spacing w:line="288" w:lineRule="auto"/>
              <w:jc w:val="center"/>
              <w:rPr>
                <w:szCs w:val="21"/>
              </w:rPr>
            </w:pPr>
          </w:p>
        </w:tc>
        <w:tc>
          <w:tcPr>
            <w:tcW w:w="2473" w:type="dxa"/>
            <w:gridSpan w:val="3"/>
            <w:shd w:val="clear" w:color="auto" w:fill="auto"/>
            <w:vAlign w:val="center"/>
          </w:tcPr>
          <w:p>
            <w:pPr>
              <w:adjustRightInd w:val="0"/>
              <w:snapToGrid w:val="0"/>
              <w:spacing w:line="288" w:lineRule="auto"/>
              <w:jc w:val="center"/>
              <w:rPr>
                <w:szCs w:val="21"/>
              </w:rPr>
            </w:pPr>
            <w:r>
              <w:rPr>
                <w:szCs w:val="21"/>
              </w:rPr>
              <w:t>固体废物储运及处理处置对您的影响程度</w:t>
            </w:r>
          </w:p>
        </w:tc>
        <w:tc>
          <w:tcPr>
            <w:tcW w:w="1411" w:type="dxa"/>
            <w:gridSpan w:val="2"/>
            <w:shd w:val="clear" w:color="auto" w:fill="auto"/>
            <w:vAlign w:val="center"/>
          </w:tcPr>
          <w:p>
            <w:pPr>
              <w:adjustRightInd w:val="0"/>
              <w:snapToGrid w:val="0"/>
              <w:spacing w:line="288" w:lineRule="auto"/>
              <w:jc w:val="center"/>
              <w:rPr>
                <w:szCs w:val="21"/>
              </w:rPr>
            </w:pPr>
            <w:r>
              <w:rPr>
                <w:szCs w:val="21"/>
              </w:rPr>
              <w:t>□没有影响</w:t>
            </w:r>
          </w:p>
        </w:tc>
        <w:tc>
          <w:tcPr>
            <w:tcW w:w="1445" w:type="dxa"/>
            <w:shd w:val="clear" w:color="auto" w:fill="auto"/>
            <w:vAlign w:val="center"/>
          </w:tcPr>
          <w:p>
            <w:pPr>
              <w:adjustRightInd w:val="0"/>
              <w:snapToGrid w:val="0"/>
              <w:spacing w:line="288" w:lineRule="auto"/>
              <w:jc w:val="center"/>
              <w:rPr>
                <w:szCs w:val="21"/>
              </w:rPr>
            </w:pPr>
            <w:r>
              <w:rPr>
                <w:szCs w:val="21"/>
              </w:rPr>
              <w:t>□影响较轻</w:t>
            </w:r>
          </w:p>
        </w:tc>
        <w:tc>
          <w:tcPr>
            <w:tcW w:w="1284" w:type="dxa"/>
            <w:shd w:val="clear" w:color="auto" w:fill="auto"/>
            <w:vAlign w:val="center"/>
          </w:tcPr>
          <w:p>
            <w:pPr>
              <w:adjustRightInd w:val="0"/>
              <w:snapToGrid w:val="0"/>
              <w:spacing w:line="288" w:lineRule="auto"/>
              <w:jc w:val="center"/>
              <w:rPr>
                <w:szCs w:val="21"/>
              </w:rPr>
            </w:pPr>
            <w:r>
              <w:rPr>
                <w:szCs w:val="21"/>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continue"/>
            <w:shd w:val="clear" w:color="auto" w:fill="auto"/>
            <w:vAlign w:val="center"/>
          </w:tcPr>
          <w:p>
            <w:pPr>
              <w:spacing w:line="288" w:lineRule="auto"/>
              <w:jc w:val="center"/>
              <w:rPr>
                <w:szCs w:val="21"/>
              </w:rPr>
            </w:pPr>
          </w:p>
        </w:tc>
        <w:tc>
          <w:tcPr>
            <w:tcW w:w="705" w:type="dxa"/>
            <w:vMerge w:val="continue"/>
            <w:shd w:val="clear" w:color="auto" w:fill="auto"/>
            <w:vAlign w:val="center"/>
          </w:tcPr>
          <w:p>
            <w:pPr>
              <w:adjustRightInd w:val="0"/>
              <w:snapToGrid w:val="0"/>
              <w:spacing w:line="288" w:lineRule="auto"/>
              <w:jc w:val="center"/>
              <w:rPr>
                <w:szCs w:val="21"/>
              </w:rPr>
            </w:pPr>
          </w:p>
        </w:tc>
        <w:tc>
          <w:tcPr>
            <w:tcW w:w="2473" w:type="dxa"/>
            <w:gridSpan w:val="3"/>
            <w:shd w:val="clear" w:color="auto" w:fill="auto"/>
            <w:vAlign w:val="center"/>
          </w:tcPr>
          <w:p>
            <w:pPr>
              <w:adjustRightInd w:val="0"/>
              <w:snapToGrid w:val="0"/>
              <w:spacing w:line="288" w:lineRule="auto"/>
              <w:jc w:val="center"/>
              <w:rPr>
                <w:szCs w:val="21"/>
              </w:rPr>
            </w:pPr>
            <w:r>
              <w:rPr>
                <w:szCs w:val="21"/>
              </w:rPr>
              <w:t>是否发生过环境污染事故（如有，请注明原因）</w:t>
            </w:r>
          </w:p>
        </w:tc>
        <w:tc>
          <w:tcPr>
            <w:tcW w:w="1411" w:type="dxa"/>
            <w:gridSpan w:val="2"/>
            <w:shd w:val="clear" w:color="auto" w:fill="auto"/>
            <w:vAlign w:val="center"/>
          </w:tcPr>
          <w:p>
            <w:pPr>
              <w:adjustRightInd w:val="0"/>
              <w:snapToGrid w:val="0"/>
              <w:spacing w:line="288" w:lineRule="auto"/>
              <w:jc w:val="center"/>
              <w:rPr>
                <w:szCs w:val="21"/>
              </w:rPr>
            </w:pPr>
            <w:r>
              <w:rPr>
                <w:szCs w:val="21"/>
              </w:rPr>
              <w:t>□有</w:t>
            </w:r>
          </w:p>
        </w:tc>
        <w:tc>
          <w:tcPr>
            <w:tcW w:w="1445" w:type="dxa"/>
            <w:shd w:val="clear" w:color="auto" w:fill="auto"/>
            <w:vAlign w:val="center"/>
          </w:tcPr>
          <w:p>
            <w:pPr>
              <w:adjustRightInd w:val="0"/>
              <w:snapToGrid w:val="0"/>
              <w:spacing w:line="288" w:lineRule="auto"/>
              <w:jc w:val="center"/>
              <w:rPr>
                <w:szCs w:val="21"/>
              </w:rPr>
            </w:pPr>
            <w:r>
              <w:rPr>
                <w:szCs w:val="21"/>
              </w:rPr>
              <w:t>□没有</w:t>
            </w:r>
          </w:p>
        </w:tc>
        <w:tc>
          <w:tcPr>
            <w:tcW w:w="1284" w:type="dxa"/>
            <w:shd w:val="clear" w:color="auto" w:fill="auto"/>
            <w:vAlign w:val="center"/>
          </w:tcPr>
          <w:p>
            <w:pPr>
              <w:adjustRightInd w:val="0"/>
              <w:snapToGrid w:val="0"/>
              <w:spacing w:line="288"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vMerge w:val="continue"/>
            <w:shd w:val="clear" w:color="auto" w:fill="auto"/>
            <w:vAlign w:val="center"/>
          </w:tcPr>
          <w:p>
            <w:pPr>
              <w:spacing w:line="288" w:lineRule="auto"/>
              <w:jc w:val="center"/>
              <w:rPr>
                <w:szCs w:val="21"/>
              </w:rPr>
            </w:pPr>
          </w:p>
        </w:tc>
        <w:tc>
          <w:tcPr>
            <w:tcW w:w="3178" w:type="dxa"/>
            <w:gridSpan w:val="4"/>
            <w:shd w:val="clear" w:color="auto" w:fill="auto"/>
            <w:vAlign w:val="center"/>
          </w:tcPr>
          <w:p>
            <w:pPr>
              <w:adjustRightInd w:val="0"/>
              <w:snapToGrid w:val="0"/>
              <w:spacing w:line="288" w:lineRule="auto"/>
              <w:jc w:val="center"/>
              <w:rPr>
                <w:szCs w:val="21"/>
              </w:rPr>
            </w:pPr>
            <w:r>
              <w:rPr>
                <w:szCs w:val="21"/>
              </w:rPr>
              <w:t>您对该公司本项目的环境保护工作满意程度</w:t>
            </w:r>
          </w:p>
        </w:tc>
        <w:tc>
          <w:tcPr>
            <w:tcW w:w="1411" w:type="dxa"/>
            <w:gridSpan w:val="2"/>
            <w:shd w:val="clear" w:color="auto" w:fill="auto"/>
            <w:vAlign w:val="center"/>
          </w:tcPr>
          <w:p>
            <w:pPr>
              <w:adjustRightInd w:val="0"/>
              <w:snapToGrid w:val="0"/>
              <w:spacing w:line="288" w:lineRule="auto"/>
              <w:jc w:val="center"/>
              <w:rPr>
                <w:szCs w:val="21"/>
              </w:rPr>
            </w:pPr>
            <w:r>
              <w:rPr>
                <w:szCs w:val="21"/>
              </w:rPr>
              <w:t>□满意</w:t>
            </w:r>
          </w:p>
        </w:tc>
        <w:tc>
          <w:tcPr>
            <w:tcW w:w="1445" w:type="dxa"/>
            <w:shd w:val="clear" w:color="auto" w:fill="auto"/>
            <w:vAlign w:val="center"/>
          </w:tcPr>
          <w:p>
            <w:pPr>
              <w:adjustRightInd w:val="0"/>
              <w:snapToGrid w:val="0"/>
              <w:spacing w:line="288" w:lineRule="auto"/>
              <w:jc w:val="center"/>
              <w:rPr>
                <w:szCs w:val="21"/>
              </w:rPr>
            </w:pPr>
            <w:r>
              <w:rPr>
                <w:szCs w:val="21"/>
              </w:rPr>
              <w:t>□较满意</w:t>
            </w:r>
          </w:p>
        </w:tc>
        <w:tc>
          <w:tcPr>
            <w:tcW w:w="1284" w:type="dxa"/>
            <w:shd w:val="clear" w:color="auto" w:fill="auto"/>
            <w:vAlign w:val="center"/>
          </w:tcPr>
          <w:p>
            <w:pPr>
              <w:adjustRightInd w:val="0"/>
              <w:snapToGrid w:val="0"/>
              <w:spacing w:line="288" w:lineRule="auto"/>
              <w:jc w:val="center"/>
              <w:rPr>
                <w:szCs w:val="21"/>
              </w:rPr>
            </w:pPr>
            <w:r>
              <w:rPr>
                <w:szCs w:val="21"/>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285" w:type="dxa"/>
            <w:shd w:val="clear" w:color="auto" w:fill="auto"/>
            <w:vAlign w:val="center"/>
          </w:tcPr>
          <w:p>
            <w:pPr>
              <w:adjustRightInd w:val="0"/>
              <w:snapToGrid w:val="0"/>
              <w:spacing w:line="288" w:lineRule="auto"/>
              <w:jc w:val="center"/>
              <w:rPr>
                <w:szCs w:val="21"/>
              </w:rPr>
            </w:pPr>
            <w:r>
              <w:rPr>
                <w:szCs w:val="21"/>
              </w:rPr>
              <w:t>您对该项目的建设还有什么意见和建议</w:t>
            </w:r>
          </w:p>
        </w:tc>
        <w:tc>
          <w:tcPr>
            <w:tcW w:w="7318" w:type="dxa"/>
            <w:gridSpan w:val="8"/>
            <w:shd w:val="clear" w:color="auto" w:fill="auto"/>
            <w:vAlign w:val="center"/>
          </w:tcPr>
          <w:p>
            <w:pPr>
              <w:spacing w:line="288" w:lineRule="auto"/>
              <w:jc w:val="center"/>
              <w:rPr>
                <w:szCs w:val="21"/>
              </w:rPr>
            </w:pPr>
          </w:p>
        </w:tc>
      </w:tr>
    </w:tbl>
    <w:p>
      <w:pPr>
        <w:autoSpaceDE w:val="0"/>
        <w:autoSpaceDN w:val="0"/>
        <w:spacing w:line="360" w:lineRule="auto"/>
        <w:ind w:firstLine="480" w:firstLineChars="200"/>
        <w:jc w:val="left"/>
        <w:rPr>
          <w:sz w:val="24"/>
        </w:rPr>
      </w:pPr>
    </w:p>
    <w:p>
      <w:pPr>
        <w:autoSpaceDE w:val="0"/>
        <w:autoSpaceDN w:val="0"/>
        <w:spacing w:line="360" w:lineRule="auto"/>
        <w:ind w:firstLine="480" w:firstLineChars="200"/>
        <w:jc w:val="left"/>
        <w:rPr>
          <w:sz w:val="24"/>
        </w:rPr>
      </w:pPr>
    </w:p>
    <w:p>
      <w:pPr>
        <w:autoSpaceDE w:val="0"/>
        <w:autoSpaceDN w:val="0"/>
        <w:spacing w:line="360" w:lineRule="auto"/>
        <w:ind w:firstLine="480" w:firstLineChars="200"/>
        <w:jc w:val="left"/>
        <w:rPr>
          <w:sz w:val="24"/>
        </w:rPr>
      </w:pPr>
    </w:p>
    <w:p>
      <w:pPr>
        <w:jc w:val="center"/>
      </w:pPr>
    </w:p>
    <w:p>
      <w:pPr>
        <w:autoSpaceDE w:val="0"/>
        <w:autoSpaceDN w:val="0"/>
        <w:adjustRightInd w:val="0"/>
        <w:spacing w:line="360" w:lineRule="exact"/>
        <w:jc w:val="left"/>
        <w:rPr>
          <w:rFonts w:eastAsia="黑体"/>
          <w:kern w:val="0"/>
          <w:sz w:val="22"/>
          <w:szCs w:val="22"/>
        </w:rPr>
      </w:pPr>
      <w:r>
        <w:rPr>
          <w:b/>
          <w:kern w:val="0"/>
          <w:sz w:val="24"/>
        </w:rPr>
        <w:t xml:space="preserve">    </w:t>
      </w:r>
      <w:r>
        <w:rPr>
          <w:rFonts w:eastAsia="黑体"/>
          <w:kern w:val="0"/>
          <w:sz w:val="22"/>
          <w:szCs w:val="22"/>
        </w:rPr>
        <w:t>表9.4-2                 公众意见调查统计结果</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2"/>
        <w:gridCol w:w="488"/>
        <w:gridCol w:w="2828"/>
        <w:gridCol w:w="1318"/>
        <w:gridCol w:w="254"/>
        <w:gridCol w:w="991"/>
        <w:gridCol w:w="568"/>
        <w:gridCol w:w="478"/>
        <w:gridCol w:w="10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restart"/>
            <w:vAlign w:val="center"/>
          </w:tcPr>
          <w:p>
            <w:pPr>
              <w:spacing w:line="400" w:lineRule="exact"/>
              <w:jc w:val="center"/>
              <w:rPr>
                <w:szCs w:val="21"/>
              </w:rPr>
            </w:pPr>
            <w:r>
              <w:rPr>
                <w:szCs w:val="21"/>
              </w:rPr>
              <w:t>个</w:t>
            </w:r>
          </w:p>
          <w:p>
            <w:pPr>
              <w:spacing w:line="400" w:lineRule="exact"/>
              <w:jc w:val="center"/>
              <w:rPr>
                <w:szCs w:val="21"/>
              </w:rPr>
            </w:pPr>
            <w:r>
              <w:rPr>
                <w:szCs w:val="21"/>
              </w:rPr>
              <w:t>人</w:t>
            </w:r>
          </w:p>
          <w:p>
            <w:pPr>
              <w:spacing w:line="400" w:lineRule="exact"/>
              <w:jc w:val="center"/>
              <w:rPr>
                <w:szCs w:val="21"/>
              </w:rPr>
            </w:pPr>
            <w:r>
              <w:rPr>
                <w:szCs w:val="21"/>
              </w:rPr>
              <w:t>概</w:t>
            </w:r>
          </w:p>
          <w:p>
            <w:pPr>
              <w:spacing w:line="400" w:lineRule="exact"/>
              <w:jc w:val="center"/>
              <w:rPr>
                <w:szCs w:val="21"/>
              </w:rPr>
            </w:pPr>
            <w:r>
              <w:rPr>
                <w:szCs w:val="21"/>
              </w:rPr>
              <w:t>况</w:t>
            </w:r>
          </w:p>
        </w:tc>
        <w:tc>
          <w:tcPr>
            <w:tcW w:w="3316" w:type="dxa"/>
            <w:gridSpan w:val="2"/>
            <w:vAlign w:val="center"/>
          </w:tcPr>
          <w:p>
            <w:pPr>
              <w:spacing w:line="400" w:lineRule="exact"/>
              <w:jc w:val="center"/>
              <w:rPr>
                <w:szCs w:val="21"/>
              </w:rPr>
            </w:pPr>
            <w:r>
              <w:rPr>
                <w:szCs w:val="21"/>
              </w:rPr>
              <w:t>性别</w:t>
            </w:r>
          </w:p>
        </w:tc>
        <w:tc>
          <w:tcPr>
            <w:tcW w:w="2563" w:type="dxa"/>
            <w:gridSpan w:val="3"/>
            <w:vAlign w:val="center"/>
          </w:tcPr>
          <w:p>
            <w:pPr>
              <w:spacing w:line="400" w:lineRule="exact"/>
              <w:jc w:val="center"/>
              <w:rPr>
                <w:szCs w:val="21"/>
              </w:rPr>
            </w:pPr>
            <w:r>
              <w:rPr>
                <w:szCs w:val="21"/>
              </w:rPr>
              <w:t>男</w:t>
            </w:r>
          </w:p>
        </w:tc>
        <w:tc>
          <w:tcPr>
            <w:tcW w:w="2047" w:type="dxa"/>
            <w:gridSpan w:val="3"/>
            <w:vAlign w:val="center"/>
          </w:tcPr>
          <w:p>
            <w:pPr>
              <w:spacing w:line="400" w:lineRule="exact"/>
              <w:jc w:val="center"/>
              <w:rPr>
                <w:szCs w:val="21"/>
              </w:rPr>
            </w:pPr>
            <w:r>
              <w:rPr>
                <w:szCs w:val="21"/>
              </w:rPr>
              <w:t>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3316" w:type="dxa"/>
            <w:gridSpan w:val="2"/>
            <w:vAlign w:val="center"/>
          </w:tcPr>
          <w:p>
            <w:pPr>
              <w:spacing w:line="400" w:lineRule="exact"/>
              <w:jc w:val="center"/>
              <w:rPr>
                <w:szCs w:val="21"/>
              </w:rPr>
            </w:pPr>
            <w:r>
              <w:rPr>
                <w:szCs w:val="21"/>
              </w:rPr>
              <w:t>选择项占百分比</w:t>
            </w:r>
          </w:p>
        </w:tc>
        <w:tc>
          <w:tcPr>
            <w:tcW w:w="2563" w:type="dxa"/>
            <w:gridSpan w:val="3"/>
            <w:vAlign w:val="center"/>
          </w:tcPr>
          <w:p>
            <w:pPr>
              <w:spacing w:line="400" w:lineRule="exact"/>
              <w:jc w:val="center"/>
              <w:rPr>
                <w:szCs w:val="21"/>
              </w:rPr>
            </w:pPr>
            <w:r>
              <w:rPr>
                <w:szCs w:val="21"/>
              </w:rPr>
              <w:t>97%</w:t>
            </w:r>
          </w:p>
        </w:tc>
        <w:tc>
          <w:tcPr>
            <w:tcW w:w="2047" w:type="dxa"/>
            <w:gridSpan w:val="3"/>
            <w:vAlign w:val="center"/>
          </w:tcPr>
          <w:p>
            <w:pPr>
              <w:spacing w:line="400" w:lineRule="exact"/>
              <w:jc w:val="center"/>
              <w:rPr>
                <w:szCs w:val="21"/>
              </w:rPr>
            </w:pPr>
            <w:r>
              <w:rPr>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3316" w:type="dxa"/>
            <w:gridSpan w:val="2"/>
            <w:vAlign w:val="center"/>
          </w:tcPr>
          <w:p>
            <w:pPr>
              <w:spacing w:line="400" w:lineRule="exact"/>
              <w:jc w:val="center"/>
              <w:rPr>
                <w:szCs w:val="21"/>
              </w:rPr>
            </w:pPr>
            <w:r>
              <w:rPr>
                <w:szCs w:val="21"/>
              </w:rPr>
              <w:t>职业</w:t>
            </w:r>
          </w:p>
        </w:tc>
        <w:tc>
          <w:tcPr>
            <w:tcW w:w="1318" w:type="dxa"/>
            <w:vAlign w:val="center"/>
          </w:tcPr>
          <w:p>
            <w:pPr>
              <w:spacing w:line="400" w:lineRule="exact"/>
              <w:jc w:val="center"/>
              <w:rPr>
                <w:szCs w:val="21"/>
              </w:rPr>
            </w:pPr>
            <w:r>
              <w:rPr>
                <w:szCs w:val="21"/>
              </w:rPr>
              <w:t>工人</w:t>
            </w:r>
          </w:p>
        </w:tc>
        <w:tc>
          <w:tcPr>
            <w:tcW w:w="1245" w:type="dxa"/>
            <w:gridSpan w:val="2"/>
            <w:vAlign w:val="center"/>
          </w:tcPr>
          <w:p>
            <w:pPr>
              <w:spacing w:line="400" w:lineRule="exact"/>
              <w:jc w:val="center"/>
              <w:rPr>
                <w:szCs w:val="21"/>
              </w:rPr>
            </w:pPr>
            <w:r>
              <w:rPr>
                <w:szCs w:val="21"/>
              </w:rPr>
              <w:t>农民</w:t>
            </w:r>
          </w:p>
        </w:tc>
        <w:tc>
          <w:tcPr>
            <w:tcW w:w="1046" w:type="dxa"/>
            <w:gridSpan w:val="2"/>
            <w:vAlign w:val="center"/>
          </w:tcPr>
          <w:p>
            <w:pPr>
              <w:spacing w:line="400" w:lineRule="exact"/>
              <w:ind w:left="69"/>
              <w:jc w:val="center"/>
              <w:rPr>
                <w:szCs w:val="21"/>
              </w:rPr>
            </w:pPr>
            <w:r>
              <w:rPr>
                <w:szCs w:val="21"/>
              </w:rPr>
              <w:t>干部</w:t>
            </w:r>
          </w:p>
        </w:tc>
        <w:tc>
          <w:tcPr>
            <w:tcW w:w="1001" w:type="dxa"/>
            <w:vAlign w:val="center"/>
          </w:tcPr>
          <w:p>
            <w:pPr>
              <w:spacing w:line="400" w:lineRule="exact"/>
              <w:ind w:left="69"/>
              <w:jc w:val="center"/>
              <w:rPr>
                <w:szCs w:val="21"/>
              </w:rPr>
            </w:pPr>
            <w:r>
              <w:rPr>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3316" w:type="dxa"/>
            <w:gridSpan w:val="2"/>
            <w:vAlign w:val="center"/>
          </w:tcPr>
          <w:p>
            <w:pPr>
              <w:spacing w:line="400" w:lineRule="exact"/>
              <w:jc w:val="center"/>
              <w:rPr>
                <w:szCs w:val="21"/>
              </w:rPr>
            </w:pPr>
            <w:r>
              <w:rPr>
                <w:szCs w:val="21"/>
              </w:rPr>
              <w:t>选择项占百分比（%）</w:t>
            </w:r>
          </w:p>
        </w:tc>
        <w:tc>
          <w:tcPr>
            <w:tcW w:w="1318" w:type="dxa"/>
            <w:vAlign w:val="center"/>
          </w:tcPr>
          <w:p>
            <w:pPr>
              <w:spacing w:line="400" w:lineRule="exact"/>
              <w:jc w:val="center"/>
              <w:rPr>
                <w:szCs w:val="21"/>
              </w:rPr>
            </w:pPr>
            <w:r>
              <w:rPr>
                <w:szCs w:val="21"/>
              </w:rPr>
              <w:t>11%</w:t>
            </w:r>
          </w:p>
        </w:tc>
        <w:tc>
          <w:tcPr>
            <w:tcW w:w="1245" w:type="dxa"/>
            <w:gridSpan w:val="2"/>
            <w:vAlign w:val="center"/>
          </w:tcPr>
          <w:p>
            <w:pPr>
              <w:spacing w:line="400" w:lineRule="exact"/>
              <w:jc w:val="center"/>
              <w:rPr>
                <w:szCs w:val="21"/>
              </w:rPr>
            </w:pPr>
            <w:r>
              <w:rPr>
                <w:szCs w:val="21"/>
              </w:rPr>
              <w:t>86%</w:t>
            </w:r>
          </w:p>
        </w:tc>
        <w:tc>
          <w:tcPr>
            <w:tcW w:w="1046" w:type="dxa"/>
            <w:gridSpan w:val="2"/>
            <w:vAlign w:val="center"/>
          </w:tcPr>
          <w:p>
            <w:pPr>
              <w:spacing w:line="400" w:lineRule="exact"/>
              <w:jc w:val="center"/>
              <w:rPr>
                <w:szCs w:val="21"/>
              </w:rPr>
            </w:pPr>
            <w:r>
              <w:rPr>
                <w:szCs w:val="21"/>
              </w:rPr>
              <w:t>3%</w:t>
            </w:r>
          </w:p>
        </w:tc>
        <w:tc>
          <w:tcPr>
            <w:tcW w:w="1001" w:type="dxa"/>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3316" w:type="dxa"/>
            <w:gridSpan w:val="2"/>
            <w:vAlign w:val="center"/>
          </w:tcPr>
          <w:p>
            <w:pPr>
              <w:spacing w:line="400" w:lineRule="exact"/>
              <w:jc w:val="center"/>
              <w:rPr>
                <w:szCs w:val="21"/>
              </w:rPr>
            </w:pPr>
            <w:r>
              <w:rPr>
                <w:szCs w:val="21"/>
              </w:rPr>
              <w:t>文化程度</w:t>
            </w:r>
          </w:p>
        </w:tc>
        <w:tc>
          <w:tcPr>
            <w:tcW w:w="1572" w:type="dxa"/>
            <w:gridSpan w:val="2"/>
            <w:vAlign w:val="center"/>
          </w:tcPr>
          <w:p>
            <w:pPr>
              <w:spacing w:line="400" w:lineRule="exact"/>
              <w:jc w:val="center"/>
              <w:rPr>
                <w:szCs w:val="21"/>
              </w:rPr>
            </w:pPr>
            <w:r>
              <w:rPr>
                <w:szCs w:val="21"/>
              </w:rPr>
              <w:t>专科以上</w:t>
            </w:r>
          </w:p>
        </w:tc>
        <w:tc>
          <w:tcPr>
            <w:tcW w:w="1559" w:type="dxa"/>
            <w:gridSpan w:val="2"/>
            <w:vAlign w:val="center"/>
          </w:tcPr>
          <w:p>
            <w:pPr>
              <w:spacing w:line="400" w:lineRule="exact"/>
              <w:jc w:val="center"/>
              <w:rPr>
                <w:szCs w:val="21"/>
              </w:rPr>
            </w:pPr>
            <w:r>
              <w:rPr>
                <w:szCs w:val="21"/>
              </w:rPr>
              <w:t>高中及中专</w:t>
            </w:r>
          </w:p>
        </w:tc>
        <w:tc>
          <w:tcPr>
            <w:tcW w:w="1479" w:type="dxa"/>
            <w:gridSpan w:val="2"/>
            <w:vAlign w:val="center"/>
          </w:tcPr>
          <w:p>
            <w:pPr>
              <w:spacing w:line="400" w:lineRule="exact"/>
              <w:jc w:val="center"/>
              <w:rPr>
                <w:szCs w:val="21"/>
              </w:rPr>
            </w:pPr>
            <w:r>
              <w:rPr>
                <w:szCs w:val="21"/>
              </w:rPr>
              <w:t>初中及以下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3316" w:type="dxa"/>
            <w:gridSpan w:val="2"/>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2%</w:t>
            </w:r>
          </w:p>
        </w:tc>
        <w:tc>
          <w:tcPr>
            <w:tcW w:w="1559" w:type="dxa"/>
            <w:gridSpan w:val="2"/>
            <w:vAlign w:val="center"/>
          </w:tcPr>
          <w:p>
            <w:pPr>
              <w:spacing w:line="400" w:lineRule="exact"/>
              <w:jc w:val="center"/>
              <w:rPr>
                <w:szCs w:val="21"/>
              </w:rPr>
            </w:pPr>
            <w:r>
              <w:rPr>
                <w:szCs w:val="21"/>
              </w:rPr>
              <w:t>22%</w:t>
            </w:r>
          </w:p>
        </w:tc>
        <w:tc>
          <w:tcPr>
            <w:tcW w:w="1479" w:type="dxa"/>
            <w:gridSpan w:val="2"/>
            <w:vAlign w:val="center"/>
          </w:tcPr>
          <w:p>
            <w:pPr>
              <w:spacing w:line="400" w:lineRule="exact"/>
              <w:jc w:val="center"/>
              <w:rPr>
                <w:szCs w:val="21"/>
              </w:rPr>
            </w:pPr>
            <w:r>
              <w:rPr>
                <w:szCs w:val="21"/>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restart"/>
            <w:vAlign w:val="center"/>
          </w:tcPr>
          <w:p>
            <w:pPr>
              <w:spacing w:line="400" w:lineRule="exact"/>
              <w:jc w:val="center"/>
              <w:rPr>
                <w:szCs w:val="21"/>
              </w:rPr>
            </w:pPr>
            <w:r>
              <w:rPr>
                <w:szCs w:val="21"/>
              </w:rPr>
              <w:t>调查内容</w:t>
            </w:r>
          </w:p>
        </w:tc>
        <w:tc>
          <w:tcPr>
            <w:tcW w:w="488" w:type="dxa"/>
            <w:vMerge w:val="restart"/>
            <w:vAlign w:val="center"/>
          </w:tcPr>
          <w:p>
            <w:pPr>
              <w:spacing w:line="400" w:lineRule="exact"/>
              <w:jc w:val="center"/>
              <w:rPr>
                <w:szCs w:val="21"/>
              </w:rPr>
            </w:pPr>
            <w:r>
              <w:rPr>
                <w:szCs w:val="21"/>
              </w:rPr>
              <w:t>施工期</w:t>
            </w:r>
          </w:p>
        </w:tc>
        <w:tc>
          <w:tcPr>
            <w:tcW w:w="2828" w:type="dxa"/>
            <w:vAlign w:val="center"/>
          </w:tcPr>
          <w:p>
            <w:pPr>
              <w:spacing w:line="400" w:lineRule="exact"/>
              <w:jc w:val="center"/>
              <w:rPr>
                <w:szCs w:val="21"/>
              </w:rPr>
            </w:pPr>
            <w:r>
              <w:rPr>
                <w:szCs w:val="21"/>
              </w:rPr>
              <w:t>噪声对您的影响程度</w:t>
            </w:r>
          </w:p>
        </w:tc>
        <w:tc>
          <w:tcPr>
            <w:tcW w:w="1572" w:type="dxa"/>
            <w:gridSpan w:val="2"/>
            <w:vAlign w:val="center"/>
          </w:tcPr>
          <w:p>
            <w:pPr>
              <w:spacing w:line="400" w:lineRule="exact"/>
              <w:jc w:val="center"/>
              <w:rPr>
                <w:szCs w:val="21"/>
              </w:rPr>
            </w:pPr>
            <w:r>
              <w:rPr>
                <w:szCs w:val="21"/>
              </w:rPr>
              <w:t>没有影响</w:t>
            </w:r>
          </w:p>
        </w:tc>
        <w:tc>
          <w:tcPr>
            <w:tcW w:w="1559" w:type="dxa"/>
            <w:gridSpan w:val="2"/>
            <w:vAlign w:val="center"/>
          </w:tcPr>
          <w:p>
            <w:pPr>
              <w:spacing w:line="400" w:lineRule="exact"/>
              <w:jc w:val="center"/>
              <w:rPr>
                <w:szCs w:val="21"/>
              </w:rPr>
            </w:pPr>
            <w:r>
              <w:rPr>
                <w:szCs w:val="21"/>
              </w:rPr>
              <w:t>影响较轻</w:t>
            </w:r>
          </w:p>
        </w:tc>
        <w:tc>
          <w:tcPr>
            <w:tcW w:w="1479" w:type="dxa"/>
            <w:gridSpan w:val="2"/>
            <w:vAlign w:val="center"/>
          </w:tcPr>
          <w:p>
            <w:pPr>
              <w:spacing w:line="400" w:lineRule="exact"/>
              <w:jc w:val="center"/>
              <w:rPr>
                <w:szCs w:val="21"/>
              </w:rPr>
            </w:pPr>
            <w:r>
              <w:rPr>
                <w:szCs w:val="21"/>
              </w:rPr>
              <w:t>影响较重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100%</w:t>
            </w:r>
          </w:p>
        </w:tc>
        <w:tc>
          <w:tcPr>
            <w:tcW w:w="1559" w:type="dxa"/>
            <w:gridSpan w:val="2"/>
            <w:vAlign w:val="center"/>
          </w:tcPr>
          <w:p>
            <w:pPr>
              <w:spacing w:line="400" w:lineRule="exact"/>
              <w:jc w:val="center"/>
              <w:rPr>
                <w:szCs w:val="21"/>
              </w:rPr>
            </w:pPr>
            <w:r>
              <w:rPr>
                <w:szCs w:val="21"/>
              </w:rPr>
              <w:t>0%</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扬尘对您的影响程度</w:t>
            </w:r>
          </w:p>
        </w:tc>
        <w:tc>
          <w:tcPr>
            <w:tcW w:w="1572" w:type="dxa"/>
            <w:gridSpan w:val="2"/>
            <w:vAlign w:val="center"/>
          </w:tcPr>
          <w:p>
            <w:pPr>
              <w:spacing w:line="400" w:lineRule="exact"/>
              <w:jc w:val="center"/>
              <w:rPr>
                <w:szCs w:val="21"/>
              </w:rPr>
            </w:pPr>
            <w:r>
              <w:rPr>
                <w:szCs w:val="21"/>
              </w:rPr>
              <w:t>没有影响</w:t>
            </w:r>
          </w:p>
        </w:tc>
        <w:tc>
          <w:tcPr>
            <w:tcW w:w="1559" w:type="dxa"/>
            <w:gridSpan w:val="2"/>
            <w:vAlign w:val="center"/>
          </w:tcPr>
          <w:p>
            <w:pPr>
              <w:spacing w:line="400" w:lineRule="exact"/>
              <w:jc w:val="center"/>
              <w:rPr>
                <w:szCs w:val="21"/>
              </w:rPr>
            </w:pPr>
            <w:r>
              <w:rPr>
                <w:szCs w:val="21"/>
              </w:rPr>
              <w:t>影响较轻</w:t>
            </w:r>
          </w:p>
        </w:tc>
        <w:tc>
          <w:tcPr>
            <w:tcW w:w="1479" w:type="dxa"/>
            <w:gridSpan w:val="2"/>
            <w:vAlign w:val="center"/>
          </w:tcPr>
          <w:p>
            <w:pPr>
              <w:spacing w:line="400" w:lineRule="exact"/>
              <w:jc w:val="center"/>
              <w:rPr>
                <w:szCs w:val="21"/>
              </w:rPr>
            </w:pPr>
            <w:r>
              <w:rPr>
                <w:szCs w:val="21"/>
              </w:rPr>
              <w:t>影响较重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100%</w:t>
            </w:r>
          </w:p>
        </w:tc>
        <w:tc>
          <w:tcPr>
            <w:tcW w:w="1559" w:type="dxa"/>
            <w:gridSpan w:val="2"/>
            <w:vAlign w:val="center"/>
          </w:tcPr>
          <w:p>
            <w:pPr>
              <w:spacing w:line="400" w:lineRule="exact"/>
              <w:jc w:val="center"/>
              <w:rPr>
                <w:szCs w:val="21"/>
              </w:rPr>
            </w:pPr>
            <w:r>
              <w:rPr>
                <w:szCs w:val="21"/>
              </w:rPr>
              <w:t>0%</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废水对您的影响程度</w:t>
            </w:r>
          </w:p>
        </w:tc>
        <w:tc>
          <w:tcPr>
            <w:tcW w:w="1572" w:type="dxa"/>
            <w:gridSpan w:val="2"/>
            <w:vAlign w:val="center"/>
          </w:tcPr>
          <w:p>
            <w:pPr>
              <w:spacing w:line="400" w:lineRule="exact"/>
              <w:jc w:val="center"/>
              <w:rPr>
                <w:szCs w:val="21"/>
              </w:rPr>
            </w:pPr>
            <w:r>
              <w:rPr>
                <w:szCs w:val="21"/>
              </w:rPr>
              <w:t>没有影响</w:t>
            </w:r>
          </w:p>
        </w:tc>
        <w:tc>
          <w:tcPr>
            <w:tcW w:w="1559" w:type="dxa"/>
            <w:gridSpan w:val="2"/>
            <w:vAlign w:val="center"/>
          </w:tcPr>
          <w:p>
            <w:pPr>
              <w:spacing w:line="400" w:lineRule="exact"/>
              <w:jc w:val="center"/>
              <w:rPr>
                <w:szCs w:val="21"/>
              </w:rPr>
            </w:pPr>
            <w:r>
              <w:rPr>
                <w:szCs w:val="21"/>
              </w:rPr>
              <w:t>影响较轻</w:t>
            </w:r>
          </w:p>
        </w:tc>
        <w:tc>
          <w:tcPr>
            <w:tcW w:w="1479" w:type="dxa"/>
            <w:gridSpan w:val="2"/>
            <w:vAlign w:val="center"/>
          </w:tcPr>
          <w:p>
            <w:pPr>
              <w:spacing w:line="400" w:lineRule="exact"/>
              <w:jc w:val="center"/>
              <w:rPr>
                <w:szCs w:val="21"/>
              </w:rPr>
            </w:pPr>
            <w:r>
              <w:rPr>
                <w:szCs w:val="21"/>
              </w:rPr>
              <w:t>影响较重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100%</w:t>
            </w:r>
          </w:p>
        </w:tc>
        <w:tc>
          <w:tcPr>
            <w:tcW w:w="1559" w:type="dxa"/>
            <w:gridSpan w:val="2"/>
            <w:vAlign w:val="center"/>
          </w:tcPr>
          <w:p>
            <w:pPr>
              <w:spacing w:line="400" w:lineRule="exact"/>
              <w:jc w:val="center"/>
              <w:rPr>
                <w:szCs w:val="21"/>
              </w:rPr>
            </w:pPr>
            <w:r>
              <w:rPr>
                <w:szCs w:val="21"/>
              </w:rPr>
              <w:t>0%</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是否有扰民现象或纠纷</w:t>
            </w:r>
          </w:p>
        </w:tc>
        <w:tc>
          <w:tcPr>
            <w:tcW w:w="1572" w:type="dxa"/>
            <w:gridSpan w:val="2"/>
            <w:vAlign w:val="center"/>
          </w:tcPr>
          <w:p>
            <w:pPr>
              <w:spacing w:line="400" w:lineRule="exact"/>
              <w:jc w:val="center"/>
              <w:rPr>
                <w:szCs w:val="21"/>
              </w:rPr>
            </w:pPr>
            <w:r>
              <w:rPr>
                <w:szCs w:val="21"/>
              </w:rPr>
              <w:t>有</w:t>
            </w:r>
          </w:p>
        </w:tc>
        <w:tc>
          <w:tcPr>
            <w:tcW w:w="1559" w:type="dxa"/>
            <w:gridSpan w:val="2"/>
            <w:vAlign w:val="center"/>
          </w:tcPr>
          <w:p>
            <w:pPr>
              <w:spacing w:line="400" w:lineRule="exact"/>
              <w:jc w:val="center"/>
              <w:rPr>
                <w:szCs w:val="21"/>
              </w:rPr>
            </w:pPr>
            <w:r>
              <w:rPr>
                <w:szCs w:val="21"/>
              </w:rPr>
              <w:t>没有</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0</w:t>
            </w:r>
          </w:p>
        </w:tc>
        <w:tc>
          <w:tcPr>
            <w:tcW w:w="1559" w:type="dxa"/>
            <w:gridSpan w:val="2"/>
            <w:vAlign w:val="center"/>
          </w:tcPr>
          <w:p>
            <w:pPr>
              <w:spacing w:line="400" w:lineRule="exact"/>
              <w:jc w:val="center"/>
              <w:rPr>
                <w:szCs w:val="21"/>
              </w:rPr>
            </w:pPr>
            <w:r>
              <w:rPr>
                <w:szCs w:val="21"/>
              </w:rPr>
              <w:t>100%</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restart"/>
            <w:vAlign w:val="center"/>
          </w:tcPr>
          <w:p>
            <w:pPr>
              <w:spacing w:line="400" w:lineRule="exact"/>
              <w:jc w:val="center"/>
              <w:rPr>
                <w:szCs w:val="21"/>
              </w:rPr>
            </w:pPr>
            <w:r>
              <w:rPr>
                <w:szCs w:val="21"/>
              </w:rPr>
              <w:t>试生产期</w:t>
            </w:r>
          </w:p>
        </w:tc>
        <w:tc>
          <w:tcPr>
            <w:tcW w:w="2828" w:type="dxa"/>
            <w:vAlign w:val="center"/>
          </w:tcPr>
          <w:p>
            <w:pPr>
              <w:spacing w:line="400" w:lineRule="exact"/>
              <w:jc w:val="center"/>
              <w:rPr>
                <w:szCs w:val="21"/>
              </w:rPr>
            </w:pPr>
            <w:r>
              <w:rPr>
                <w:szCs w:val="21"/>
              </w:rPr>
              <w:t>废气对您的影响程度</w:t>
            </w:r>
          </w:p>
        </w:tc>
        <w:tc>
          <w:tcPr>
            <w:tcW w:w="1572" w:type="dxa"/>
            <w:gridSpan w:val="2"/>
            <w:vAlign w:val="center"/>
          </w:tcPr>
          <w:p>
            <w:pPr>
              <w:spacing w:line="400" w:lineRule="exact"/>
              <w:jc w:val="center"/>
              <w:rPr>
                <w:szCs w:val="21"/>
              </w:rPr>
            </w:pPr>
            <w:r>
              <w:rPr>
                <w:szCs w:val="21"/>
              </w:rPr>
              <w:t>没有影响</w:t>
            </w:r>
          </w:p>
        </w:tc>
        <w:tc>
          <w:tcPr>
            <w:tcW w:w="1559" w:type="dxa"/>
            <w:gridSpan w:val="2"/>
            <w:vAlign w:val="center"/>
          </w:tcPr>
          <w:p>
            <w:pPr>
              <w:spacing w:line="400" w:lineRule="exact"/>
              <w:jc w:val="center"/>
              <w:rPr>
                <w:szCs w:val="21"/>
              </w:rPr>
            </w:pPr>
            <w:r>
              <w:rPr>
                <w:szCs w:val="21"/>
              </w:rPr>
              <w:t>影响较轻</w:t>
            </w:r>
          </w:p>
        </w:tc>
        <w:tc>
          <w:tcPr>
            <w:tcW w:w="1479" w:type="dxa"/>
            <w:gridSpan w:val="2"/>
            <w:vAlign w:val="center"/>
          </w:tcPr>
          <w:p>
            <w:pPr>
              <w:spacing w:line="400" w:lineRule="exact"/>
              <w:jc w:val="center"/>
              <w:rPr>
                <w:szCs w:val="21"/>
              </w:rPr>
            </w:pPr>
            <w:r>
              <w:rPr>
                <w:szCs w:val="21"/>
              </w:rPr>
              <w:t>影响较重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100%</w:t>
            </w:r>
          </w:p>
        </w:tc>
        <w:tc>
          <w:tcPr>
            <w:tcW w:w="1559" w:type="dxa"/>
            <w:gridSpan w:val="2"/>
            <w:vAlign w:val="center"/>
          </w:tcPr>
          <w:p>
            <w:pPr>
              <w:spacing w:line="400" w:lineRule="exact"/>
              <w:jc w:val="center"/>
              <w:rPr>
                <w:szCs w:val="21"/>
              </w:rPr>
            </w:pPr>
            <w:r>
              <w:rPr>
                <w:szCs w:val="21"/>
              </w:rPr>
              <w:t>0%</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废水对您的影响程度</w:t>
            </w:r>
          </w:p>
        </w:tc>
        <w:tc>
          <w:tcPr>
            <w:tcW w:w="1572" w:type="dxa"/>
            <w:gridSpan w:val="2"/>
            <w:vAlign w:val="center"/>
          </w:tcPr>
          <w:p>
            <w:pPr>
              <w:spacing w:line="400" w:lineRule="exact"/>
              <w:jc w:val="center"/>
              <w:rPr>
                <w:szCs w:val="21"/>
              </w:rPr>
            </w:pPr>
            <w:r>
              <w:rPr>
                <w:szCs w:val="21"/>
              </w:rPr>
              <w:t>没有影响</w:t>
            </w:r>
          </w:p>
        </w:tc>
        <w:tc>
          <w:tcPr>
            <w:tcW w:w="1559" w:type="dxa"/>
            <w:gridSpan w:val="2"/>
            <w:vAlign w:val="center"/>
          </w:tcPr>
          <w:p>
            <w:pPr>
              <w:spacing w:line="400" w:lineRule="exact"/>
              <w:jc w:val="center"/>
              <w:rPr>
                <w:szCs w:val="21"/>
              </w:rPr>
            </w:pPr>
            <w:r>
              <w:rPr>
                <w:szCs w:val="21"/>
              </w:rPr>
              <w:t>影响较轻</w:t>
            </w:r>
          </w:p>
        </w:tc>
        <w:tc>
          <w:tcPr>
            <w:tcW w:w="1479" w:type="dxa"/>
            <w:gridSpan w:val="2"/>
            <w:vAlign w:val="center"/>
          </w:tcPr>
          <w:p>
            <w:pPr>
              <w:spacing w:line="400" w:lineRule="exact"/>
              <w:jc w:val="center"/>
              <w:rPr>
                <w:szCs w:val="21"/>
              </w:rPr>
            </w:pPr>
            <w:r>
              <w:rPr>
                <w:szCs w:val="21"/>
              </w:rPr>
              <w:t>影响较重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100%</w:t>
            </w:r>
          </w:p>
        </w:tc>
        <w:tc>
          <w:tcPr>
            <w:tcW w:w="1559" w:type="dxa"/>
            <w:gridSpan w:val="2"/>
            <w:vAlign w:val="center"/>
          </w:tcPr>
          <w:p>
            <w:pPr>
              <w:spacing w:line="400" w:lineRule="exact"/>
              <w:jc w:val="center"/>
              <w:rPr>
                <w:szCs w:val="21"/>
              </w:rPr>
            </w:pPr>
            <w:r>
              <w:rPr>
                <w:szCs w:val="21"/>
              </w:rPr>
              <w:t>0%</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噪声对您的影响程度</w:t>
            </w:r>
          </w:p>
        </w:tc>
        <w:tc>
          <w:tcPr>
            <w:tcW w:w="1572" w:type="dxa"/>
            <w:gridSpan w:val="2"/>
            <w:vAlign w:val="center"/>
          </w:tcPr>
          <w:p>
            <w:pPr>
              <w:spacing w:line="400" w:lineRule="exact"/>
              <w:jc w:val="center"/>
              <w:rPr>
                <w:szCs w:val="21"/>
              </w:rPr>
            </w:pPr>
            <w:r>
              <w:rPr>
                <w:szCs w:val="21"/>
              </w:rPr>
              <w:t>没有影响</w:t>
            </w:r>
          </w:p>
        </w:tc>
        <w:tc>
          <w:tcPr>
            <w:tcW w:w="1559" w:type="dxa"/>
            <w:gridSpan w:val="2"/>
            <w:vAlign w:val="center"/>
          </w:tcPr>
          <w:p>
            <w:pPr>
              <w:spacing w:line="400" w:lineRule="exact"/>
              <w:jc w:val="center"/>
              <w:rPr>
                <w:szCs w:val="21"/>
              </w:rPr>
            </w:pPr>
            <w:r>
              <w:rPr>
                <w:szCs w:val="21"/>
              </w:rPr>
              <w:t>影响较轻</w:t>
            </w:r>
          </w:p>
        </w:tc>
        <w:tc>
          <w:tcPr>
            <w:tcW w:w="1479" w:type="dxa"/>
            <w:gridSpan w:val="2"/>
            <w:vAlign w:val="center"/>
          </w:tcPr>
          <w:p>
            <w:pPr>
              <w:spacing w:line="400" w:lineRule="exact"/>
              <w:jc w:val="center"/>
              <w:rPr>
                <w:szCs w:val="21"/>
              </w:rPr>
            </w:pPr>
            <w:r>
              <w:rPr>
                <w:szCs w:val="21"/>
              </w:rPr>
              <w:t>影响较重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100%</w:t>
            </w:r>
          </w:p>
        </w:tc>
        <w:tc>
          <w:tcPr>
            <w:tcW w:w="1559" w:type="dxa"/>
            <w:gridSpan w:val="2"/>
            <w:vAlign w:val="center"/>
          </w:tcPr>
          <w:p>
            <w:pPr>
              <w:spacing w:line="400" w:lineRule="exact"/>
              <w:jc w:val="center"/>
              <w:rPr>
                <w:szCs w:val="21"/>
              </w:rPr>
            </w:pPr>
            <w:r>
              <w:rPr>
                <w:szCs w:val="21"/>
              </w:rPr>
              <w:t>0%</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固体废物储运及处理处置</w:t>
            </w:r>
          </w:p>
          <w:p>
            <w:pPr>
              <w:spacing w:line="400" w:lineRule="exact"/>
              <w:jc w:val="center"/>
              <w:rPr>
                <w:szCs w:val="21"/>
              </w:rPr>
            </w:pPr>
            <w:r>
              <w:rPr>
                <w:szCs w:val="21"/>
              </w:rPr>
              <w:t>对您的影响程度</w:t>
            </w:r>
          </w:p>
        </w:tc>
        <w:tc>
          <w:tcPr>
            <w:tcW w:w="1572" w:type="dxa"/>
            <w:gridSpan w:val="2"/>
            <w:vAlign w:val="center"/>
          </w:tcPr>
          <w:p>
            <w:pPr>
              <w:spacing w:line="400" w:lineRule="exact"/>
              <w:jc w:val="center"/>
              <w:rPr>
                <w:szCs w:val="21"/>
              </w:rPr>
            </w:pPr>
            <w:r>
              <w:rPr>
                <w:szCs w:val="21"/>
              </w:rPr>
              <w:t>没有影响</w:t>
            </w:r>
          </w:p>
        </w:tc>
        <w:tc>
          <w:tcPr>
            <w:tcW w:w="1559" w:type="dxa"/>
            <w:gridSpan w:val="2"/>
            <w:vAlign w:val="center"/>
          </w:tcPr>
          <w:p>
            <w:pPr>
              <w:spacing w:line="400" w:lineRule="exact"/>
              <w:jc w:val="center"/>
              <w:rPr>
                <w:szCs w:val="21"/>
              </w:rPr>
            </w:pPr>
            <w:r>
              <w:rPr>
                <w:szCs w:val="21"/>
              </w:rPr>
              <w:t>影响较轻</w:t>
            </w:r>
          </w:p>
        </w:tc>
        <w:tc>
          <w:tcPr>
            <w:tcW w:w="1479" w:type="dxa"/>
            <w:gridSpan w:val="2"/>
            <w:vAlign w:val="center"/>
          </w:tcPr>
          <w:p>
            <w:pPr>
              <w:spacing w:line="400" w:lineRule="exact"/>
              <w:jc w:val="center"/>
              <w:rPr>
                <w:szCs w:val="21"/>
              </w:rPr>
            </w:pPr>
            <w:r>
              <w:rPr>
                <w:szCs w:val="21"/>
              </w:rPr>
              <w:t>影响较重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100%</w:t>
            </w:r>
          </w:p>
        </w:tc>
        <w:tc>
          <w:tcPr>
            <w:tcW w:w="1559" w:type="dxa"/>
            <w:gridSpan w:val="2"/>
            <w:vAlign w:val="center"/>
          </w:tcPr>
          <w:p>
            <w:pPr>
              <w:spacing w:line="400" w:lineRule="exact"/>
              <w:jc w:val="center"/>
              <w:rPr>
                <w:szCs w:val="21"/>
              </w:rPr>
            </w:pPr>
            <w:r>
              <w:rPr>
                <w:szCs w:val="21"/>
              </w:rPr>
              <w:t>0%</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是否发生过环境污染事故</w:t>
            </w:r>
          </w:p>
          <w:p>
            <w:pPr>
              <w:spacing w:line="400" w:lineRule="exact"/>
              <w:jc w:val="center"/>
              <w:rPr>
                <w:szCs w:val="21"/>
              </w:rPr>
            </w:pPr>
            <w:r>
              <w:rPr>
                <w:szCs w:val="21"/>
              </w:rPr>
              <w:t>（如有，请注明原因）</w:t>
            </w:r>
          </w:p>
        </w:tc>
        <w:tc>
          <w:tcPr>
            <w:tcW w:w="1572" w:type="dxa"/>
            <w:gridSpan w:val="2"/>
            <w:vAlign w:val="center"/>
          </w:tcPr>
          <w:p>
            <w:pPr>
              <w:spacing w:line="400" w:lineRule="exact"/>
              <w:jc w:val="center"/>
              <w:rPr>
                <w:szCs w:val="21"/>
              </w:rPr>
            </w:pPr>
            <w:r>
              <w:rPr>
                <w:szCs w:val="21"/>
              </w:rPr>
              <w:t>有</w:t>
            </w:r>
          </w:p>
        </w:tc>
        <w:tc>
          <w:tcPr>
            <w:tcW w:w="1559" w:type="dxa"/>
            <w:gridSpan w:val="2"/>
            <w:vAlign w:val="center"/>
          </w:tcPr>
          <w:p>
            <w:pPr>
              <w:spacing w:line="400" w:lineRule="exact"/>
              <w:jc w:val="center"/>
              <w:rPr>
                <w:szCs w:val="21"/>
              </w:rPr>
            </w:pPr>
            <w:r>
              <w:rPr>
                <w:szCs w:val="21"/>
              </w:rPr>
              <w:t>没有</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488" w:type="dxa"/>
            <w:vMerge w:val="continue"/>
            <w:vAlign w:val="center"/>
          </w:tcPr>
          <w:p>
            <w:pPr>
              <w:spacing w:line="400" w:lineRule="exact"/>
              <w:jc w:val="center"/>
              <w:rPr>
                <w:szCs w:val="21"/>
              </w:rPr>
            </w:pPr>
          </w:p>
        </w:tc>
        <w:tc>
          <w:tcPr>
            <w:tcW w:w="2828" w:type="dxa"/>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0%</w:t>
            </w:r>
          </w:p>
        </w:tc>
        <w:tc>
          <w:tcPr>
            <w:tcW w:w="1559" w:type="dxa"/>
            <w:gridSpan w:val="2"/>
            <w:vAlign w:val="center"/>
          </w:tcPr>
          <w:p>
            <w:pPr>
              <w:spacing w:line="400" w:lineRule="exact"/>
              <w:jc w:val="center"/>
              <w:rPr>
                <w:szCs w:val="21"/>
              </w:rPr>
            </w:pPr>
            <w:r>
              <w:rPr>
                <w:szCs w:val="21"/>
              </w:rPr>
              <w:t>100%</w:t>
            </w:r>
          </w:p>
        </w:tc>
        <w:tc>
          <w:tcPr>
            <w:tcW w:w="1479" w:type="dxa"/>
            <w:gridSpan w:val="2"/>
            <w:vAlign w:val="center"/>
          </w:tcPr>
          <w:p>
            <w:pPr>
              <w:spacing w:line="4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3316" w:type="dxa"/>
            <w:gridSpan w:val="2"/>
            <w:vAlign w:val="center"/>
          </w:tcPr>
          <w:p>
            <w:pPr>
              <w:spacing w:line="400" w:lineRule="exact"/>
              <w:jc w:val="center"/>
              <w:rPr>
                <w:szCs w:val="21"/>
              </w:rPr>
            </w:pPr>
            <w:r>
              <w:rPr>
                <w:szCs w:val="21"/>
              </w:rPr>
              <w:t>您对该公司本项目的环境保护</w:t>
            </w:r>
          </w:p>
          <w:p>
            <w:pPr>
              <w:spacing w:line="400" w:lineRule="exact"/>
              <w:jc w:val="center"/>
              <w:rPr>
                <w:szCs w:val="21"/>
              </w:rPr>
            </w:pPr>
            <w:r>
              <w:rPr>
                <w:szCs w:val="21"/>
              </w:rPr>
              <w:t>工作满意程度</w:t>
            </w:r>
          </w:p>
        </w:tc>
        <w:tc>
          <w:tcPr>
            <w:tcW w:w="1572" w:type="dxa"/>
            <w:gridSpan w:val="2"/>
            <w:vAlign w:val="center"/>
          </w:tcPr>
          <w:p>
            <w:pPr>
              <w:spacing w:line="400" w:lineRule="exact"/>
              <w:jc w:val="center"/>
              <w:rPr>
                <w:szCs w:val="21"/>
              </w:rPr>
            </w:pPr>
            <w:r>
              <w:rPr>
                <w:szCs w:val="21"/>
              </w:rPr>
              <w:t>满意</w:t>
            </w:r>
          </w:p>
        </w:tc>
        <w:tc>
          <w:tcPr>
            <w:tcW w:w="1559" w:type="dxa"/>
            <w:gridSpan w:val="2"/>
            <w:vAlign w:val="center"/>
          </w:tcPr>
          <w:p>
            <w:pPr>
              <w:spacing w:line="400" w:lineRule="exact"/>
              <w:jc w:val="center"/>
              <w:rPr>
                <w:szCs w:val="21"/>
              </w:rPr>
            </w:pPr>
            <w:r>
              <w:rPr>
                <w:szCs w:val="21"/>
              </w:rPr>
              <w:t>较满意</w:t>
            </w:r>
          </w:p>
        </w:tc>
        <w:tc>
          <w:tcPr>
            <w:tcW w:w="1479" w:type="dxa"/>
            <w:gridSpan w:val="2"/>
            <w:vAlign w:val="center"/>
          </w:tcPr>
          <w:p>
            <w:pPr>
              <w:spacing w:line="400" w:lineRule="exact"/>
              <w:jc w:val="center"/>
              <w:rPr>
                <w:szCs w:val="21"/>
              </w:rPr>
            </w:pPr>
            <w:r>
              <w:rPr>
                <w:szCs w:val="21"/>
              </w:rPr>
              <w:t>不满意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02" w:type="dxa"/>
            <w:vMerge w:val="continue"/>
            <w:vAlign w:val="center"/>
          </w:tcPr>
          <w:p>
            <w:pPr>
              <w:spacing w:line="400" w:lineRule="exact"/>
              <w:jc w:val="center"/>
              <w:rPr>
                <w:szCs w:val="21"/>
              </w:rPr>
            </w:pPr>
          </w:p>
        </w:tc>
        <w:tc>
          <w:tcPr>
            <w:tcW w:w="3316" w:type="dxa"/>
            <w:gridSpan w:val="2"/>
            <w:vAlign w:val="center"/>
          </w:tcPr>
          <w:p>
            <w:pPr>
              <w:spacing w:line="400" w:lineRule="exact"/>
              <w:jc w:val="center"/>
              <w:rPr>
                <w:szCs w:val="21"/>
              </w:rPr>
            </w:pPr>
            <w:r>
              <w:rPr>
                <w:szCs w:val="21"/>
              </w:rPr>
              <w:t>选择项占百分比（%）</w:t>
            </w:r>
          </w:p>
        </w:tc>
        <w:tc>
          <w:tcPr>
            <w:tcW w:w="1572" w:type="dxa"/>
            <w:gridSpan w:val="2"/>
            <w:vAlign w:val="center"/>
          </w:tcPr>
          <w:p>
            <w:pPr>
              <w:spacing w:line="400" w:lineRule="exact"/>
              <w:jc w:val="center"/>
              <w:rPr>
                <w:szCs w:val="21"/>
              </w:rPr>
            </w:pPr>
            <w:r>
              <w:rPr>
                <w:szCs w:val="21"/>
              </w:rPr>
              <w:t>99%</w:t>
            </w:r>
          </w:p>
        </w:tc>
        <w:tc>
          <w:tcPr>
            <w:tcW w:w="1559" w:type="dxa"/>
            <w:gridSpan w:val="2"/>
            <w:vAlign w:val="center"/>
          </w:tcPr>
          <w:p>
            <w:pPr>
              <w:spacing w:line="400" w:lineRule="exact"/>
              <w:jc w:val="center"/>
              <w:rPr>
                <w:szCs w:val="21"/>
              </w:rPr>
            </w:pPr>
            <w:r>
              <w:rPr>
                <w:szCs w:val="21"/>
              </w:rPr>
              <w:t>1%</w:t>
            </w:r>
          </w:p>
        </w:tc>
        <w:tc>
          <w:tcPr>
            <w:tcW w:w="1479" w:type="dxa"/>
            <w:gridSpan w:val="2"/>
            <w:vAlign w:val="center"/>
          </w:tcPr>
          <w:p>
            <w:pPr>
              <w:spacing w:line="400" w:lineRule="exact"/>
              <w:jc w:val="center"/>
              <w:rPr>
                <w:szCs w:val="21"/>
              </w:rPr>
            </w:pPr>
          </w:p>
        </w:tc>
      </w:tr>
    </w:tbl>
    <w:p>
      <w:pPr>
        <w:autoSpaceDE w:val="0"/>
        <w:autoSpaceDN w:val="0"/>
        <w:spacing w:line="360" w:lineRule="auto"/>
        <w:ind w:firstLine="480" w:firstLineChars="200"/>
        <w:jc w:val="left"/>
        <w:rPr>
          <w:sz w:val="24"/>
        </w:rPr>
      </w:pPr>
      <w:r>
        <w:rPr>
          <w:sz w:val="24"/>
        </w:rPr>
        <w:t>由表9.4-2可知：</w:t>
      </w:r>
    </w:p>
    <w:p>
      <w:pPr>
        <w:autoSpaceDE w:val="0"/>
        <w:autoSpaceDN w:val="0"/>
        <w:spacing w:line="360" w:lineRule="auto"/>
        <w:ind w:firstLine="480" w:firstLineChars="200"/>
        <w:jc w:val="left"/>
        <w:rPr>
          <w:sz w:val="24"/>
        </w:rPr>
      </w:pPr>
      <w:r>
        <w:rPr>
          <w:sz w:val="24"/>
        </w:rPr>
        <w:t>（1）从调查结果可以看出，该建设项目周围被调查人群中对该项目的环境保护工作表示满意的达到99%，较满意的达到1%，无不满意人群。</w:t>
      </w:r>
    </w:p>
    <w:p>
      <w:pPr>
        <w:autoSpaceDE w:val="0"/>
        <w:autoSpaceDN w:val="0"/>
        <w:spacing w:line="360" w:lineRule="auto"/>
        <w:ind w:firstLine="480" w:firstLineChars="200"/>
        <w:jc w:val="left"/>
        <w:rPr>
          <w:sz w:val="24"/>
        </w:rPr>
      </w:pPr>
      <w:r>
        <w:rPr>
          <w:sz w:val="24"/>
        </w:rPr>
        <w:t>（2）本项目建设施工期未出现扰民现象。被调查者均认为施工期废水、扬尘、噪声不会对其周围环境产生较重影响。</w:t>
      </w:r>
    </w:p>
    <w:p>
      <w:pPr>
        <w:autoSpaceDE w:val="0"/>
        <w:autoSpaceDN w:val="0"/>
        <w:spacing w:line="360" w:lineRule="auto"/>
        <w:ind w:firstLine="480" w:firstLineChars="200"/>
        <w:jc w:val="left"/>
        <w:rPr>
          <w:sz w:val="24"/>
        </w:rPr>
      </w:pPr>
      <w:r>
        <w:rPr>
          <w:sz w:val="24"/>
        </w:rPr>
        <w:t>（3）试生产期没有发生过环境污染事故。调查人群中100%的人认为试生产期废水、废气、噪声、固体废物储运及处理处置不会对环境产生较重影响。100%的人对试运行期产生的废气和固体废物储运及处理处置表示满意，认为对其没有影响。有100%的人认为试运行期产生的废水、噪声对其没有影响。</w:t>
      </w:r>
    </w:p>
    <w:p>
      <w:pPr>
        <w:pStyle w:val="3"/>
        <w:spacing w:before="0" w:after="0"/>
        <w:rPr>
          <w:rFonts w:ascii="Times New Roman" w:hAnsi="Times New Roman"/>
        </w:rPr>
      </w:pPr>
      <w:bookmarkStart w:id="842" w:name="_Toc488578939"/>
      <w:bookmarkStart w:id="843" w:name="_Toc370112160"/>
      <w:bookmarkStart w:id="844" w:name="_Toc470358719"/>
      <w:bookmarkStart w:id="845" w:name="_Toc407153559"/>
      <w:bookmarkStart w:id="846" w:name="_Toc173147970"/>
      <w:bookmarkStart w:id="847" w:name="_Toc173284120"/>
      <w:bookmarkStart w:id="848" w:name="_Toc407217425"/>
      <w:bookmarkStart w:id="849" w:name="_Toc420663749"/>
      <w:bookmarkStart w:id="850" w:name="_Toc406504276"/>
      <w:r>
        <w:rPr>
          <w:rFonts w:ascii="Times New Roman" w:hAnsi="Times New Roman"/>
        </w:rPr>
        <w:t>9.5 调查结论与建议</w:t>
      </w:r>
      <w:bookmarkEnd w:id="842"/>
      <w:bookmarkEnd w:id="843"/>
      <w:bookmarkEnd w:id="844"/>
      <w:bookmarkEnd w:id="845"/>
      <w:bookmarkEnd w:id="846"/>
      <w:bookmarkEnd w:id="847"/>
      <w:bookmarkEnd w:id="848"/>
      <w:bookmarkEnd w:id="849"/>
      <w:bookmarkEnd w:id="850"/>
    </w:p>
    <w:p>
      <w:pPr>
        <w:pStyle w:val="10"/>
        <w:spacing w:line="360" w:lineRule="auto"/>
        <w:rPr>
          <w:rFonts w:ascii="Times New Roman" w:hAnsi="Times New Roman"/>
          <w:szCs w:val="30"/>
        </w:rPr>
      </w:pPr>
      <w:bookmarkStart w:id="851" w:name="_Toc407217426"/>
      <w:bookmarkStart w:id="852" w:name="_Toc406504277"/>
      <w:bookmarkStart w:id="853" w:name="_Toc407153560"/>
      <w:bookmarkStart w:id="854" w:name="_Toc420663750"/>
      <w:r>
        <w:rPr>
          <w:rFonts w:ascii="Times New Roman" w:hAnsi="Times New Roman"/>
          <w:szCs w:val="30"/>
        </w:rPr>
        <w:t>9.5.1 调查结论</w:t>
      </w:r>
      <w:bookmarkEnd w:id="851"/>
      <w:bookmarkEnd w:id="852"/>
      <w:bookmarkEnd w:id="853"/>
      <w:bookmarkEnd w:id="854"/>
    </w:p>
    <w:p>
      <w:pPr>
        <w:autoSpaceDE w:val="0"/>
        <w:autoSpaceDN w:val="0"/>
        <w:spacing w:line="360" w:lineRule="auto"/>
        <w:ind w:firstLine="480" w:firstLineChars="200"/>
        <w:jc w:val="left"/>
        <w:rPr>
          <w:sz w:val="24"/>
        </w:rPr>
      </w:pPr>
      <w:r>
        <w:rPr>
          <w:sz w:val="24"/>
        </w:rPr>
        <w:t>综上所述，</w:t>
      </w:r>
      <w:r>
        <w:rPr>
          <w:spacing w:val="2"/>
          <w:sz w:val="24"/>
        </w:rPr>
        <w:t>本项目</w:t>
      </w:r>
      <w:r>
        <w:rPr>
          <w:sz w:val="24"/>
        </w:rPr>
        <w:t>在建设过程中较好地贯彻执行了环境保护“三同时” 制度，调查区附近居民对本项目环境保护建设总体上是满意的，说明该项目在建设期及试运行期各项环境保护措施是得力的。</w:t>
      </w:r>
    </w:p>
    <w:p>
      <w:pPr>
        <w:pStyle w:val="10"/>
        <w:spacing w:line="360" w:lineRule="auto"/>
        <w:rPr>
          <w:rFonts w:ascii="Times New Roman" w:hAnsi="Times New Roman"/>
        </w:rPr>
      </w:pPr>
      <w:bookmarkStart w:id="855" w:name="_Toc406504278"/>
      <w:bookmarkStart w:id="856" w:name="_Toc407153561"/>
      <w:bookmarkStart w:id="857" w:name="_Toc407217427"/>
      <w:bookmarkStart w:id="858" w:name="_Toc420663751"/>
      <w:r>
        <w:rPr>
          <w:rFonts w:ascii="Times New Roman" w:hAnsi="Times New Roman"/>
        </w:rPr>
        <w:t>9.5.2 建议</w:t>
      </w:r>
      <w:bookmarkEnd w:id="855"/>
      <w:bookmarkEnd w:id="856"/>
      <w:bookmarkEnd w:id="857"/>
      <w:bookmarkEnd w:id="858"/>
    </w:p>
    <w:p>
      <w:pPr>
        <w:spacing w:line="360" w:lineRule="auto"/>
        <w:ind w:firstLine="480" w:firstLineChars="200"/>
        <w:rPr>
          <w:sz w:val="24"/>
        </w:rPr>
      </w:pPr>
      <w:r>
        <w:rPr>
          <w:sz w:val="24"/>
        </w:rPr>
        <w:t>（1）严格落实环评提出的各项环保要求，将因项目建设造成的环境影响降到最低。</w:t>
      </w:r>
    </w:p>
    <w:p>
      <w:pPr>
        <w:spacing w:line="360" w:lineRule="auto"/>
        <w:ind w:firstLine="480" w:firstLineChars="200"/>
        <w:rPr>
          <w:sz w:val="24"/>
        </w:rPr>
      </w:pPr>
      <w:r>
        <w:rPr>
          <w:sz w:val="24"/>
        </w:rPr>
        <w:t>（2）建议该矿除管理、技术人员及高级技术工人由公司委派和外聘外，其他普通工人尽量优先从当地农村招收。</w:t>
      </w:r>
    </w:p>
    <w:p>
      <w:pPr>
        <w:spacing w:line="360" w:lineRule="auto"/>
        <w:ind w:firstLine="480" w:firstLineChars="200"/>
        <w:rPr>
          <w:sz w:val="24"/>
        </w:rPr>
      </w:pPr>
      <w:r>
        <w:rPr>
          <w:sz w:val="24"/>
        </w:rPr>
        <w:t>（3）据调查，当地环保部门并未收到针对本项目的环保投诉，在项目生产过程中，建设单位还应经常深入到当地公众中，了解公众意见及时逐一落实，并通过村委会向提出意见的公众告知公众处理情况。</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pStyle w:val="79"/>
        <w:spacing w:after="240"/>
        <w:rPr>
          <w:sz w:val="24"/>
        </w:rPr>
      </w:pPr>
      <w:bookmarkStart w:id="859" w:name="_Toc173284121"/>
      <w:bookmarkStart w:id="860" w:name="_Toc173147971"/>
      <w:r>
        <w:br w:type="page"/>
      </w:r>
      <w:bookmarkStart w:id="861" w:name="_Toc488578940"/>
      <w:bookmarkStart w:id="862" w:name="_Toc470358720"/>
      <w:bookmarkStart w:id="863" w:name="_Toc406504279"/>
      <w:bookmarkStart w:id="864" w:name="_Toc407153562"/>
      <w:bookmarkStart w:id="865" w:name="_Toc420663752"/>
      <w:bookmarkStart w:id="866" w:name="_Toc407217428"/>
      <w:bookmarkStart w:id="867" w:name="_Toc370112161"/>
      <w:r>
        <w:t>第十章  环境保护事故防范措施调查</w:t>
      </w:r>
      <w:bookmarkEnd w:id="859"/>
      <w:bookmarkEnd w:id="860"/>
      <w:bookmarkEnd w:id="861"/>
      <w:bookmarkEnd w:id="862"/>
      <w:bookmarkEnd w:id="863"/>
      <w:bookmarkEnd w:id="864"/>
      <w:bookmarkEnd w:id="865"/>
      <w:bookmarkEnd w:id="866"/>
      <w:bookmarkEnd w:id="867"/>
    </w:p>
    <w:p>
      <w:pPr>
        <w:autoSpaceDE w:val="0"/>
        <w:autoSpaceDN w:val="0"/>
        <w:spacing w:line="360" w:lineRule="auto"/>
        <w:ind w:firstLine="480" w:firstLineChars="200"/>
        <w:jc w:val="left"/>
        <w:rPr>
          <w:bCs/>
          <w:sz w:val="24"/>
        </w:rPr>
      </w:pPr>
      <w:r>
        <w:rPr>
          <w:bCs/>
          <w:sz w:val="24"/>
        </w:rPr>
        <w:t>根据本项目各种污染物的排放特征，为贯彻“安全第一，预防为主”的安全生产方针，预防环保事，发生，并能在事故发生后迅速有效控制处理，使废污水循环利用工作应急处置具有前瞻性、连续性和可操作性，本项目试运行期间，请技术人员对设备操作人员进行现场培训和操作指导，并制定《环境保护管理制度》、《突发性水污染事件应急预案》、《安全环保检查制度》、</w:t>
      </w:r>
      <w:r>
        <w:rPr>
          <w:sz w:val="24"/>
        </w:rPr>
        <w:t>《安全技术规程》、《安全监督管理规定》</w:t>
      </w:r>
      <w:r>
        <w:rPr>
          <w:bCs/>
          <w:sz w:val="24"/>
        </w:rPr>
        <w:t>等各项规章制度，制定废污水处理突发事件应急处置预案。</w:t>
      </w:r>
    </w:p>
    <w:p>
      <w:pPr>
        <w:pStyle w:val="3"/>
        <w:spacing w:before="0" w:after="0"/>
        <w:rPr>
          <w:rFonts w:ascii="Times New Roman" w:hAnsi="Times New Roman"/>
        </w:rPr>
      </w:pPr>
      <w:bookmarkStart w:id="868" w:name="_Toc488578941"/>
      <w:bookmarkStart w:id="869" w:name="_Toc470358721"/>
      <w:bookmarkStart w:id="870" w:name="_Toc407153563"/>
      <w:bookmarkStart w:id="871" w:name="_Toc406504280"/>
      <w:bookmarkStart w:id="872" w:name="_Toc407217429"/>
      <w:bookmarkStart w:id="873" w:name="_Toc420663753"/>
      <w:r>
        <w:rPr>
          <w:rFonts w:ascii="Times New Roman" w:hAnsi="Times New Roman"/>
        </w:rPr>
        <w:t>10.1 废污水处理突发事件应急处置预案指导思想</w:t>
      </w:r>
      <w:bookmarkEnd w:id="868"/>
      <w:bookmarkEnd w:id="869"/>
      <w:bookmarkEnd w:id="870"/>
      <w:bookmarkEnd w:id="871"/>
      <w:bookmarkEnd w:id="872"/>
      <w:bookmarkEnd w:id="873"/>
    </w:p>
    <w:p>
      <w:pPr>
        <w:autoSpaceDE w:val="0"/>
        <w:autoSpaceDN w:val="0"/>
        <w:spacing w:line="360" w:lineRule="auto"/>
        <w:ind w:firstLine="480" w:firstLineChars="200"/>
        <w:jc w:val="left"/>
        <w:rPr>
          <w:bCs/>
          <w:sz w:val="24"/>
        </w:rPr>
      </w:pPr>
      <w:r>
        <w:rPr>
          <w:bCs/>
          <w:sz w:val="24"/>
        </w:rPr>
        <w:t>坚持贯彻“安全第一、常备不懈、以防为主、全力抢险”的废污水处理方针，重点突击“以防为主、防重于抢”的实效性。</w:t>
      </w:r>
    </w:p>
    <w:p>
      <w:pPr>
        <w:pStyle w:val="3"/>
        <w:spacing w:before="0" w:after="0"/>
        <w:rPr>
          <w:rFonts w:ascii="Times New Roman" w:hAnsi="Times New Roman"/>
        </w:rPr>
      </w:pPr>
      <w:bookmarkStart w:id="874" w:name="_Toc488578942"/>
      <w:bookmarkStart w:id="875" w:name="_Toc470358722"/>
      <w:bookmarkStart w:id="876" w:name="_Toc407153564"/>
      <w:bookmarkStart w:id="877" w:name="_Toc407217430"/>
      <w:bookmarkStart w:id="878" w:name="_Toc420663754"/>
      <w:bookmarkStart w:id="879" w:name="_Toc406504281"/>
      <w:r>
        <w:rPr>
          <w:rFonts w:ascii="Times New Roman" w:hAnsi="Times New Roman"/>
        </w:rPr>
        <w:t>10.2 编制说明</w:t>
      </w:r>
      <w:bookmarkEnd w:id="874"/>
      <w:bookmarkEnd w:id="875"/>
      <w:bookmarkEnd w:id="876"/>
      <w:bookmarkEnd w:id="877"/>
      <w:bookmarkEnd w:id="878"/>
      <w:bookmarkEnd w:id="879"/>
    </w:p>
    <w:p>
      <w:pPr>
        <w:autoSpaceDE w:val="0"/>
        <w:autoSpaceDN w:val="0"/>
        <w:spacing w:line="360" w:lineRule="auto"/>
        <w:ind w:firstLine="480" w:firstLineChars="200"/>
        <w:jc w:val="left"/>
        <w:rPr>
          <w:bCs/>
          <w:sz w:val="24"/>
        </w:rPr>
      </w:pPr>
      <w:r>
        <w:rPr>
          <w:bCs/>
          <w:sz w:val="24"/>
        </w:rPr>
        <w:t>该预案由应急领导小组组长宣布启动，但发生以下一般问题的情况下，该预案自然启动：</w:t>
      </w:r>
    </w:p>
    <w:p>
      <w:pPr>
        <w:autoSpaceDE w:val="0"/>
        <w:autoSpaceDN w:val="0"/>
        <w:spacing w:line="360" w:lineRule="auto"/>
        <w:ind w:firstLine="480" w:firstLineChars="200"/>
        <w:jc w:val="left"/>
        <w:rPr>
          <w:bCs/>
          <w:sz w:val="24"/>
        </w:rPr>
      </w:pPr>
      <w:r>
        <w:rPr>
          <w:bCs/>
          <w:sz w:val="24"/>
        </w:rPr>
        <w:t>1、 矿山</w:t>
      </w:r>
      <w:r>
        <w:rPr>
          <w:sz w:val="24"/>
        </w:rPr>
        <w:t>生产废水、</w:t>
      </w:r>
      <w:r>
        <w:rPr>
          <w:bCs/>
          <w:sz w:val="24"/>
        </w:rPr>
        <w:t>选矿厂</w:t>
      </w:r>
      <w:r>
        <w:rPr>
          <w:sz w:val="24"/>
        </w:rPr>
        <w:t>生产废水不能及时回用时</w:t>
      </w:r>
      <w:r>
        <w:rPr>
          <w:bCs/>
          <w:sz w:val="24"/>
        </w:rPr>
        <w:t>；</w:t>
      </w:r>
    </w:p>
    <w:p>
      <w:pPr>
        <w:autoSpaceDE w:val="0"/>
        <w:autoSpaceDN w:val="0"/>
        <w:spacing w:line="360" w:lineRule="auto"/>
        <w:ind w:firstLine="480" w:firstLineChars="200"/>
        <w:jc w:val="left"/>
        <w:rPr>
          <w:bCs/>
          <w:sz w:val="24"/>
        </w:rPr>
      </w:pPr>
      <w:r>
        <w:rPr>
          <w:bCs/>
          <w:sz w:val="24"/>
        </w:rPr>
        <w:t>2、 选矿厂输水管路发生严重泄露；</w:t>
      </w:r>
    </w:p>
    <w:p>
      <w:pPr>
        <w:autoSpaceDE w:val="0"/>
        <w:autoSpaceDN w:val="0"/>
        <w:spacing w:line="360" w:lineRule="auto"/>
        <w:ind w:firstLine="480" w:firstLineChars="200"/>
        <w:jc w:val="left"/>
        <w:rPr>
          <w:bCs/>
          <w:sz w:val="24"/>
        </w:rPr>
      </w:pPr>
      <w:r>
        <w:rPr>
          <w:bCs/>
          <w:sz w:val="24"/>
        </w:rPr>
        <w:t>3、 突发性停电时；</w:t>
      </w:r>
    </w:p>
    <w:p>
      <w:pPr>
        <w:autoSpaceDE w:val="0"/>
        <w:autoSpaceDN w:val="0"/>
        <w:spacing w:line="360" w:lineRule="auto"/>
        <w:ind w:firstLine="480" w:firstLineChars="200"/>
        <w:jc w:val="left"/>
        <w:rPr>
          <w:bCs/>
          <w:sz w:val="24"/>
        </w:rPr>
      </w:pPr>
      <w:r>
        <w:rPr>
          <w:bCs/>
          <w:sz w:val="24"/>
        </w:rPr>
        <w:t>4、 选矿厂废水循环系统出现严重技术故障时。</w:t>
      </w:r>
    </w:p>
    <w:p>
      <w:pPr>
        <w:pStyle w:val="3"/>
        <w:spacing w:before="0" w:after="0"/>
        <w:rPr>
          <w:rFonts w:ascii="Times New Roman" w:hAnsi="Times New Roman"/>
        </w:rPr>
      </w:pPr>
      <w:bookmarkStart w:id="880" w:name="_Toc488578943"/>
      <w:bookmarkStart w:id="881" w:name="_Toc470358723"/>
      <w:bookmarkStart w:id="882" w:name="_Toc420663755"/>
      <w:bookmarkStart w:id="883" w:name="_Toc407217431"/>
      <w:bookmarkStart w:id="884" w:name="_Toc406504282"/>
      <w:bookmarkStart w:id="885" w:name="_Toc407153565"/>
      <w:r>
        <w:rPr>
          <w:rFonts w:ascii="Times New Roman" w:hAnsi="Times New Roman"/>
        </w:rPr>
        <w:t>10.3 应急处理原则</w:t>
      </w:r>
      <w:bookmarkEnd w:id="880"/>
      <w:bookmarkEnd w:id="881"/>
      <w:bookmarkEnd w:id="882"/>
      <w:bookmarkEnd w:id="883"/>
      <w:bookmarkEnd w:id="884"/>
      <w:bookmarkEnd w:id="885"/>
    </w:p>
    <w:p>
      <w:pPr>
        <w:autoSpaceDE w:val="0"/>
        <w:autoSpaceDN w:val="0"/>
        <w:spacing w:line="360" w:lineRule="auto"/>
        <w:jc w:val="left"/>
        <w:rPr>
          <w:bCs/>
          <w:sz w:val="24"/>
        </w:rPr>
      </w:pPr>
      <w:r>
        <w:rPr>
          <w:bCs/>
          <w:sz w:val="24"/>
        </w:rPr>
        <w:t xml:space="preserve">    （1）以人为本、科学施救</w:t>
      </w:r>
    </w:p>
    <w:p>
      <w:pPr>
        <w:autoSpaceDE w:val="0"/>
        <w:autoSpaceDN w:val="0"/>
        <w:spacing w:line="360" w:lineRule="auto"/>
        <w:ind w:firstLine="480" w:firstLineChars="200"/>
        <w:jc w:val="left"/>
        <w:rPr>
          <w:bCs/>
          <w:sz w:val="24"/>
        </w:rPr>
      </w:pPr>
      <w:r>
        <w:rPr>
          <w:bCs/>
          <w:sz w:val="24"/>
        </w:rPr>
        <w:t>保障公共安全尤其是把群众的生命安全和身心健康放在首位，是制定本预案的主要目标。既要依靠科学，最大限度的减少突发水污染事件造成的人员伤亡和危害，又要加强保障措施，提高应急处置人员的安全防护水平。</w:t>
      </w:r>
    </w:p>
    <w:p>
      <w:pPr>
        <w:autoSpaceDE w:val="0"/>
        <w:autoSpaceDN w:val="0"/>
        <w:spacing w:line="360" w:lineRule="auto"/>
        <w:ind w:firstLine="480" w:firstLineChars="200"/>
        <w:jc w:val="left"/>
        <w:rPr>
          <w:bCs/>
          <w:sz w:val="24"/>
        </w:rPr>
      </w:pPr>
      <w:r>
        <w:rPr>
          <w:bCs/>
          <w:sz w:val="24"/>
        </w:rPr>
        <w:t>（2）统一领导，分级管理</w:t>
      </w:r>
    </w:p>
    <w:p>
      <w:pPr>
        <w:autoSpaceDE w:val="0"/>
        <w:autoSpaceDN w:val="0"/>
        <w:spacing w:line="360" w:lineRule="auto"/>
        <w:ind w:firstLine="480" w:firstLineChars="200"/>
        <w:jc w:val="left"/>
        <w:rPr>
          <w:bCs/>
          <w:sz w:val="24"/>
        </w:rPr>
      </w:pPr>
      <w:r>
        <w:rPr>
          <w:bCs/>
          <w:sz w:val="24"/>
        </w:rPr>
        <w:t xml:space="preserve"> 重大突发性水污染事件的处理，实行由公司水污染事件应急领导小组统一领导、指挥、调度，各相关部门配合的管理机制。根据污染事件类别、事态发展情况，对重大突发事件的报告、控制实施依法管理和处置。</w:t>
      </w:r>
    </w:p>
    <w:p>
      <w:pPr>
        <w:autoSpaceDE w:val="0"/>
        <w:autoSpaceDN w:val="0"/>
        <w:spacing w:line="360" w:lineRule="auto"/>
        <w:ind w:firstLine="480" w:firstLineChars="200"/>
        <w:jc w:val="left"/>
        <w:rPr>
          <w:bCs/>
          <w:sz w:val="24"/>
        </w:rPr>
      </w:pPr>
      <w:r>
        <w:rPr>
          <w:bCs/>
          <w:sz w:val="24"/>
        </w:rPr>
        <w:t>（3）预防为主，平战结合</w:t>
      </w:r>
    </w:p>
    <w:p>
      <w:pPr>
        <w:autoSpaceDE w:val="0"/>
        <w:autoSpaceDN w:val="0"/>
        <w:spacing w:line="360" w:lineRule="auto"/>
        <w:ind w:firstLine="480" w:firstLineChars="200"/>
        <w:jc w:val="left"/>
        <w:rPr>
          <w:bCs/>
          <w:sz w:val="24"/>
        </w:rPr>
      </w:pPr>
      <w:r>
        <w:rPr>
          <w:bCs/>
          <w:sz w:val="24"/>
        </w:rPr>
        <w:t>加强水资源监测和保护，以预防为主，杜绝人为诱发水污染事件的发生。实行事前预防与事后应急处理有机结合，按照战时的要求，把应急管理的各项工作落实在日常管理之中，提高危机防范水平。</w:t>
      </w:r>
    </w:p>
    <w:p>
      <w:pPr>
        <w:autoSpaceDE w:val="0"/>
        <w:autoSpaceDN w:val="0"/>
        <w:spacing w:line="360" w:lineRule="auto"/>
        <w:ind w:firstLine="360" w:firstLineChars="150"/>
        <w:jc w:val="left"/>
        <w:rPr>
          <w:bCs/>
          <w:sz w:val="24"/>
        </w:rPr>
      </w:pPr>
      <w:r>
        <w:rPr>
          <w:bCs/>
          <w:sz w:val="24"/>
        </w:rPr>
        <w:t>（4）系统联动，应急迅速</w:t>
      </w:r>
    </w:p>
    <w:p>
      <w:pPr>
        <w:autoSpaceDE w:val="0"/>
        <w:autoSpaceDN w:val="0"/>
        <w:spacing w:line="360" w:lineRule="auto"/>
        <w:ind w:firstLine="480" w:firstLineChars="200"/>
        <w:jc w:val="left"/>
        <w:rPr>
          <w:bCs/>
          <w:sz w:val="24"/>
        </w:rPr>
      </w:pPr>
      <w:r>
        <w:rPr>
          <w:bCs/>
          <w:sz w:val="24"/>
        </w:rPr>
        <w:t>实行统一指挥和调度，确保预警、报告、指挥、处置等环节的紧密衔接、及时应对。预案中涉及的各职能部门应步调一致、密切配合、形成合力。确保突发事件信息传递及时、准确、快速有效。</w:t>
      </w:r>
    </w:p>
    <w:p>
      <w:pPr>
        <w:pStyle w:val="3"/>
        <w:spacing w:before="0" w:after="0"/>
        <w:rPr>
          <w:rFonts w:ascii="Times New Roman" w:hAnsi="Times New Roman"/>
        </w:rPr>
      </w:pPr>
      <w:bookmarkStart w:id="886" w:name="_Toc488578944"/>
      <w:bookmarkStart w:id="887" w:name="_Toc470358724"/>
      <w:bookmarkStart w:id="888" w:name="_Toc407153567"/>
      <w:bookmarkStart w:id="889" w:name="_Toc420663756"/>
      <w:bookmarkStart w:id="890" w:name="_Toc407217433"/>
      <w:bookmarkStart w:id="891" w:name="_Toc406504284"/>
      <w:r>
        <w:rPr>
          <w:rFonts w:ascii="Times New Roman" w:hAnsi="Times New Roman"/>
        </w:rPr>
        <w:t>10.4 事故预防措施</w:t>
      </w:r>
      <w:bookmarkEnd w:id="886"/>
      <w:bookmarkEnd w:id="887"/>
      <w:bookmarkEnd w:id="888"/>
      <w:bookmarkEnd w:id="889"/>
      <w:bookmarkEnd w:id="890"/>
      <w:bookmarkEnd w:id="891"/>
    </w:p>
    <w:p>
      <w:pPr>
        <w:autoSpaceDE w:val="0"/>
        <w:autoSpaceDN w:val="0"/>
        <w:spacing w:line="360" w:lineRule="auto"/>
        <w:ind w:firstLine="480" w:firstLineChars="200"/>
        <w:jc w:val="left"/>
        <w:rPr>
          <w:bCs/>
          <w:sz w:val="24"/>
        </w:rPr>
      </w:pPr>
      <w:r>
        <w:rPr>
          <w:bCs/>
          <w:sz w:val="24"/>
        </w:rPr>
        <w:t>1．操作人员应严格按照操作规程进行操作,防止因检查不周或失误造成事故；</w:t>
      </w:r>
    </w:p>
    <w:p>
      <w:pPr>
        <w:autoSpaceDE w:val="0"/>
        <w:autoSpaceDN w:val="0"/>
        <w:spacing w:line="360" w:lineRule="auto"/>
        <w:ind w:firstLine="480" w:firstLineChars="200"/>
        <w:jc w:val="left"/>
        <w:rPr>
          <w:bCs/>
          <w:sz w:val="24"/>
        </w:rPr>
      </w:pPr>
      <w:r>
        <w:rPr>
          <w:bCs/>
          <w:sz w:val="24"/>
        </w:rPr>
        <w:t>2.及时合理的调节运行状况,严禁超负荷运行；</w:t>
      </w:r>
    </w:p>
    <w:p>
      <w:pPr>
        <w:autoSpaceDE w:val="0"/>
        <w:autoSpaceDN w:val="0"/>
        <w:spacing w:line="360" w:lineRule="auto"/>
        <w:ind w:firstLine="480" w:firstLineChars="200"/>
        <w:jc w:val="left"/>
        <w:rPr>
          <w:bCs/>
          <w:sz w:val="24"/>
        </w:rPr>
      </w:pPr>
      <w:r>
        <w:rPr>
          <w:bCs/>
          <w:sz w:val="24"/>
        </w:rPr>
        <w:t>3.加强设备管理,认真做好各种设备及管道、阀门的日常检查工作</w:t>
      </w:r>
      <w:r>
        <w:rPr>
          <w:rFonts w:hint="eastAsia"/>
          <w:bCs/>
          <w:sz w:val="24"/>
        </w:rPr>
        <w:t>，</w:t>
      </w:r>
      <w:r>
        <w:rPr>
          <w:bCs/>
          <w:sz w:val="24"/>
        </w:rPr>
        <w:t>对存在的安全隐患的设备、管道、阀门及时进行整改、修理或更换。</w:t>
      </w:r>
    </w:p>
    <w:p>
      <w:pPr>
        <w:autoSpaceDE w:val="0"/>
        <w:autoSpaceDN w:val="0"/>
        <w:spacing w:line="360" w:lineRule="auto"/>
        <w:ind w:firstLine="480" w:firstLineChars="200"/>
        <w:jc w:val="left"/>
        <w:rPr>
          <w:bCs/>
          <w:sz w:val="24"/>
        </w:rPr>
      </w:pPr>
      <w:r>
        <w:rPr>
          <w:bCs/>
          <w:sz w:val="24"/>
        </w:rPr>
        <w:t>4、平时应注意事故水池的清淤，保证事故水池的有效容积。</w:t>
      </w:r>
    </w:p>
    <w:p>
      <w:pPr>
        <w:pStyle w:val="107"/>
      </w:pPr>
      <w:bookmarkStart w:id="892" w:name="_Toc464290413"/>
      <w:r>
        <w:t xml:space="preserve">    5、发生停电事故时，生产设施、回水设施均不能正常运转，应立即启动备用柴油发电机，将坝下回水池及事故池内的废水打回尾矿库，形成闭路循环系统，待生产时，仍打回选厂回水池供选厂使用，确保事故情况下尾矿澄清水不外排，因此不会对地表水体产生影响。</w:t>
      </w:r>
      <w:bookmarkEnd w:id="892"/>
    </w:p>
    <w:p>
      <w:pPr>
        <w:pStyle w:val="3"/>
        <w:spacing w:before="0" w:after="0"/>
        <w:rPr>
          <w:rFonts w:ascii="Times New Roman" w:hAnsi="Times New Roman"/>
        </w:rPr>
      </w:pPr>
      <w:bookmarkStart w:id="893" w:name="_Toc488578945"/>
      <w:bookmarkStart w:id="894" w:name="_Toc470358725"/>
      <w:r>
        <w:rPr>
          <w:rFonts w:ascii="Times New Roman" w:hAnsi="Times New Roman"/>
        </w:rPr>
        <w:t>10.5 事故应急措施及注意事项</w:t>
      </w:r>
      <w:bookmarkEnd w:id="893"/>
      <w:bookmarkEnd w:id="894"/>
    </w:p>
    <w:p>
      <w:pPr>
        <w:autoSpaceDE w:val="0"/>
        <w:autoSpaceDN w:val="0"/>
        <w:spacing w:line="360" w:lineRule="auto"/>
        <w:ind w:firstLine="480" w:firstLineChars="200"/>
        <w:jc w:val="left"/>
        <w:rPr>
          <w:bCs/>
          <w:sz w:val="24"/>
        </w:rPr>
      </w:pPr>
      <w:r>
        <w:rPr>
          <w:bCs/>
          <w:sz w:val="24"/>
        </w:rPr>
        <w:t>紧急事故的处理流程：</w:t>
      </w:r>
    </w:p>
    <w:p>
      <w:pPr>
        <w:autoSpaceDE w:val="0"/>
        <w:autoSpaceDN w:val="0"/>
        <w:spacing w:line="360" w:lineRule="auto"/>
        <w:ind w:firstLine="480" w:firstLineChars="200"/>
        <w:jc w:val="left"/>
        <w:rPr>
          <w:bCs/>
          <w:sz w:val="24"/>
        </w:rPr>
      </w:pPr>
      <w:r>
        <w:rPr>
          <w:bCs/>
          <w:sz w:val="24"/>
        </w:rPr>
        <w:t>1、发现后当班人员立即向应急领导小组组长汇报,并在事故处理过程中随时保持与领导小组的联系；</w:t>
      </w:r>
    </w:p>
    <w:p>
      <w:pPr>
        <w:autoSpaceDE w:val="0"/>
        <w:autoSpaceDN w:val="0"/>
        <w:spacing w:line="360" w:lineRule="auto"/>
        <w:ind w:firstLine="480" w:firstLineChars="200"/>
        <w:jc w:val="left"/>
        <w:rPr>
          <w:bCs/>
          <w:sz w:val="24"/>
        </w:rPr>
      </w:pPr>
      <w:r>
        <w:rPr>
          <w:bCs/>
          <w:sz w:val="24"/>
        </w:rPr>
        <w:t>2、领导小组接到报告后，应及时向当地环保部门和行业主管汇报，并在事故处理过程中随时保持与当地环保部门和行业主管的联系；</w:t>
      </w:r>
    </w:p>
    <w:p>
      <w:pPr>
        <w:autoSpaceDE w:val="0"/>
        <w:autoSpaceDN w:val="0"/>
        <w:spacing w:line="360" w:lineRule="auto"/>
        <w:ind w:firstLine="480" w:firstLineChars="200"/>
        <w:jc w:val="left"/>
        <w:rPr>
          <w:bCs/>
          <w:sz w:val="24"/>
        </w:rPr>
      </w:pPr>
      <w:r>
        <w:rPr>
          <w:bCs/>
          <w:sz w:val="24"/>
        </w:rPr>
        <w:t>3、当班人员及时排查造成事故的原因。</w:t>
      </w:r>
    </w:p>
    <w:p>
      <w:pPr>
        <w:autoSpaceDE w:val="0"/>
        <w:autoSpaceDN w:val="0"/>
        <w:spacing w:line="360" w:lineRule="auto"/>
        <w:ind w:firstLine="480" w:firstLineChars="200"/>
        <w:jc w:val="left"/>
        <w:rPr>
          <w:bCs/>
          <w:sz w:val="24"/>
        </w:rPr>
      </w:pPr>
      <w:r>
        <w:rPr>
          <w:bCs/>
          <w:sz w:val="24"/>
        </w:rPr>
        <w:t>4、由公司应急领导小组组长牵头，负责水污染事件现场调查，实施现场监测，分析事故的性质及危害程度，提出建议，及时上报污染事故，组织、协调有关人员对受污染区域进行监测、化验、消毒等，最大限度地消除危害。</w:t>
      </w:r>
    </w:p>
    <w:p>
      <w:pPr>
        <w:autoSpaceDE w:val="0"/>
        <w:autoSpaceDN w:val="0"/>
        <w:spacing w:line="360" w:lineRule="auto"/>
        <w:ind w:firstLine="480" w:firstLineChars="200"/>
        <w:jc w:val="left"/>
        <w:rPr>
          <w:bCs/>
          <w:sz w:val="24"/>
        </w:rPr>
      </w:pPr>
      <w:r>
        <w:rPr>
          <w:bCs/>
          <w:sz w:val="24"/>
        </w:rPr>
        <w:t>5、</w:t>
      </w:r>
      <w:r>
        <w:rPr>
          <w:sz w:val="24"/>
        </w:rPr>
        <w:t>生产废水不能及时回用或设备检修时时，首先排放至选厂2座事故水池，待选厂恢复正常时，重新回用于选厂，确保事故矿浆不外排。</w:t>
      </w:r>
    </w:p>
    <w:p>
      <w:pPr>
        <w:autoSpaceDE w:val="0"/>
        <w:autoSpaceDN w:val="0"/>
        <w:spacing w:line="360" w:lineRule="auto"/>
        <w:ind w:firstLine="480" w:firstLineChars="200"/>
        <w:jc w:val="left"/>
        <w:rPr>
          <w:bCs/>
          <w:sz w:val="24"/>
        </w:rPr>
      </w:pPr>
      <w:r>
        <w:rPr>
          <w:bCs/>
          <w:sz w:val="24"/>
        </w:rPr>
        <w:t>6、选矿厂废水循环管路发生泄漏时，立刻停止管道输水，将管内废水排至事故池，检查管道泄露位置和原因，及时予以维修封堵。</w:t>
      </w:r>
    </w:p>
    <w:p>
      <w:pPr>
        <w:autoSpaceDE w:val="0"/>
        <w:autoSpaceDN w:val="0"/>
        <w:spacing w:line="360" w:lineRule="auto"/>
        <w:ind w:firstLine="480" w:firstLineChars="200"/>
        <w:jc w:val="left"/>
        <w:rPr>
          <w:bCs/>
          <w:sz w:val="24"/>
        </w:rPr>
      </w:pPr>
      <w:r>
        <w:rPr>
          <w:bCs/>
          <w:sz w:val="24"/>
        </w:rPr>
        <w:t>7、加强运行控制，保证运行正常；</w:t>
      </w:r>
    </w:p>
    <w:p>
      <w:pPr>
        <w:autoSpaceDE w:val="0"/>
        <w:autoSpaceDN w:val="0"/>
        <w:spacing w:line="360" w:lineRule="auto"/>
        <w:ind w:firstLine="480" w:firstLineChars="200"/>
        <w:jc w:val="left"/>
        <w:rPr>
          <w:bCs/>
          <w:sz w:val="24"/>
        </w:rPr>
      </w:pPr>
      <w:r>
        <w:rPr>
          <w:bCs/>
          <w:sz w:val="24"/>
        </w:rPr>
        <w:t>8、加强设备日常运行维护。</w:t>
      </w:r>
    </w:p>
    <w:p>
      <w:pPr>
        <w:pStyle w:val="3"/>
        <w:spacing w:before="0" w:after="0"/>
        <w:rPr>
          <w:rFonts w:ascii="Times New Roman" w:hAnsi="Times New Roman"/>
        </w:rPr>
      </w:pPr>
      <w:bookmarkStart w:id="895" w:name="_Toc488578946"/>
      <w:bookmarkStart w:id="896" w:name="_Toc470358726"/>
      <w:r>
        <w:rPr>
          <w:rFonts w:ascii="Times New Roman" w:hAnsi="Times New Roman"/>
        </w:rPr>
        <w:t>10.6 事故后的恢复和重新进入</w:t>
      </w:r>
      <w:bookmarkEnd w:id="895"/>
      <w:bookmarkEnd w:id="896"/>
    </w:p>
    <w:p>
      <w:pPr>
        <w:autoSpaceDE w:val="0"/>
        <w:autoSpaceDN w:val="0"/>
        <w:spacing w:line="360" w:lineRule="auto"/>
        <w:ind w:firstLine="480" w:firstLineChars="200"/>
        <w:jc w:val="left"/>
        <w:rPr>
          <w:bCs/>
          <w:sz w:val="24"/>
        </w:rPr>
      </w:pPr>
      <w:r>
        <w:rPr>
          <w:bCs/>
          <w:sz w:val="24"/>
        </w:rPr>
        <w:t>由事故应急指挥领导小组宣布应急状态结束,恢复到正常运行状态。开始对事故原因进行调查,进行事故损失评估和总结,组织力量进行污染区的清消,恢复。</w:t>
      </w:r>
    </w:p>
    <w:p>
      <w:pPr>
        <w:pStyle w:val="3"/>
        <w:spacing w:before="0" w:after="0"/>
        <w:rPr>
          <w:rFonts w:ascii="Times New Roman" w:hAnsi="Times New Roman"/>
        </w:rPr>
      </w:pPr>
      <w:bookmarkStart w:id="897" w:name="_Toc470358727"/>
      <w:bookmarkStart w:id="898" w:name="_Toc488578947"/>
      <w:r>
        <w:rPr>
          <w:rFonts w:ascii="Times New Roman" w:hAnsi="Times New Roman"/>
        </w:rPr>
        <w:t>10.7 预防和预警</w:t>
      </w:r>
      <w:bookmarkEnd w:id="897"/>
      <w:bookmarkEnd w:id="898"/>
    </w:p>
    <w:p>
      <w:pPr>
        <w:autoSpaceDE w:val="0"/>
        <w:autoSpaceDN w:val="0"/>
        <w:spacing w:line="360" w:lineRule="auto"/>
        <w:ind w:firstLine="480" w:firstLineChars="200"/>
        <w:jc w:val="left"/>
        <w:rPr>
          <w:bCs/>
          <w:sz w:val="24"/>
        </w:rPr>
      </w:pPr>
      <w:r>
        <w:rPr>
          <w:bCs/>
          <w:sz w:val="24"/>
        </w:rPr>
        <w:t>1、预防工作</w:t>
      </w:r>
    </w:p>
    <w:p>
      <w:pPr>
        <w:autoSpaceDE w:val="0"/>
        <w:autoSpaceDN w:val="0"/>
        <w:spacing w:line="360" w:lineRule="auto"/>
        <w:ind w:firstLine="480" w:firstLineChars="200"/>
        <w:jc w:val="left"/>
        <w:rPr>
          <w:bCs/>
          <w:sz w:val="24"/>
        </w:rPr>
      </w:pPr>
      <w:r>
        <w:rPr>
          <w:bCs/>
          <w:sz w:val="24"/>
        </w:rPr>
        <w:t>应急小组负责对企业在生产过程中主要污染因素事故源进行调查，掌握本企业潜在事故源环境优先污染物的产生、种类及分布情况。针对污染物的特点提出相应的应急措施，建立优先污染物的快速监测方法，购置优先污染物的快速监测设备，建立优先污染物的处置技术。</w:t>
      </w:r>
    </w:p>
    <w:p>
      <w:pPr>
        <w:autoSpaceDE w:val="0"/>
        <w:autoSpaceDN w:val="0"/>
        <w:spacing w:line="360" w:lineRule="auto"/>
        <w:ind w:firstLine="480" w:firstLineChars="200"/>
        <w:jc w:val="left"/>
        <w:rPr>
          <w:bCs/>
          <w:sz w:val="24"/>
        </w:rPr>
      </w:pPr>
      <w:r>
        <w:rPr>
          <w:bCs/>
          <w:sz w:val="24"/>
        </w:rPr>
        <w:t>2、预警及措施</w:t>
      </w:r>
    </w:p>
    <w:p>
      <w:pPr>
        <w:autoSpaceDE w:val="0"/>
        <w:autoSpaceDN w:val="0"/>
        <w:spacing w:line="360" w:lineRule="auto"/>
        <w:ind w:firstLine="480" w:firstLineChars="200"/>
        <w:jc w:val="left"/>
        <w:rPr>
          <w:bCs/>
          <w:sz w:val="24"/>
        </w:rPr>
      </w:pPr>
      <w:r>
        <w:rPr>
          <w:bCs/>
          <w:sz w:val="24"/>
        </w:rPr>
        <w:t>按照突发事故严重性、紧急程度和可能波及的范围，对突发性环境污染事故的预警进行分级。根据事态的发展情况和采取措施的效果，预警可以升级、降级或解除。</w:t>
      </w:r>
    </w:p>
    <w:p>
      <w:pPr>
        <w:autoSpaceDE w:val="0"/>
        <w:autoSpaceDN w:val="0"/>
        <w:spacing w:line="360" w:lineRule="auto"/>
        <w:ind w:firstLine="480" w:firstLineChars="200"/>
        <w:jc w:val="left"/>
        <w:rPr>
          <w:bCs/>
          <w:sz w:val="24"/>
        </w:rPr>
      </w:pPr>
      <w:r>
        <w:rPr>
          <w:bCs/>
          <w:sz w:val="24"/>
        </w:rPr>
        <w:t>收集到的有关信息证明突发性环境污染事故即将发生或者发生的可能性增大时，按照相关应急预案执行。进入预警状态后，应当采取的措施：</w:t>
      </w:r>
    </w:p>
    <w:p>
      <w:pPr>
        <w:autoSpaceDE w:val="0"/>
        <w:autoSpaceDN w:val="0"/>
        <w:spacing w:line="360" w:lineRule="auto"/>
        <w:ind w:firstLine="480" w:firstLineChars="200"/>
        <w:jc w:val="left"/>
        <w:rPr>
          <w:bCs/>
          <w:sz w:val="24"/>
        </w:rPr>
      </w:pPr>
      <w:r>
        <w:rPr>
          <w:bCs/>
          <w:sz w:val="24"/>
        </w:rPr>
        <w:t>（1）立即启动相关应急预案；</w:t>
      </w:r>
    </w:p>
    <w:p>
      <w:pPr>
        <w:autoSpaceDE w:val="0"/>
        <w:autoSpaceDN w:val="0"/>
        <w:spacing w:line="360" w:lineRule="auto"/>
        <w:ind w:firstLine="480" w:firstLineChars="200"/>
        <w:jc w:val="left"/>
        <w:rPr>
          <w:bCs/>
          <w:sz w:val="24"/>
        </w:rPr>
      </w:pPr>
      <w:r>
        <w:rPr>
          <w:bCs/>
          <w:sz w:val="24"/>
        </w:rPr>
        <w:t>（2）发布预警公告；</w:t>
      </w:r>
    </w:p>
    <w:p>
      <w:pPr>
        <w:autoSpaceDE w:val="0"/>
        <w:autoSpaceDN w:val="0"/>
        <w:spacing w:line="360" w:lineRule="auto"/>
        <w:ind w:firstLine="480" w:firstLineChars="200"/>
        <w:jc w:val="left"/>
        <w:rPr>
          <w:bCs/>
          <w:sz w:val="24"/>
        </w:rPr>
      </w:pPr>
      <w:r>
        <w:rPr>
          <w:bCs/>
          <w:sz w:val="24"/>
        </w:rPr>
        <w:t>（3）调集环境应急所需物资和设备，确保应急保障工作；</w:t>
      </w:r>
    </w:p>
    <w:p>
      <w:pPr>
        <w:autoSpaceDE w:val="0"/>
        <w:autoSpaceDN w:val="0"/>
        <w:spacing w:line="360" w:lineRule="auto"/>
        <w:ind w:firstLine="480" w:firstLineChars="200"/>
        <w:jc w:val="left"/>
        <w:rPr>
          <w:bCs/>
          <w:sz w:val="24"/>
        </w:rPr>
      </w:pPr>
      <w:r>
        <w:rPr>
          <w:bCs/>
          <w:sz w:val="24"/>
        </w:rPr>
        <w:t>（4）指令各环境应急救援队伍进入应急状态，环境监测部门立即开展应急监测，随时掌握并报告事态进展情况；</w:t>
      </w:r>
    </w:p>
    <w:p>
      <w:pPr>
        <w:autoSpaceDE w:val="0"/>
        <w:autoSpaceDN w:val="0"/>
        <w:spacing w:line="360" w:lineRule="auto"/>
        <w:ind w:firstLine="480" w:firstLineChars="200"/>
        <w:jc w:val="left"/>
        <w:rPr>
          <w:bCs/>
          <w:sz w:val="24"/>
        </w:rPr>
      </w:pPr>
      <w:r>
        <w:rPr>
          <w:bCs/>
          <w:sz w:val="24"/>
        </w:rPr>
        <w:t>（5）针对突发事故可能造成的危害，中止可能导致危害扩大的行为和活动。</w:t>
      </w:r>
    </w:p>
    <w:p>
      <w:pPr>
        <w:pStyle w:val="3"/>
        <w:spacing w:before="0" w:after="0"/>
        <w:rPr>
          <w:rFonts w:ascii="Times New Roman" w:hAnsi="Times New Roman"/>
        </w:rPr>
      </w:pPr>
      <w:bookmarkStart w:id="899" w:name="_Toc470358728"/>
      <w:bookmarkStart w:id="900" w:name="_Toc488578948"/>
      <w:r>
        <w:rPr>
          <w:rFonts w:ascii="Times New Roman" w:hAnsi="Times New Roman"/>
        </w:rPr>
        <w:t>10.8应急人员的安全防护</w:t>
      </w:r>
      <w:bookmarkEnd w:id="899"/>
      <w:bookmarkEnd w:id="900"/>
    </w:p>
    <w:p>
      <w:pPr>
        <w:autoSpaceDE w:val="0"/>
        <w:autoSpaceDN w:val="0"/>
        <w:spacing w:line="360" w:lineRule="auto"/>
        <w:ind w:firstLine="480" w:firstLineChars="200"/>
        <w:jc w:val="left"/>
        <w:rPr>
          <w:bCs/>
          <w:sz w:val="24"/>
        </w:rPr>
      </w:pPr>
      <w:r>
        <w:rPr>
          <w:bCs/>
          <w:sz w:val="24"/>
        </w:rPr>
        <w:t>现场处置人员应根据环境事故的特点，配备相应的专业防护装备，采取安全防护措施，严格执行应急人员出入事发现场程序。</w:t>
      </w:r>
    </w:p>
    <w:p>
      <w:pPr>
        <w:pStyle w:val="3"/>
        <w:spacing w:before="0" w:after="0"/>
        <w:rPr>
          <w:rFonts w:ascii="Times New Roman" w:hAnsi="Times New Roman"/>
        </w:rPr>
      </w:pPr>
      <w:bookmarkStart w:id="901" w:name="_Toc488578949"/>
      <w:bookmarkStart w:id="902" w:name="_Toc470358729"/>
      <w:r>
        <w:rPr>
          <w:rFonts w:ascii="Times New Roman" w:hAnsi="Times New Roman"/>
        </w:rPr>
        <w:t>10.9 应急终止</w:t>
      </w:r>
      <w:bookmarkEnd w:id="901"/>
      <w:bookmarkEnd w:id="902"/>
    </w:p>
    <w:p>
      <w:pPr>
        <w:autoSpaceDE w:val="0"/>
        <w:autoSpaceDN w:val="0"/>
        <w:spacing w:line="360" w:lineRule="auto"/>
        <w:ind w:firstLine="480" w:firstLineChars="200"/>
        <w:jc w:val="left"/>
        <w:rPr>
          <w:bCs/>
          <w:sz w:val="24"/>
        </w:rPr>
      </w:pPr>
      <w:r>
        <w:rPr>
          <w:bCs/>
          <w:sz w:val="24"/>
        </w:rPr>
        <w:t>应急终止的条件</w:t>
      </w:r>
    </w:p>
    <w:p>
      <w:pPr>
        <w:autoSpaceDE w:val="0"/>
        <w:autoSpaceDN w:val="0"/>
        <w:spacing w:line="360" w:lineRule="auto"/>
        <w:ind w:firstLine="480" w:firstLineChars="200"/>
        <w:jc w:val="left"/>
        <w:rPr>
          <w:bCs/>
          <w:sz w:val="24"/>
        </w:rPr>
      </w:pPr>
      <w:r>
        <w:rPr>
          <w:bCs/>
          <w:sz w:val="24"/>
        </w:rPr>
        <w:t>符合下列条件之一的，即满足应急终止条件：</w:t>
      </w:r>
    </w:p>
    <w:p>
      <w:pPr>
        <w:autoSpaceDE w:val="0"/>
        <w:autoSpaceDN w:val="0"/>
        <w:spacing w:line="360" w:lineRule="auto"/>
        <w:ind w:firstLine="480" w:firstLineChars="200"/>
        <w:jc w:val="left"/>
        <w:rPr>
          <w:bCs/>
          <w:sz w:val="24"/>
        </w:rPr>
      </w:pPr>
      <w:r>
        <w:rPr>
          <w:bCs/>
          <w:sz w:val="24"/>
        </w:rPr>
        <w:t>（1）事件现场得到控制，事件条件已经消除；</w:t>
      </w:r>
    </w:p>
    <w:p>
      <w:pPr>
        <w:autoSpaceDE w:val="0"/>
        <w:autoSpaceDN w:val="0"/>
        <w:spacing w:line="360" w:lineRule="auto"/>
        <w:ind w:firstLine="480" w:firstLineChars="200"/>
        <w:jc w:val="left"/>
        <w:rPr>
          <w:bCs/>
          <w:sz w:val="24"/>
        </w:rPr>
      </w:pPr>
      <w:r>
        <w:rPr>
          <w:bCs/>
          <w:sz w:val="24"/>
        </w:rPr>
        <w:t>（2）污染源的泄漏或释放已降至规定限值以内；</w:t>
      </w:r>
    </w:p>
    <w:p>
      <w:pPr>
        <w:autoSpaceDE w:val="0"/>
        <w:autoSpaceDN w:val="0"/>
        <w:spacing w:line="360" w:lineRule="auto"/>
        <w:ind w:firstLine="480" w:firstLineChars="200"/>
        <w:jc w:val="left"/>
        <w:rPr>
          <w:bCs/>
          <w:sz w:val="24"/>
        </w:rPr>
      </w:pPr>
      <w:r>
        <w:rPr>
          <w:bCs/>
          <w:sz w:val="24"/>
        </w:rPr>
        <w:t>（3）事件所造成的危害已经被彻底消除，无继发可能；</w:t>
      </w:r>
    </w:p>
    <w:p>
      <w:pPr>
        <w:autoSpaceDE w:val="0"/>
        <w:autoSpaceDN w:val="0"/>
        <w:spacing w:line="360" w:lineRule="auto"/>
        <w:ind w:firstLine="480" w:firstLineChars="200"/>
        <w:jc w:val="left"/>
        <w:rPr>
          <w:bCs/>
          <w:sz w:val="24"/>
        </w:rPr>
      </w:pPr>
      <w:r>
        <w:rPr>
          <w:bCs/>
          <w:sz w:val="24"/>
        </w:rPr>
        <w:t>（4）事件现场的各种专业应急处置行动已无继续的必要；</w:t>
      </w:r>
    </w:p>
    <w:p>
      <w:pPr>
        <w:autoSpaceDE w:val="0"/>
        <w:autoSpaceDN w:val="0"/>
        <w:spacing w:line="360" w:lineRule="auto"/>
        <w:ind w:firstLine="480" w:firstLineChars="200"/>
        <w:jc w:val="left"/>
        <w:rPr>
          <w:bCs/>
          <w:sz w:val="24"/>
        </w:rPr>
      </w:pPr>
      <w:r>
        <w:rPr>
          <w:bCs/>
          <w:sz w:val="24"/>
        </w:rPr>
        <w:t>（5）采取了必要的防护措施以避免环境再次受到危害，并使事件可能引起的中长期影响趋于合理且尽量降低的水平。</w:t>
      </w:r>
    </w:p>
    <w:p>
      <w:pPr>
        <w:autoSpaceDE w:val="0"/>
        <w:autoSpaceDN w:val="0"/>
        <w:spacing w:line="360" w:lineRule="auto"/>
        <w:ind w:firstLine="480" w:firstLineChars="200"/>
        <w:jc w:val="left"/>
        <w:rPr>
          <w:bCs/>
          <w:sz w:val="24"/>
        </w:rPr>
      </w:pPr>
      <w:r>
        <w:rPr>
          <w:bCs/>
          <w:sz w:val="24"/>
        </w:rPr>
        <w:t>应急终止的程序</w:t>
      </w:r>
    </w:p>
    <w:p>
      <w:pPr>
        <w:autoSpaceDE w:val="0"/>
        <w:autoSpaceDN w:val="0"/>
        <w:spacing w:line="360" w:lineRule="auto"/>
        <w:ind w:firstLine="480" w:firstLineChars="200"/>
        <w:jc w:val="left"/>
        <w:rPr>
          <w:bCs/>
          <w:sz w:val="24"/>
        </w:rPr>
      </w:pPr>
      <w:r>
        <w:rPr>
          <w:bCs/>
          <w:sz w:val="24"/>
        </w:rPr>
        <w:t>（1）现场救援小组确认终止时机，或事件责任单位提出，经现场救援应急小组报上级批准；</w:t>
      </w:r>
    </w:p>
    <w:p>
      <w:pPr>
        <w:autoSpaceDE w:val="0"/>
        <w:autoSpaceDN w:val="0"/>
        <w:spacing w:line="360" w:lineRule="auto"/>
        <w:ind w:firstLine="480" w:firstLineChars="200"/>
        <w:jc w:val="left"/>
        <w:rPr>
          <w:bCs/>
          <w:sz w:val="24"/>
        </w:rPr>
      </w:pPr>
      <w:r>
        <w:rPr>
          <w:bCs/>
          <w:sz w:val="24"/>
        </w:rPr>
        <w:t>（2）现场救援指挥小组向所属各专业应急救援队伍下达应急终止命令；</w:t>
      </w:r>
    </w:p>
    <w:p>
      <w:pPr>
        <w:autoSpaceDE w:val="0"/>
        <w:autoSpaceDN w:val="0"/>
        <w:spacing w:line="360" w:lineRule="auto"/>
        <w:ind w:firstLine="480" w:firstLineChars="200"/>
        <w:jc w:val="left"/>
        <w:rPr>
          <w:bCs/>
          <w:sz w:val="24"/>
        </w:rPr>
      </w:pPr>
      <w:r>
        <w:rPr>
          <w:bCs/>
          <w:sz w:val="24"/>
        </w:rPr>
        <w:t xml:space="preserve">（3）应急状态终止后，根据有关指示和实际情况，继续进行环境监测工作。 </w:t>
      </w:r>
    </w:p>
    <w:p>
      <w:pPr>
        <w:autoSpaceDE w:val="0"/>
        <w:autoSpaceDN w:val="0"/>
        <w:spacing w:line="360" w:lineRule="auto"/>
        <w:ind w:firstLine="480" w:firstLineChars="200"/>
        <w:jc w:val="left"/>
        <w:rPr>
          <w:bCs/>
          <w:sz w:val="24"/>
        </w:rPr>
      </w:pPr>
      <w:r>
        <w:rPr>
          <w:bCs/>
          <w:sz w:val="24"/>
        </w:rPr>
        <w:t>应急终止后的行动</w:t>
      </w:r>
    </w:p>
    <w:p>
      <w:pPr>
        <w:autoSpaceDE w:val="0"/>
        <w:autoSpaceDN w:val="0"/>
        <w:spacing w:line="360" w:lineRule="auto"/>
        <w:ind w:firstLine="480" w:firstLineChars="200"/>
        <w:jc w:val="left"/>
        <w:rPr>
          <w:bCs/>
          <w:sz w:val="24"/>
        </w:rPr>
      </w:pPr>
      <w:r>
        <w:rPr>
          <w:bCs/>
          <w:sz w:val="24"/>
        </w:rPr>
        <w:t>（1） 突发性环境污染事故应急处理工作结束后，应组织相关部门认真总结、分析、吸取事故教训，及时进行整改。</w:t>
      </w:r>
    </w:p>
    <w:p>
      <w:pPr>
        <w:autoSpaceDE w:val="0"/>
        <w:autoSpaceDN w:val="0"/>
        <w:spacing w:line="360" w:lineRule="auto"/>
        <w:ind w:firstLine="480" w:firstLineChars="200"/>
        <w:jc w:val="left"/>
        <w:rPr>
          <w:bCs/>
          <w:sz w:val="24"/>
        </w:rPr>
      </w:pPr>
      <w:r>
        <w:rPr>
          <w:bCs/>
          <w:sz w:val="24"/>
        </w:rPr>
        <w:t>（2） 组织各专业组对应急计划和实施程序的有效性、应急装备的可行性、应急人员的素质和反应速度等作出调查，并提出对应急预案的补充及修改意见。</w:t>
      </w:r>
    </w:p>
    <w:p>
      <w:pPr>
        <w:autoSpaceDE w:val="0"/>
        <w:autoSpaceDN w:val="0"/>
        <w:spacing w:line="360" w:lineRule="auto"/>
        <w:ind w:firstLine="480" w:firstLineChars="200"/>
        <w:jc w:val="left"/>
        <w:rPr>
          <w:bCs/>
          <w:sz w:val="24"/>
        </w:rPr>
      </w:pPr>
      <w:r>
        <w:rPr>
          <w:bCs/>
          <w:sz w:val="24"/>
        </w:rPr>
        <w:t>（3） 参加应急行动的部门负责组织、指导环境应急队伍维护、保养应急仪器设备，使之始终保持良好的技术状态。</w:t>
      </w:r>
    </w:p>
    <w:p>
      <w:pPr>
        <w:pStyle w:val="3"/>
        <w:spacing w:before="0" w:after="0"/>
        <w:rPr>
          <w:rFonts w:ascii="Times New Roman" w:hAnsi="Times New Roman"/>
        </w:rPr>
      </w:pPr>
      <w:bookmarkStart w:id="903" w:name="_Toc488578950"/>
      <w:bookmarkStart w:id="904" w:name="_Toc470358730"/>
      <w:bookmarkStart w:id="905" w:name="_Toc407153573"/>
      <w:bookmarkStart w:id="906" w:name="_Toc420663757"/>
      <w:bookmarkStart w:id="907" w:name="_Toc407217439"/>
      <w:bookmarkStart w:id="908" w:name="_Toc406504290"/>
      <w:r>
        <w:rPr>
          <w:rFonts w:ascii="Times New Roman" w:hAnsi="Times New Roman"/>
        </w:rPr>
        <w:t>10.10 宣传、培训与演练</w:t>
      </w:r>
      <w:bookmarkEnd w:id="903"/>
      <w:bookmarkEnd w:id="904"/>
      <w:bookmarkEnd w:id="905"/>
      <w:bookmarkEnd w:id="906"/>
      <w:bookmarkEnd w:id="907"/>
      <w:bookmarkEnd w:id="908"/>
    </w:p>
    <w:p>
      <w:pPr>
        <w:autoSpaceDE w:val="0"/>
        <w:autoSpaceDN w:val="0"/>
        <w:spacing w:line="360" w:lineRule="auto"/>
        <w:ind w:firstLine="480" w:firstLineChars="200"/>
        <w:jc w:val="left"/>
        <w:rPr>
          <w:bCs/>
          <w:sz w:val="24"/>
        </w:rPr>
      </w:pPr>
      <w:r>
        <w:rPr>
          <w:bCs/>
          <w:sz w:val="24"/>
        </w:rPr>
        <w:t xml:space="preserve">应加强环境保护科普宣传教育工作，普及环境污染事件预防常识，增强职工的防范意识和相关心理准备，提高防范能力。 </w:t>
      </w:r>
    </w:p>
    <w:p>
      <w:pPr>
        <w:autoSpaceDE w:val="0"/>
        <w:autoSpaceDN w:val="0"/>
        <w:spacing w:line="360" w:lineRule="auto"/>
        <w:ind w:firstLine="480" w:firstLineChars="200"/>
        <w:jc w:val="left"/>
        <w:rPr>
          <w:bCs/>
          <w:sz w:val="24"/>
        </w:rPr>
      </w:pPr>
      <w:r>
        <w:rPr>
          <w:bCs/>
          <w:sz w:val="24"/>
        </w:rPr>
        <w:t>加强环境事故专业技术人员日常培训和事故源工作人员的培训和管理，培养训练有素的环境应急处置、检验、监测等专门人才</w:t>
      </w:r>
    </w:p>
    <w:p>
      <w:pPr>
        <w:autoSpaceDE w:val="0"/>
        <w:autoSpaceDN w:val="0"/>
        <w:spacing w:line="360" w:lineRule="auto"/>
        <w:ind w:firstLine="480" w:firstLineChars="200"/>
        <w:jc w:val="left"/>
        <w:rPr>
          <w:bCs/>
          <w:sz w:val="24"/>
        </w:rPr>
      </w:pPr>
      <w:r>
        <w:rPr>
          <w:bCs/>
          <w:sz w:val="24"/>
        </w:rPr>
        <w:t>定期组织环境应急实战演练，提高防范和处置突发性环境污染事故的技能，增强实战能力。</w:t>
      </w:r>
    </w:p>
    <w:p>
      <w:pPr>
        <w:autoSpaceDE w:val="0"/>
        <w:autoSpaceDN w:val="0"/>
        <w:spacing w:line="360" w:lineRule="auto"/>
        <w:ind w:firstLine="480" w:firstLineChars="200"/>
        <w:jc w:val="left"/>
        <w:rPr>
          <w:bCs/>
          <w:sz w:val="24"/>
        </w:rPr>
      </w:pPr>
      <w:r>
        <w:rPr>
          <w:bCs/>
          <w:sz w:val="24"/>
        </w:rPr>
        <w:t>加强环境事故专业技术人员日常培训和事故源工作人员的培训和管理，培养训练有素的环境应急处置、检验、监测等专门人才</w:t>
      </w:r>
    </w:p>
    <w:p>
      <w:pPr>
        <w:autoSpaceDE w:val="0"/>
        <w:autoSpaceDN w:val="0"/>
        <w:spacing w:line="360" w:lineRule="auto"/>
        <w:ind w:firstLine="480" w:firstLineChars="200"/>
        <w:jc w:val="left"/>
        <w:rPr>
          <w:bCs/>
          <w:sz w:val="24"/>
        </w:rPr>
      </w:pPr>
      <w:r>
        <w:rPr>
          <w:bCs/>
          <w:sz w:val="24"/>
        </w:rPr>
        <w:t>定期组织环境应急实战演练，提高防范和处置突发性环境污染事故的技能，增强实战能力。</w:t>
      </w:r>
    </w:p>
    <w:p>
      <w:pPr>
        <w:pStyle w:val="3"/>
        <w:spacing w:before="0" w:after="0"/>
        <w:rPr>
          <w:rFonts w:ascii="Times New Roman" w:hAnsi="Times New Roman"/>
        </w:rPr>
      </w:pPr>
      <w:bookmarkStart w:id="909" w:name="_Toc488578951"/>
      <w:bookmarkStart w:id="910" w:name="_Toc470358731"/>
      <w:bookmarkStart w:id="911" w:name="_Toc407153574"/>
      <w:bookmarkStart w:id="912" w:name="_Toc407217440"/>
      <w:bookmarkStart w:id="913" w:name="_Toc406504291"/>
      <w:bookmarkStart w:id="914" w:name="_Toc420663758"/>
      <w:r>
        <w:rPr>
          <w:rFonts w:ascii="Times New Roman" w:hAnsi="Times New Roman"/>
        </w:rPr>
        <w:t>10.11预案管理与更新</w:t>
      </w:r>
      <w:bookmarkEnd w:id="909"/>
      <w:bookmarkEnd w:id="910"/>
      <w:bookmarkEnd w:id="911"/>
      <w:bookmarkEnd w:id="912"/>
      <w:bookmarkEnd w:id="913"/>
      <w:bookmarkEnd w:id="914"/>
    </w:p>
    <w:p>
      <w:pPr>
        <w:autoSpaceDE w:val="0"/>
        <w:autoSpaceDN w:val="0"/>
        <w:spacing w:line="360" w:lineRule="auto"/>
        <w:ind w:firstLine="480" w:firstLineChars="200"/>
        <w:jc w:val="left"/>
        <w:rPr>
          <w:bCs/>
          <w:sz w:val="24"/>
        </w:rPr>
      </w:pPr>
      <w:r>
        <w:rPr>
          <w:bCs/>
          <w:sz w:val="24"/>
        </w:rPr>
        <w:t>随着应急救援相关法律法规的制定、修改和完善，部门职责或应急资源发生变化，或者应急过程中发现存在的问题和出现新的情况，应及时修订完善预案。</w:t>
      </w:r>
    </w:p>
    <w:p>
      <w:pPr>
        <w:rPr>
          <w:sz w:val="24"/>
        </w:rPr>
      </w:pPr>
      <w:bookmarkStart w:id="915" w:name="_Toc173147978"/>
      <w:bookmarkStart w:id="916" w:name="_Toc173284128"/>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pPr>
    </w:p>
    <w:p>
      <w:pPr>
        <w:ind w:firstLine="1920" w:firstLineChars="800"/>
        <w:outlineLvl w:val="0"/>
        <w:rPr>
          <w:rFonts w:eastAsia="黑体"/>
          <w:sz w:val="24"/>
        </w:rPr>
        <w:sectPr>
          <w:pgSz w:w="11906" w:h="16838"/>
          <w:pgMar w:top="1440" w:right="1797" w:bottom="1440" w:left="1797" w:header="851" w:footer="992" w:gutter="0"/>
          <w:cols w:space="425" w:num="1"/>
          <w:docGrid w:linePitch="312" w:charSpace="0"/>
        </w:sectPr>
      </w:pPr>
    </w:p>
    <w:p>
      <w:pPr>
        <w:pStyle w:val="79"/>
        <w:spacing w:after="240"/>
      </w:pPr>
      <w:bookmarkStart w:id="917" w:name="_Toc488578952"/>
      <w:bookmarkStart w:id="918" w:name="_Toc470358732"/>
      <w:bookmarkStart w:id="919" w:name="_Toc407153575"/>
      <w:bookmarkStart w:id="920" w:name="_Toc370112162"/>
      <w:bookmarkStart w:id="921" w:name="_Toc407217441"/>
      <w:bookmarkStart w:id="922" w:name="_Toc406504292"/>
      <w:bookmarkStart w:id="923" w:name="_Toc420663759"/>
      <w:r>
        <w:t>第十一章 清洁生产与总量控制调查</w:t>
      </w:r>
      <w:bookmarkEnd w:id="917"/>
      <w:bookmarkEnd w:id="918"/>
      <w:bookmarkEnd w:id="919"/>
      <w:bookmarkEnd w:id="920"/>
      <w:bookmarkEnd w:id="921"/>
      <w:bookmarkEnd w:id="922"/>
      <w:bookmarkEnd w:id="923"/>
    </w:p>
    <w:p>
      <w:pPr>
        <w:spacing w:line="360" w:lineRule="auto"/>
        <w:ind w:firstLine="480" w:firstLineChars="200"/>
        <w:rPr>
          <w:sz w:val="24"/>
        </w:rPr>
      </w:pPr>
      <w:bookmarkStart w:id="924" w:name="_Toc407153576"/>
      <w:bookmarkStart w:id="925" w:name="_Toc406504293"/>
      <w:bookmarkStart w:id="926" w:name="_Toc420663760"/>
      <w:bookmarkStart w:id="927" w:name="_Toc407217442"/>
      <w:bookmarkStart w:id="928" w:name="_Toc181088927"/>
      <w:bookmarkStart w:id="929" w:name="_Toc162358869"/>
      <w:bookmarkStart w:id="930" w:name="_Toc180680603"/>
      <w:bookmarkStart w:id="931" w:name="_Toc181089333"/>
      <w:bookmarkStart w:id="932" w:name="_Toc202948513"/>
      <w:bookmarkStart w:id="933" w:name="_Toc292436083"/>
      <w:bookmarkStart w:id="934" w:name="_Toc275190419"/>
      <w:r>
        <w:rPr>
          <w:sz w:val="24"/>
        </w:rPr>
        <w:t>清洁生产是指采取先进设计、使用清洁的能源和原料、采用先进的工艺技术与设备、改善管理、综合利用等措施，从源头上削减污染，提高资源利用率，减少或者避免生产、服务和产品使用过程中污染物的产生和排放，以减轻或者消除对人类健康和环境的危害。</w:t>
      </w:r>
    </w:p>
    <w:p>
      <w:pPr>
        <w:pStyle w:val="3"/>
        <w:spacing w:before="0" w:after="0"/>
        <w:rPr>
          <w:rFonts w:ascii="Times New Roman" w:hAnsi="Times New Roman"/>
          <w:szCs w:val="20"/>
        </w:rPr>
      </w:pPr>
      <w:bookmarkStart w:id="935" w:name="_Toc470358733"/>
      <w:bookmarkStart w:id="936" w:name="_Toc488578953"/>
      <w:r>
        <w:rPr>
          <w:rFonts w:ascii="Times New Roman" w:hAnsi="Times New Roman"/>
          <w:szCs w:val="20"/>
        </w:rPr>
        <w:t>11.1清洁生产</w:t>
      </w:r>
      <w:bookmarkEnd w:id="924"/>
      <w:bookmarkEnd w:id="925"/>
      <w:bookmarkEnd w:id="926"/>
      <w:bookmarkEnd w:id="927"/>
      <w:r>
        <w:rPr>
          <w:rFonts w:ascii="Times New Roman" w:hAnsi="Times New Roman"/>
        </w:rPr>
        <w:t>调查</w:t>
      </w:r>
      <w:bookmarkEnd w:id="935"/>
      <w:bookmarkEnd w:id="936"/>
    </w:p>
    <w:p>
      <w:pPr>
        <w:spacing w:line="360" w:lineRule="auto"/>
        <w:ind w:firstLine="570"/>
        <w:rPr>
          <w:sz w:val="24"/>
        </w:rPr>
      </w:pPr>
      <w:r>
        <w:rPr>
          <w:sz w:val="24"/>
        </w:rPr>
        <w:t>本次调查主要从生产工艺与设备、资源能源利用、污染物产生、产品等方面调查调查该项目的清洁生产水平。</w:t>
      </w:r>
    </w:p>
    <w:p>
      <w:pPr>
        <w:pStyle w:val="10"/>
        <w:rPr>
          <w:rFonts w:ascii="Times New Roman" w:hAnsi="Times New Roman"/>
        </w:rPr>
      </w:pPr>
      <w:bookmarkStart w:id="937" w:name="_Toc407153577"/>
      <w:bookmarkStart w:id="938" w:name="_Toc420663761"/>
      <w:bookmarkStart w:id="939" w:name="_Toc407217443"/>
      <w:bookmarkStart w:id="940" w:name="_Toc275190420"/>
      <w:bookmarkStart w:id="941" w:name="_Toc406504294"/>
      <w:r>
        <w:rPr>
          <w:rFonts w:ascii="Times New Roman" w:hAnsi="Times New Roman"/>
          <w:szCs w:val="30"/>
        </w:rPr>
        <w:t>11.1.1矿山</w:t>
      </w:r>
      <w:r>
        <w:rPr>
          <w:rFonts w:ascii="Times New Roman" w:hAnsi="Times New Roman"/>
        </w:rPr>
        <w:t>清洁生产调查分析</w:t>
      </w:r>
    </w:p>
    <w:p>
      <w:pPr>
        <w:pStyle w:val="5"/>
      </w:pPr>
      <w:r>
        <w:t>11.1.1.1</w:t>
      </w:r>
      <w:bookmarkEnd w:id="937"/>
      <w:bookmarkEnd w:id="938"/>
      <w:bookmarkEnd w:id="939"/>
      <w:bookmarkEnd w:id="940"/>
      <w:bookmarkEnd w:id="941"/>
      <w:bookmarkStart w:id="942" w:name="_Toc407153578"/>
      <w:bookmarkStart w:id="943" w:name="_Toc275190421"/>
      <w:bookmarkStart w:id="944" w:name="_Toc406504295"/>
      <w:bookmarkStart w:id="945" w:name="_Toc407217444"/>
      <w:bookmarkStart w:id="946" w:name="_Toc420663764"/>
      <w:r>
        <w:t>装备水平分析</w:t>
      </w:r>
    </w:p>
    <w:p>
      <w:pPr>
        <w:pStyle w:val="159"/>
        <w:rPr>
          <w:rFonts w:ascii="Times New Roman" w:hAnsi="Times New Roman" w:eastAsia="宋体" w:cs="Times New Roman"/>
        </w:rPr>
      </w:pPr>
      <w:r>
        <w:rPr>
          <w:rFonts w:ascii="Times New Roman" w:hAnsi="Times New Roman" w:eastAsia="宋体" w:cs="Times New Roman"/>
        </w:rPr>
        <w:t>采矿工艺采用YG-80导轨式型凿岩机湿式凿孔，采用非电微差起爆，实施湿式凿岩，做到爆破和转运处定时洒水，以及主要巷道定期清洗；铲装方面配备TWD-2挖掘机，ZK10-6/250、Ycc1.2(6)、 YGC2-6（6）、Fzc-3.1/1.4-5.5等机械化装备以及洒水抑尘装置，以及JKMD3.25×4型多绳磨擦提升机；通风选用两台型号为FBCZ54-6-No19的主扇；排水采用D280-43×8型水泵，排水管选用Φ377×10型无缝钢管2根，可满足20年一遇的矿井涌水量排水要求；因此本项目设备均属国内较先进工艺装备。总体上说该项目采矿所采用的工艺设备属于国内先进水平，满足清洁生产二级标准的要求。各设备参数如表11.1-1所示。</w:t>
      </w:r>
    </w:p>
    <w:p>
      <w:pPr>
        <w:adjustRightInd w:val="0"/>
        <w:snapToGrid w:val="0"/>
        <w:ind w:firstLine="440" w:firstLineChars="200"/>
        <w:rPr>
          <w:rFonts w:eastAsia="黑体"/>
          <w:bCs/>
          <w:sz w:val="22"/>
          <w:szCs w:val="22"/>
        </w:rPr>
      </w:pPr>
      <w:r>
        <w:rPr>
          <w:rFonts w:eastAsia="黑体"/>
          <w:bCs/>
          <w:sz w:val="22"/>
          <w:szCs w:val="22"/>
        </w:rPr>
        <w:t>表11.1-1              矿山设备参数情况一览表</w:t>
      </w:r>
    </w:p>
    <w:tbl>
      <w:tblPr>
        <w:tblStyle w:val="54"/>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2712"/>
        <w:gridCol w:w="2627"/>
        <w:gridCol w:w="19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1253" w:type="dxa"/>
            <w:vAlign w:val="center"/>
          </w:tcPr>
          <w:p>
            <w:pPr>
              <w:pStyle w:val="94"/>
              <w:ind w:firstLine="422"/>
            </w:pPr>
            <w:r>
              <w:t>序号</w:t>
            </w:r>
          </w:p>
        </w:tc>
        <w:tc>
          <w:tcPr>
            <w:tcW w:w="2712" w:type="dxa"/>
            <w:vAlign w:val="center"/>
          </w:tcPr>
          <w:p>
            <w:pPr>
              <w:pStyle w:val="94"/>
            </w:pPr>
            <w:r>
              <w:t>设备名称</w:t>
            </w:r>
          </w:p>
        </w:tc>
        <w:tc>
          <w:tcPr>
            <w:tcW w:w="2627" w:type="dxa"/>
            <w:vAlign w:val="center"/>
          </w:tcPr>
          <w:p>
            <w:pPr>
              <w:pStyle w:val="94"/>
            </w:pPr>
            <w:r>
              <w:t>技术规格</w:t>
            </w:r>
          </w:p>
        </w:tc>
        <w:tc>
          <w:tcPr>
            <w:tcW w:w="1936" w:type="dxa"/>
            <w:vAlign w:val="center"/>
          </w:tcPr>
          <w:p>
            <w:pPr>
              <w:adjustRightInd w:val="0"/>
              <w:snapToGrid w:val="0"/>
              <w:spacing w:line="240" w:lineRule="exact"/>
              <w:jc w:val="center"/>
              <w:rPr>
                <w:szCs w:val="21"/>
              </w:rPr>
            </w:pPr>
            <w:r>
              <w:rPr>
                <w:szCs w:val="21"/>
              </w:rPr>
              <w:t>装备技术水平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1253" w:type="dxa"/>
            <w:vAlign w:val="center"/>
          </w:tcPr>
          <w:p>
            <w:pPr>
              <w:pStyle w:val="94"/>
            </w:pPr>
            <w:r>
              <w:t>1</w:t>
            </w:r>
          </w:p>
        </w:tc>
        <w:tc>
          <w:tcPr>
            <w:tcW w:w="2712" w:type="dxa"/>
            <w:vAlign w:val="center"/>
          </w:tcPr>
          <w:p>
            <w:pPr>
              <w:spacing w:line="240" w:lineRule="exact"/>
              <w:jc w:val="center"/>
              <w:rPr>
                <w:szCs w:val="21"/>
              </w:rPr>
            </w:pPr>
            <w:r>
              <w:rPr>
                <w:szCs w:val="21"/>
              </w:rPr>
              <w:t>电机车</w:t>
            </w:r>
          </w:p>
        </w:tc>
        <w:tc>
          <w:tcPr>
            <w:tcW w:w="2627" w:type="dxa"/>
            <w:vAlign w:val="center"/>
          </w:tcPr>
          <w:p>
            <w:pPr>
              <w:pStyle w:val="43"/>
              <w:spacing w:line="240" w:lineRule="exact"/>
              <w:ind w:firstLine="400"/>
              <w:jc w:val="center"/>
              <w:rPr>
                <w:rFonts w:ascii="Times New Roman" w:hAnsi="Times New Roman" w:cs="Times New Roman"/>
              </w:rPr>
            </w:pPr>
            <w:r>
              <w:rPr>
                <w:rFonts w:ascii="Times New Roman" w:hAnsi="Times New Roman" w:cs="Times New Roman"/>
              </w:rPr>
              <w:t>ZK10-6/250</w:t>
            </w:r>
          </w:p>
        </w:tc>
        <w:tc>
          <w:tcPr>
            <w:tcW w:w="1936" w:type="dxa"/>
            <w:vAlign w:val="center"/>
          </w:tcPr>
          <w:p>
            <w:pPr>
              <w:adjustRightInd w:val="0"/>
              <w:snapToGrid w:val="0"/>
              <w:spacing w:line="240" w:lineRule="exact"/>
              <w:jc w:val="center"/>
              <w:rPr>
                <w:szCs w:val="21"/>
              </w:rPr>
            </w:pPr>
            <w:r>
              <w:rPr>
                <w:szCs w:val="21"/>
              </w:rPr>
              <w:t>国内先进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1253" w:type="dxa"/>
            <w:vAlign w:val="center"/>
          </w:tcPr>
          <w:p>
            <w:pPr>
              <w:pStyle w:val="94"/>
            </w:pPr>
            <w:r>
              <w:t>2</w:t>
            </w:r>
          </w:p>
        </w:tc>
        <w:tc>
          <w:tcPr>
            <w:tcW w:w="2712" w:type="dxa"/>
            <w:vAlign w:val="center"/>
          </w:tcPr>
          <w:p>
            <w:pPr>
              <w:spacing w:line="240" w:lineRule="exact"/>
              <w:jc w:val="center"/>
              <w:rPr>
                <w:szCs w:val="21"/>
              </w:rPr>
            </w:pPr>
            <w:r>
              <w:rPr>
                <w:szCs w:val="21"/>
              </w:rPr>
              <w:t>固定式矿车</w:t>
            </w:r>
          </w:p>
        </w:tc>
        <w:tc>
          <w:tcPr>
            <w:tcW w:w="2627" w:type="dxa"/>
            <w:vAlign w:val="center"/>
          </w:tcPr>
          <w:p>
            <w:pPr>
              <w:pStyle w:val="43"/>
              <w:spacing w:line="240" w:lineRule="exact"/>
              <w:ind w:firstLine="400"/>
              <w:jc w:val="center"/>
              <w:rPr>
                <w:rFonts w:ascii="Times New Roman" w:hAnsi="Times New Roman" w:cs="Times New Roman"/>
              </w:rPr>
            </w:pPr>
            <w:r>
              <w:rPr>
                <w:rFonts w:ascii="Times New Roman" w:hAnsi="Times New Roman" w:cs="Times New Roman"/>
              </w:rPr>
              <w:t>YGC2-6（6）</w:t>
            </w:r>
          </w:p>
        </w:tc>
        <w:tc>
          <w:tcPr>
            <w:tcW w:w="1936" w:type="dxa"/>
            <w:vAlign w:val="center"/>
          </w:tcPr>
          <w:p>
            <w:pPr>
              <w:adjustRightInd w:val="0"/>
              <w:snapToGrid w:val="0"/>
              <w:spacing w:line="240" w:lineRule="exact"/>
              <w:jc w:val="center"/>
              <w:rPr>
                <w:szCs w:val="21"/>
              </w:rPr>
            </w:pPr>
            <w:r>
              <w:rPr>
                <w:szCs w:val="21"/>
              </w:rPr>
              <w:t>国内先进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1253" w:type="dxa"/>
            <w:vAlign w:val="center"/>
          </w:tcPr>
          <w:p>
            <w:pPr>
              <w:pStyle w:val="94"/>
            </w:pPr>
            <w:r>
              <w:t>3</w:t>
            </w:r>
          </w:p>
        </w:tc>
        <w:tc>
          <w:tcPr>
            <w:tcW w:w="2712" w:type="dxa"/>
            <w:vAlign w:val="center"/>
          </w:tcPr>
          <w:p>
            <w:pPr>
              <w:spacing w:line="240" w:lineRule="exact"/>
              <w:jc w:val="center"/>
              <w:rPr>
                <w:szCs w:val="21"/>
              </w:rPr>
            </w:pPr>
            <w:r>
              <w:rPr>
                <w:szCs w:val="21"/>
              </w:rPr>
              <w:t>侧卸式矿车</w:t>
            </w:r>
          </w:p>
        </w:tc>
        <w:tc>
          <w:tcPr>
            <w:tcW w:w="2627" w:type="dxa"/>
            <w:vAlign w:val="center"/>
          </w:tcPr>
          <w:p>
            <w:pPr>
              <w:spacing w:line="240" w:lineRule="exact"/>
              <w:jc w:val="center"/>
              <w:rPr>
                <w:szCs w:val="21"/>
              </w:rPr>
            </w:pPr>
            <w:r>
              <w:rPr>
                <w:szCs w:val="21"/>
              </w:rPr>
              <w:t>Ycc1.2(6)</w:t>
            </w:r>
          </w:p>
        </w:tc>
        <w:tc>
          <w:tcPr>
            <w:tcW w:w="1936" w:type="dxa"/>
            <w:vAlign w:val="center"/>
          </w:tcPr>
          <w:p>
            <w:pPr>
              <w:adjustRightInd w:val="0"/>
              <w:snapToGrid w:val="0"/>
              <w:spacing w:line="240" w:lineRule="exact"/>
              <w:jc w:val="center"/>
              <w:rPr>
                <w:szCs w:val="21"/>
              </w:rPr>
            </w:pPr>
            <w:r>
              <w:rPr>
                <w:szCs w:val="21"/>
              </w:rPr>
              <w:t>国内先进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53" w:type="dxa"/>
            <w:vAlign w:val="center"/>
          </w:tcPr>
          <w:p>
            <w:pPr>
              <w:pStyle w:val="94"/>
            </w:pPr>
            <w:r>
              <w:t>4</w:t>
            </w:r>
          </w:p>
        </w:tc>
        <w:tc>
          <w:tcPr>
            <w:tcW w:w="2712" w:type="dxa"/>
            <w:vAlign w:val="center"/>
          </w:tcPr>
          <w:p>
            <w:pPr>
              <w:pStyle w:val="94"/>
            </w:pPr>
            <w:r>
              <w:t>凿岩机</w:t>
            </w:r>
          </w:p>
        </w:tc>
        <w:tc>
          <w:tcPr>
            <w:tcW w:w="2627" w:type="dxa"/>
            <w:vAlign w:val="center"/>
          </w:tcPr>
          <w:p>
            <w:pPr>
              <w:spacing w:line="240" w:lineRule="exact"/>
              <w:jc w:val="center"/>
              <w:rPr>
                <w:szCs w:val="21"/>
              </w:rPr>
            </w:pPr>
            <w:r>
              <w:rPr>
                <w:szCs w:val="21"/>
              </w:rPr>
              <w:t>YG-80导轨式</w:t>
            </w:r>
          </w:p>
        </w:tc>
        <w:tc>
          <w:tcPr>
            <w:tcW w:w="1936" w:type="dxa"/>
            <w:vAlign w:val="center"/>
          </w:tcPr>
          <w:p>
            <w:pPr>
              <w:adjustRightInd w:val="0"/>
              <w:snapToGrid w:val="0"/>
              <w:spacing w:line="240" w:lineRule="exact"/>
              <w:jc w:val="center"/>
              <w:rPr>
                <w:szCs w:val="21"/>
              </w:rPr>
            </w:pPr>
            <w:r>
              <w:rPr>
                <w:szCs w:val="21"/>
              </w:rPr>
              <w:t>国内先进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253" w:type="dxa"/>
            <w:vAlign w:val="center"/>
          </w:tcPr>
          <w:p>
            <w:pPr>
              <w:pStyle w:val="94"/>
            </w:pPr>
            <w:r>
              <w:t>5</w:t>
            </w:r>
          </w:p>
        </w:tc>
        <w:tc>
          <w:tcPr>
            <w:tcW w:w="2712" w:type="dxa"/>
            <w:vAlign w:val="center"/>
          </w:tcPr>
          <w:p>
            <w:pPr>
              <w:pStyle w:val="94"/>
            </w:pPr>
            <w:r>
              <w:t>空压机</w:t>
            </w:r>
          </w:p>
        </w:tc>
        <w:tc>
          <w:tcPr>
            <w:tcW w:w="2627" w:type="dxa"/>
            <w:vAlign w:val="center"/>
          </w:tcPr>
          <w:p>
            <w:pPr>
              <w:pStyle w:val="94"/>
            </w:pPr>
            <w:r>
              <w:t>LQD132/0133型空压机12</w:t>
            </w:r>
          </w:p>
        </w:tc>
        <w:tc>
          <w:tcPr>
            <w:tcW w:w="1936" w:type="dxa"/>
            <w:vAlign w:val="center"/>
          </w:tcPr>
          <w:p>
            <w:pPr>
              <w:adjustRightInd w:val="0"/>
              <w:snapToGrid w:val="0"/>
              <w:spacing w:line="240" w:lineRule="exact"/>
              <w:jc w:val="center"/>
              <w:rPr>
                <w:szCs w:val="21"/>
              </w:rPr>
            </w:pPr>
            <w:r>
              <w:rPr>
                <w:szCs w:val="21"/>
              </w:rPr>
              <w:t>国内先进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253" w:type="dxa"/>
            <w:vAlign w:val="center"/>
          </w:tcPr>
          <w:p>
            <w:pPr>
              <w:pStyle w:val="94"/>
            </w:pPr>
            <w:r>
              <w:t>6</w:t>
            </w:r>
          </w:p>
        </w:tc>
        <w:tc>
          <w:tcPr>
            <w:tcW w:w="2712" w:type="dxa"/>
            <w:vAlign w:val="center"/>
          </w:tcPr>
          <w:p>
            <w:pPr>
              <w:pStyle w:val="94"/>
            </w:pPr>
            <w:r>
              <w:t>挖掘机</w:t>
            </w:r>
          </w:p>
        </w:tc>
        <w:tc>
          <w:tcPr>
            <w:tcW w:w="2627" w:type="dxa"/>
            <w:vAlign w:val="center"/>
          </w:tcPr>
          <w:p>
            <w:pPr>
              <w:pStyle w:val="94"/>
            </w:pPr>
            <w:r>
              <w:t>TWD-2</w:t>
            </w:r>
          </w:p>
        </w:tc>
        <w:tc>
          <w:tcPr>
            <w:tcW w:w="1936" w:type="dxa"/>
            <w:vAlign w:val="center"/>
          </w:tcPr>
          <w:p>
            <w:pPr>
              <w:adjustRightInd w:val="0"/>
              <w:snapToGrid w:val="0"/>
              <w:spacing w:line="240" w:lineRule="exact"/>
              <w:jc w:val="center"/>
              <w:rPr>
                <w:szCs w:val="21"/>
              </w:rPr>
            </w:pPr>
            <w:r>
              <w:rPr>
                <w:szCs w:val="21"/>
              </w:rPr>
              <w:t>国内先进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rPr>
        <w:tc>
          <w:tcPr>
            <w:tcW w:w="1253" w:type="dxa"/>
            <w:vAlign w:val="center"/>
          </w:tcPr>
          <w:p>
            <w:pPr>
              <w:pStyle w:val="94"/>
            </w:pPr>
            <w:r>
              <w:t>7</w:t>
            </w:r>
          </w:p>
        </w:tc>
        <w:tc>
          <w:tcPr>
            <w:tcW w:w="2712" w:type="dxa"/>
            <w:vAlign w:val="center"/>
          </w:tcPr>
          <w:p>
            <w:pPr>
              <w:pStyle w:val="94"/>
            </w:pPr>
            <w:r>
              <w:t>振动放矿机</w:t>
            </w:r>
          </w:p>
        </w:tc>
        <w:tc>
          <w:tcPr>
            <w:tcW w:w="2627" w:type="dxa"/>
            <w:vAlign w:val="center"/>
          </w:tcPr>
          <w:p>
            <w:pPr>
              <w:spacing w:line="240" w:lineRule="exact"/>
              <w:jc w:val="center"/>
              <w:rPr>
                <w:szCs w:val="21"/>
              </w:rPr>
            </w:pPr>
            <w:r>
              <w:rPr>
                <w:szCs w:val="21"/>
              </w:rPr>
              <w:t>Fzc-3.1/1.4-5.5</w:t>
            </w:r>
          </w:p>
        </w:tc>
        <w:tc>
          <w:tcPr>
            <w:tcW w:w="1936" w:type="dxa"/>
            <w:vAlign w:val="center"/>
          </w:tcPr>
          <w:p>
            <w:pPr>
              <w:adjustRightInd w:val="0"/>
              <w:snapToGrid w:val="0"/>
              <w:spacing w:line="240" w:lineRule="exact"/>
              <w:jc w:val="center"/>
              <w:rPr>
                <w:szCs w:val="21"/>
              </w:rPr>
            </w:pPr>
            <w:r>
              <w:rPr>
                <w:szCs w:val="21"/>
              </w:rPr>
              <w:t>国内先进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rPr>
        <w:tc>
          <w:tcPr>
            <w:tcW w:w="1253" w:type="dxa"/>
            <w:vAlign w:val="center"/>
          </w:tcPr>
          <w:p>
            <w:pPr>
              <w:pStyle w:val="94"/>
            </w:pPr>
            <w:r>
              <w:t>8</w:t>
            </w:r>
          </w:p>
        </w:tc>
        <w:tc>
          <w:tcPr>
            <w:tcW w:w="2712" w:type="dxa"/>
            <w:vAlign w:val="center"/>
          </w:tcPr>
          <w:p>
            <w:pPr>
              <w:pStyle w:val="94"/>
            </w:pPr>
            <w:r>
              <w:t>擦提升机</w:t>
            </w:r>
          </w:p>
        </w:tc>
        <w:tc>
          <w:tcPr>
            <w:tcW w:w="2627" w:type="dxa"/>
            <w:vAlign w:val="center"/>
          </w:tcPr>
          <w:p>
            <w:pPr>
              <w:spacing w:line="240" w:lineRule="exact"/>
              <w:jc w:val="center"/>
              <w:rPr>
                <w:snapToGrid w:val="0"/>
                <w:kern w:val="0"/>
                <w:szCs w:val="21"/>
              </w:rPr>
            </w:pPr>
            <w:r>
              <w:rPr>
                <w:snapToGrid w:val="0"/>
                <w:kern w:val="0"/>
                <w:szCs w:val="21"/>
              </w:rPr>
              <w:t>JKMD3.25×4型</w:t>
            </w:r>
          </w:p>
        </w:tc>
        <w:tc>
          <w:tcPr>
            <w:tcW w:w="1936" w:type="dxa"/>
            <w:vAlign w:val="center"/>
          </w:tcPr>
          <w:p>
            <w:pPr>
              <w:adjustRightInd w:val="0"/>
              <w:snapToGrid w:val="0"/>
              <w:spacing w:line="240" w:lineRule="exact"/>
              <w:jc w:val="center"/>
              <w:rPr>
                <w:snapToGrid w:val="0"/>
                <w:kern w:val="0"/>
                <w:szCs w:val="21"/>
              </w:rPr>
            </w:pPr>
            <w:r>
              <w:rPr>
                <w:szCs w:val="21"/>
              </w:rPr>
              <w:t>国内先进</w:t>
            </w:r>
          </w:p>
        </w:tc>
      </w:tr>
    </w:tbl>
    <w:p>
      <w:pPr>
        <w:pStyle w:val="5"/>
      </w:pPr>
      <w:r>
        <w:t>11.1.1.2</w:t>
      </w:r>
      <w:bookmarkEnd w:id="942"/>
      <w:bookmarkEnd w:id="943"/>
      <w:bookmarkEnd w:id="944"/>
      <w:bookmarkEnd w:id="945"/>
      <w:bookmarkEnd w:id="946"/>
      <w:bookmarkStart w:id="947" w:name="_Toc407153579"/>
      <w:bookmarkStart w:id="948" w:name="_Toc407217445"/>
      <w:bookmarkStart w:id="949" w:name="_Toc275190422"/>
      <w:bookmarkStart w:id="950" w:name="_Toc406504296"/>
      <w:bookmarkStart w:id="951" w:name="_Toc420663765"/>
      <w:r>
        <w:t>资源能源利用指标</w:t>
      </w:r>
    </w:p>
    <w:p>
      <w:pPr>
        <w:jc w:val="left"/>
        <w:rPr>
          <w:rFonts w:eastAsia="黑体"/>
          <w:bCs/>
        </w:rPr>
      </w:pPr>
      <w:r>
        <w:rPr>
          <w:b/>
          <w:bCs/>
        </w:rPr>
        <w:t xml:space="preserve">   </w:t>
      </w:r>
      <w:r>
        <w:rPr>
          <w:rFonts w:eastAsia="黑体"/>
          <w:bCs/>
        </w:rPr>
        <w:t xml:space="preserve"> 表11.1-2      采矿资源能源利用指标以及可以达到的清洁生产等级表</w:t>
      </w:r>
    </w:p>
    <w:tbl>
      <w:tblPr>
        <w:tblStyle w:val="54"/>
        <w:tblW w:w="8528" w:type="dxa"/>
        <w:jc w:val="center"/>
        <w:tblInd w:w="63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27"/>
        <w:gridCol w:w="2451"/>
        <w:gridCol w:w="1040"/>
        <w:gridCol w:w="1042"/>
        <w:gridCol w:w="1040"/>
        <w:gridCol w:w="1133"/>
        <w:gridCol w:w="139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50" w:hRule="atLeast"/>
          <w:jc w:val="center"/>
        </w:trPr>
        <w:tc>
          <w:tcPr>
            <w:tcW w:w="427" w:type="dxa"/>
            <w:vAlign w:val="center"/>
          </w:tcPr>
          <w:p>
            <w:pPr>
              <w:tabs>
                <w:tab w:val="center" w:pos="4153"/>
                <w:tab w:val="right" w:pos="8306"/>
              </w:tabs>
              <w:adjustRightInd w:val="0"/>
              <w:snapToGrid w:val="0"/>
              <w:jc w:val="center"/>
              <w:rPr>
                <w:bCs/>
                <w:szCs w:val="21"/>
              </w:rPr>
            </w:pPr>
            <w:r>
              <w:rPr>
                <w:bCs/>
                <w:szCs w:val="21"/>
              </w:rPr>
              <w:t>序号</w:t>
            </w:r>
          </w:p>
        </w:tc>
        <w:tc>
          <w:tcPr>
            <w:tcW w:w="2451" w:type="dxa"/>
            <w:vAlign w:val="center"/>
          </w:tcPr>
          <w:p>
            <w:pPr>
              <w:tabs>
                <w:tab w:val="center" w:pos="4153"/>
                <w:tab w:val="right" w:pos="8306"/>
              </w:tabs>
              <w:adjustRightInd w:val="0"/>
              <w:snapToGrid w:val="0"/>
              <w:jc w:val="center"/>
              <w:rPr>
                <w:bCs/>
                <w:szCs w:val="21"/>
              </w:rPr>
            </w:pPr>
            <w:r>
              <w:rPr>
                <w:bCs/>
                <w:szCs w:val="21"/>
              </w:rPr>
              <w:t>项目</w:t>
            </w:r>
          </w:p>
        </w:tc>
        <w:tc>
          <w:tcPr>
            <w:tcW w:w="1040" w:type="dxa"/>
            <w:vAlign w:val="center"/>
          </w:tcPr>
          <w:p>
            <w:pPr>
              <w:tabs>
                <w:tab w:val="center" w:pos="4153"/>
                <w:tab w:val="right" w:pos="8306"/>
              </w:tabs>
              <w:adjustRightInd w:val="0"/>
              <w:snapToGrid w:val="0"/>
              <w:jc w:val="center"/>
              <w:rPr>
                <w:bCs/>
                <w:szCs w:val="21"/>
              </w:rPr>
            </w:pPr>
            <w:r>
              <w:rPr>
                <w:bCs/>
                <w:szCs w:val="21"/>
              </w:rPr>
              <w:t>一级标准值</w:t>
            </w:r>
          </w:p>
        </w:tc>
        <w:tc>
          <w:tcPr>
            <w:tcW w:w="1042" w:type="dxa"/>
            <w:vAlign w:val="center"/>
          </w:tcPr>
          <w:p>
            <w:pPr>
              <w:tabs>
                <w:tab w:val="center" w:pos="4153"/>
                <w:tab w:val="right" w:pos="8306"/>
              </w:tabs>
              <w:adjustRightInd w:val="0"/>
              <w:snapToGrid w:val="0"/>
              <w:jc w:val="center"/>
              <w:rPr>
                <w:bCs/>
                <w:szCs w:val="21"/>
              </w:rPr>
            </w:pPr>
            <w:r>
              <w:rPr>
                <w:bCs/>
                <w:szCs w:val="21"/>
              </w:rPr>
              <w:t>二级标准值</w:t>
            </w:r>
          </w:p>
        </w:tc>
        <w:tc>
          <w:tcPr>
            <w:tcW w:w="1040" w:type="dxa"/>
            <w:vAlign w:val="center"/>
          </w:tcPr>
          <w:p>
            <w:pPr>
              <w:tabs>
                <w:tab w:val="center" w:pos="4153"/>
                <w:tab w:val="right" w:pos="8306"/>
              </w:tabs>
              <w:adjustRightInd w:val="0"/>
              <w:snapToGrid w:val="0"/>
              <w:jc w:val="center"/>
              <w:rPr>
                <w:bCs/>
                <w:szCs w:val="21"/>
              </w:rPr>
            </w:pPr>
            <w:r>
              <w:rPr>
                <w:bCs/>
                <w:szCs w:val="21"/>
              </w:rPr>
              <w:t>三级标准值</w:t>
            </w:r>
          </w:p>
        </w:tc>
        <w:tc>
          <w:tcPr>
            <w:tcW w:w="1133" w:type="dxa"/>
            <w:vAlign w:val="center"/>
          </w:tcPr>
          <w:p>
            <w:pPr>
              <w:tabs>
                <w:tab w:val="center" w:pos="4153"/>
                <w:tab w:val="right" w:pos="8306"/>
              </w:tabs>
              <w:adjustRightInd w:val="0"/>
              <w:snapToGrid w:val="0"/>
              <w:jc w:val="center"/>
              <w:rPr>
                <w:bCs/>
                <w:szCs w:val="21"/>
              </w:rPr>
            </w:pPr>
            <w:r>
              <w:rPr>
                <w:bCs/>
                <w:szCs w:val="21"/>
              </w:rPr>
              <w:t>拟建项目值</w:t>
            </w:r>
          </w:p>
        </w:tc>
        <w:tc>
          <w:tcPr>
            <w:tcW w:w="1395" w:type="dxa"/>
            <w:vAlign w:val="center"/>
          </w:tcPr>
          <w:p>
            <w:pPr>
              <w:tabs>
                <w:tab w:val="center" w:pos="4153"/>
                <w:tab w:val="right" w:pos="8306"/>
              </w:tabs>
              <w:adjustRightInd w:val="0"/>
              <w:snapToGrid w:val="0"/>
              <w:jc w:val="center"/>
              <w:rPr>
                <w:bCs/>
                <w:szCs w:val="21"/>
              </w:rPr>
            </w:pPr>
            <w:r>
              <w:rPr>
                <w:bCs/>
                <w:szCs w:val="21"/>
              </w:rPr>
              <w:t>本项目可达到的标准</w:t>
            </w:r>
          </w:p>
        </w:tc>
      </w:tr>
      <w:tr>
        <w:tblPrEx>
          <w:tblLayout w:type="fixed"/>
          <w:tblCellMar>
            <w:top w:w="0" w:type="dxa"/>
            <w:left w:w="108" w:type="dxa"/>
            <w:bottom w:w="0" w:type="dxa"/>
            <w:right w:w="108" w:type="dxa"/>
          </w:tblCellMar>
        </w:tblPrEx>
        <w:trPr>
          <w:trHeight w:val="330" w:hRule="atLeast"/>
          <w:jc w:val="center"/>
        </w:trPr>
        <w:tc>
          <w:tcPr>
            <w:tcW w:w="427" w:type="dxa"/>
            <w:vAlign w:val="center"/>
          </w:tcPr>
          <w:p>
            <w:pPr>
              <w:tabs>
                <w:tab w:val="center" w:pos="4153"/>
                <w:tab w:val="right" w:pos="8306"/>
              </w:tabs>
              <w:adjustRightInd w:val="0"/>
              <w:snapToGrid w:val="0"/>
              <w:jc w:val="center"/>
              <w:rPr>
                <w:kern w:val="0"/>
                <w:szCs w:val="21"/>
              </w:rPr>
            </w:pPr>
            <w:r>
              <w:rPr>
                <w:kern w:val="0"/>
                <w:szCs w:val="21"/>
              </w:rPr>
              <w:t>1</w:t>
            </w:r>
          </w:p>
        </w:tc>
        <w:tc>
          <w:tcPr>
            <w:tcW w:w="2451" w:type="dxa"/>
            <w:vAlign w:val="center"/>
          </w:tcPr>
          <w:p>
            <w:pPr>
              <w:pStyle w:val="46"/>
              <w:spacing w:before="0" w:beforeAutospacing="0" w:after="0" w:afterAutospacing="0"/>
              <w:rPr>
                <w:rFonts w:ascii="Times New Roman" w:hAnsi="Times New Roman" w:cs="Times New Roman"/>
                <w:sz w:val="21"/>
                <w:szCs w:val="21"/>
              </w:rPr>
            </w:pPr>
            <w:r>
              <w:rPr>
                <w:rFonts w:ascii="Times New Roman" w:hAnsi="Times New Roman" w:cs="Times New Roman"/>
                <w:sz w:val="21"/>
                <w:szCs w:val="21"/>
              </w:rPr>
              <w:t>回采率/（%）</w:t>
            </w:r>
          </w:p>
        </w:tc>
        <w:tc>
          <w:tcPr>
            <w:tcW w:w="1040" w:type="dxa"/>
            <w:vAlign w:val="center"/>
          </w:tcPr>
          <w:p>
            <w:pPr>
              <w:tabs>
                <w:tab w:val="center" w:pos="4153"/>
                <w:tab w:val="right" w:pos="8306"/>
              </w:tabs>
              <w:adjustRightInd w:val="0"/>
              <w:snapToGrid w:val="0"/>
              <w:jc w:val="center"/>
              <w:rPr>
                <w:b/>
                <w:bCs/>
                <w:szCs w:val="21"/>
              </w:rPr>
            </w:pPr>
            <w:r>
              <w:rPr>
                <w:szCs w:val="21"/>
              </w:rPr>
              <w:t>≥90</w:t>
            </w:r>
          </w:p>
        </w:tc>
        <w:tc>
          <w:tcPr>
            <w:tcW w:w="1042" w:type="dxa"/>
            <w:vAlign w:val="center"/>
          </w:tcPr>
          <w:p>
            <w:pPr>
              <w:tabs>
                <w:tab w:val="center" w:pos="4153"/>
                <w:tab w:val="right" w:pos="8306"/>
              </w:tabs>
              <w:adjustRightInd w:val="0"/>
              <w:snapToGrid w:val="0"/>
              <w:jc w:val="center"/>
              <w:rPr>
                <w:b/>
                <w:bCs/>
                <w:szCs w:val="21"/>
              </w:rPr>
            </w:pPr>
            <w:r>
              <w:rPr>
                <w:szCs w:val="21"/>
              </w:rPr>
              <w:t>≥80</w:t>
            </w:r>
          </w:p>
        </w:tc>
        <w:tc>
          <w:tcPr>
            <w:tcW w:w="1040" w:type="dxa"/>
            <w:vAlign w:val="center"/>
          </w:tcPr>
          <w:p>
            <w:pPr>
              <w:tabs>
                <w:tab w:val="center" w:pos="4153"/>
                <w:tab w:val="right" w:pos="8306"/>
              </w:tabs>
              <w:adjustRightInd w:val="0"/>
              <w:snapToGrid w:val="0"/>
              <w:jc w:val="center"/>
              <w:rPr>
                <w:b/>
                <w:bCs/>
                <w:szCs w:val="21"/>
              </w:rPr>
            </w:pPr>
            <w:r>
              <w:rPr>
                <w:szCs w:val="21"/>
              </w:rPr>
              <w:t>≥70</w:t>
            </w:r>
          </w:p>
        </w:tc>
        <w:tc>
          <w:tcPr>
            <w:tcW w:w="1133" w:type="dxa"/>
            <w:vAlign w:val="center"/>
          </w:tcPr>
          <w:p>
            <w:pPr>
              <w:tabs>
                <w:tab w:val="center" w:pos="4153"/>
                <w:tab w:val="right" w:pos="8306"/>
              </w:tabs>
              <w:adjustRightInd w:val="0"/>
              <w:snapToGrid w:val="0"/>
              <w:jc w:val="center"/>
              <w:rPr>
                <w:bCs/>
                <w:szCs w:val="21"/>
              </w:rPr>
            </w:pPr>
            <w:r>
              <w:rPr>
                <w:bCs/>
                <w:szCs w:val="21"/>
              </w:rPr>
              <w:t>85</w:t>
            </w:r>
          </w:p>
        </w:tc>
        <w:tc>
          <w:tcPr>
            <w:tcW w:w="1395" w:type="dxa"/>
            <w:vAlign w:val="center"/>
          </w:tcPr>
          <w:p>
            <w:pPr>
              <w:tabs>
                <w:tab w:val="center" w:pos="4153"/>
                <w:tab w:val="right" w:pos="8306"/>
              </w:tabs>
              <w:adjustRightInd w:val="0"/>
              <w:snapToGrid w:val="0"/>
              <w:jc w:val="center"/>
              <w:rPr>
                <w:bCs/>
                <w:szCs w:val="21"/>
              </w:rPr>
            </w:pPr>
            <w:r>
              <w:rPr>
                <w:bCs/>
                <w:szCs w:val="21"/>
              </w:rPr>
              <w:t>一级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30" w:hRule="atLeast"/>
          <w:jc w:val="center"/>
        </w:trPr>
        <w:tc>
          <w:tcPr>
            <w:tcW w:w="427" w:type="dxa"/>
            <w:vAlign w:val="center"/>
          </w:tcPr>
          <w:p>
            <w:pPr>
              <w:tabs>
                <w:tab w:val="center" w:pos="4153"/>
                <w:tab w:val="right" w:pos="8306"/>
              </w:tabs>
              <w:adjustRightInd w:val="0"/>
              <w:snapToGrid w:val="0"/>
              <w:jc w:val="center"/>
              <w:rPr>
                <w:bCs/>
                <w:szCs w:val="21"/>
              </w:rPr>
            </w:pPr>
            <w:r>
              <w:rPr>
                <w:bCs/>
                <w:szCs w:val="21"/>
              </w:rPr>
              <w:t>2</w:t>
            </w:r>
          </w:p>
        </w:tc>
        <w:tc>
          <w:tcPr>
            <w:tcW w:w="2451" w:type="dxa"/>
            <w:vAlign w:val="center"/>
          </w:tcPr>
          <w:p>
            <w:pPr>
              <w:pStyle w:val="46"/>
              <w:spacing w:before="0" w:beforeAutospacing="0" w:after="0" w:afterAutospacing="0"/>
              <w:rPr>
                <w:rFonts w:ascii="Times New Roman" w:hAnsi="Times New Roman" w:cs="Times New Roman"/>
                <w:sz w:val="21"/>
                <w:szCs w:val="21"/>
              </w:rPr>
            </w:pPr>
            <w:r>
              <w:rPr>
                <w:rFonts w:ascii="Times New Roman" w:hAnsi="Times New Roman" w:cs="Times New Roman"/>
                <w:sz w:val="21"/>
                <w:szCs w:val="21"/>
              </w:rPr>
              <w:t>贫化率/（%）</w:t>
            </w:r>
          </w:p>
        </w:tc>
        <w:tc>
          <w:tcPr>
            <w:tcW w:w="1040" w:type="dxa"/>
            <w:vAlign w:val="center"/>
          </w:tcPr>
          <w:p>
            <w:pPr>
              <w:tabs>
                <w:tab w:val="center" w:pos="4153"/>
                <w:tab w:val="right" w:pos="8306"/>
              </w:tabs>
              <w:adjustRightInd w:val="0"/>
              <w:snapToGrid w:val="0"/>
              <w:jc w:val="center"/>
              <w:rPr>
                <w:b/>
                <w:bCs/>
                <w:szCs w:val="21"/>
              </w:rPr>
            </w:pPr>
            <w:r>
              <w:rPr>
                <w:szCs w:val="21"/>
              </w:rPr>
              <w:t>≤8</w:t>
            </w:r>
          </w:p>
        </w:tc>
        <w:tc>
          <w:tcPr>
            <w:tcW w:w="1042" w:type="dxa"/>
            <w:vAlign w:val="center"/>
          </w:tcPr>
          <w:p>
            <w:pPr>
              <w:tabs>
                <w:tab w:val="center" w:pos="4153"/>
                <w:tab w:val="right" w:pos="8306"/>
              </w:tabs>
              <w:adjustRightInd w:val="0"/>
              <w:snapToGrid w:val="0"/>
              <w:jc w:val="center"/>
              <w:rPr>
                <w:b/>
                <w:bCs/>
                <w:szCs w:val="21"/>
              </w:rPr>
            </w:pPr>
            <w:r>
              <w:rPr>
                <w:szCs w:val="21"/>
              </w:rPr>
              <w:t>≤12</w:t>
            </w:r>
          </w:p>
        </w:tc>
        <w:tc>
          <w:tcPr>
            <w:tcW w:w="1040" w:type="dxa"/>
            <w:vAlign w:val="center"/>
          </w:tcPr>
          <w:p>
            <w:pPr>
              <w:tabs>
                <w:tab w:val="center" w:pos="4153"/>
                <w:tab w:val="right" w:pos="8306"/>
              </w:tabs>
              <w:adjustRightInd w:val="0"/>
              <w:snapToGrid w:val="0"/>
              <w:jc w:val="center"/>
              <w:rPr>
                <w:b/>
                <w:bCs/>
                <w:szCs w:val="21"/>
              </w:rPr>
            </w:pPr>
            <w:r>
              <w:rPr>
                <w:szCs w:val="21"/>
              </w:rPr>
              <w:t>≤15</w:t>
            </w:r>
          </w:p>
        </w:tc>
        <w:tc>
          <w:tcPr>
            <w:tcW w:w="1133" w:type="dxa"/>
            <w:vAlign w:val="center"/>
          </w:tcPr>
          <w:p>
            <w:pPr>
              <w:tabs>
                <w:tab w:val="center" w:pos="4153"/>
                <w:tab w:val="right" w:pos="8306"/>
              </w:tabs>
              <w:adjustRightInd w:val="0"/>
              <w:snapToGrid w:val="0"/>
              <w:jc w:val="center"/>
              <w:rPr>
                <w:bCs/>
                <w:szCs w:val="21"/>
              </w:rPr>
            </w:pPr>
            <w:r>
              <w:rPr>
                <w:bCs/>
                <w:szCs w:val="21"/>
              </w:rPr>
              <w:t>10</w:t>
            </w:r>
          </w:p>
        </w:tc>
        <w:tc>
          <w:tcPr>
            <w:tcW w:w="1395" w:type="dxa"/>
            <w:vAlign w:val="center"/>
          </w:tcPr>
          <w:p>
            <w:pPr>
              <w:tabs>
                <w:tab w:val="center" w:pos="4153"/>
                <w:tab w:val="right" w:pos="8306"/>
              </w:tabs>
              <w:adjustRightInd w:val="0"/>
              <w:snapToGrid w:val="0"/>
              <w:jc w:val="center"/>
              <w:rPr>
                <w:bCs/>
                <w:szCs w:val="21"/>
              </w:rPr>
            </w:pPr>
            <w:r>
              <w:rPr>
                <w:bCs/>
                <w:szCs w:val="21"/>
              </w:rPr>
              <w:t>二级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30" w:hRule="atLeast"/>
          <w:jc w:val="center"/>
        </w:trPr>
        <w:tc>
          <w:tcPr>
            <w:tcW w:w="427" w:type="dxa"/>
            <w:vAlign w:val="center"/>
          </w:tcPr>
          <w:p>
            <w:pPr>
              <w:tabs>
                <w:tab w:val="center" w:pos="4153"/>
                <w:tab w:val="right" w:pos="8306"/>
              </w:tabs>
              <w:adjustRightInd w:val="0"/>
              <w:snapToGrid w:val="0"/>
              <w:jc w:val="center"/>
              <w:rPr>
                <w:bCs/>
                <w:szCs w:val="21"/>
              </w:rPr>
            </w:pPr>
            <w:r>
              <w:rPr>
                <w:bCs/>
                <w:szCs w:val="21"/>
              </w:rPr>
              <w:t>3</w:t>
            </w:r>
          </w:p>
        </w:tc>
        <w:tc>
          <w:tcPr>
            <w:tcW w:w="2451" w:type="dxa"/>
            <w:vAlign w:val="center"/>
          </w:tcPr>
          <w:p>
            <w:pPr>
              <w:pStyle w:val="46"/>
              <w:spacing w:before="0" w:beforeAutospacing="0" w:after="0" w:afterAutospacing="0"/>
              <w:rPr>
                <w:rFonts w:ascii="Times New Roman" w:hAnsi="Times New Roman" w:cs="Times New Roman"/>
                <w:sz w:val="21"/>
                <w:szCs w:val="21"/>
              </w:rPr>
            </w:pPr>
            <w:r>
              <w:rPr>
                <w:rFonts w:ascii="Times New Roman" w:hAnsi="Times New Roman" w:cs="Times New Roman"/>
                <w:sz w:val="21"/>
                <w:szCs w:val="21"/>
              </w:rPr>
              <w:t xml:space="preserve">电耗/（kW·h/t） </w:t>
            </w:r>
          </w:p>
        </w:tc>
        <w:tc>
          <w:tcPr>
            <w:tcW w:w="1040" w:type="dxa"/>
            <w:vAlign w:val="center"/>
          </w:tcPr>
          <w:p>
            <w:pPr>
              <w:tabs>
                <w:tab w:val="center" w:pos="4153"/>
                <w:tab w:val="right" w:pos="8306"/>
              </w:tabs>
              <w:adjustRightInd w:val="0"/>
              <w:snapToGrid w:val="0"/>
              <w:jc w:val="center"/>
              <w:rPr>
                <w:bCs/>
                <w:szCs w:val="21"/>
              </w:rPr>
            </w:pPr>
            <w:r>
              <w:rPr>
                <w:bCs/>
                <w:szCs w:val="21"/>
              </w:rPr>
              <w:t>≤10</w:t>
            </w:r>
          </w:p>
        </w:tc>
        <w:tc>
          <w:tcPr>
            <w:tcW w:w="1042" w:type="dxa"/>
            <w:vAlign w:val="center"/>
          </w:tcPr>
          <w:p>
            <w:pPr>
              <w:tabs>
                <w:tab w:val="center" w:pos="4153"/>
                <w:tab w:val="right" w:pos="8306"/>
              </w:tabs>
              <w:adjustRightInd w:val="0"/>
              <w:snapToGrid w:val="0"/>
              <w:jc w:val="center"/>
              <w:rPr>
                <w:b/>
                <w:bCs/>
                <w:szCs w:val="21"/>
              </w:rPr>
            </w:pPr>
            <w:r>
              <w:rPr>
                <w:kern w:val="0"/>
                <w:szCs w:val="21"/>
              </w:rPr>
              <w:t>≤18</w:t>
            </w:r>
          </w:p>
        </w:tc>
        <w:tc>
          <w:tcPr>
            <w:tcW w:w="1040" w:type="dxa"/>
            <w:vAlign w:val="center"/>
          </w:tcPr>
          <w:p>
            <w:pPr>
              <w:tabs>
                <w:tab w:val="center" w:pos="4153"/>
                <w:tab w:val="right" w:pos="8306"/>
              </w:tabs>
              <w:adjustRightInd w:val="0"/>
              <w:snapToGrid w:val="0"/>
              <w:jc w:val="center"/>
              <w:rPr>
                <w:b/>
                <w:bCs/>
                <w:szCs w:val="21"/>
              </w:rPr>
            </w:pPr>
            <w:r>
              <w:rPr>
                <w:kern w:val="0"/>
                <w:szCs w:val="21"/>
              </w:rPr>
              <w:t>≤25</w:t>
            </w:r>
          </w:p>
        </w:tc>
        <w:tc>
          <w:tcPr>
            <w:tcW w:w="1133" w:type="dxa"/>
            <w:vAlign w:val="center"/>
          </w:tcPr>
          <w:p>
            <w:pPr>
              <w:tabs>
                <w:tab w:val="center" w:pos="4153"/>
                <w:tab w:val="right" w:pos="8306"/>
              </w:tabs>
              <w:adjustRightInd w:val="0"/>
              <w:snapToGrid w:val="0"/>
              <w:jc w:val="center"/>
              <w:rPr>
                <w:bCs/>
                <w:szCs w:val="21"/>
              </w:rPr>
            </w:pPr>
            <w:r>
              <w:rPr>
                <w:bCs/>
                <w:szCs w:val="21"/>
              </w:rPr>
              <w:t>16.5</w:t>
            </w:r>
          </w:p>
        </w:tc>
        <w:tc>
          <w:tcPr>
            <w:tcW w:w="1395" w:type="dxa"/>
            <w:vAlign w:val="center"/>
          </w:tcPr>
          <w:p>
            <w:pPr>
              <w:tabs>
                <w:tab w:val="center" w:pos="4153"/>
                <w:tab w:val="right" w:pos="8306"/>
              </w:tabs>
              <w:adjustRightInd w:val="0"/>
              <w:snapToGrid w:val="0"/>
              <w:jc w:val="center"/>
              <w:rPr>
                <w:bCs/>
                <w:szCs w:val="21"/>
              </w:rPr>
            </w:pPr>
            <w:r>
              <w:rPr>
                <w:bCs/>
                <w:szCs w:val="21"/>
              </w:rPr>
              <w:t>二级</w:t>
            </w:r>
          </w:p>
        </w:tc>
      </w:tr>
    </w:tbl>
    <w:p>
      <w:pPr>
        <w:pStyle w:val="159"/>
        <w:adjustRightInd/>
        <w:snapToGrid/>
        <w:spacing w:beforeLines="50"/>
        <w:rPr>
          <w:rFonts w:ascii="Times New Roman" w:hAnsi="Times New Roman" w:eastAsia="宋体" w:cs="Times New Roman"/>
        </w:rPr>
      </w:pPr>
      <w:r>
        <w:rPr>
          <w:rFonts w:ascii="Times New Roman" w:hAnsi="Times New Roman" w:eastAsia="宋体" w:cs="Times New Roman"/>
          <w:bCs/>
        </w:rPr>
        <w:t>参照</w:t>
      </w:r>
      <w:r>
        <w:rPr>
          <w:rFonts w:ascii="Times New Roman" w:hAnsi="Times New Roman" w:eastAsia="宋体" w:cs="Times New Roman"/>
        </w:rPr>
        <w:t>的《清洁生产技术要求——铁矿采选业（发布稿）》中地下开采类</w:t>
      </w:r>
      <w:r>
        <w:rPr>
          <w:rFonts w:ascii="Times New Roman" w:hAnsi="Times New Roman" w:eastAsia="宋体" w:cs="Times New Roman"/>
          <w:bCs/>
        </w:rPr>
        <w:t>中采矿资源能源利用指标（表13.1-3）</w:t>
      </w:r>
      <w:r>
        <w:rPr>
          <w:rFonts w:ascii="Times New Roman" w:hAnsi="Times New Roman" w:eastAsia="宋体" w:cs="Times New Roman"/>
        </w:rPr>
        <w:t>综合考虑，采矿部分的资源能源利用达到了二级标准的要求，属于国内清洁生产先进水平，电耗及贫化率指标满足二级标准的要求。</w:t>
      </w:r>
    </w:p>
    <w:p>
      <w:pPr>
        <w:pStyle w:val="5"/>
      </w:pPr>
      <w:r>
        <w:t>11.1.1.3</w:t>
      </w:r>
      <w:bookmarkEnd w:id="947"/>
      <w:bookmarkEnd w:id="948"/>
      <w:bookmarkEnd w:id="949"/>
      <w:bookmarkEnd w:id="950"/>
      <w:bookmarkEnd w:id="951"/>
      <w:bookmarkStart w:id="952" w:name="_Toc275190423"/>
      <w:r>
        <w:t>废物回收利用指标</w:t>
      </w:r>
    </w:p>
    <w:p>
      <w:pPr>
        <w:pStyle w:val="159"/>
        <w:adjustRightInd/>
        <w:snapToGrid/>
        <w:rPr>
          <w:rFonts w:ascii="Times New Roman" w:hAnsi="Times New Roman" w:eastAsia="宋体" w:cs="Times New Roman"/>
        </w:rPr>
      </w:pPr>
      <w:r>
        <w:rPr>
          <w:rFonts w:ascii="Times New Roman" w:hAnsi="Times New Roman" w:eastAsia="宋体" w:cs="Times New Roman"/>
        </w:rPr>
        <w:t>废物回收利用指标是清洁生产的重要组成部分。“废物”是在一定条件下造成环境污染的废物，在另一条件就可以转化为资源。生产企业应按照清洁生产的要求尽可能地把废物回收利用，转化为资源。</w:t>
      </w:r>
    </w:p>
    <w:p>
      <w:pPr>
        <w:pStyle w:val="159"/>
        <w:adjustRightInd/>
        <w:snapToGrid/>
        <w:rPr>
          <w:rFonts w:ascii="Times New Roman" w:hAnsi="Times New Roman" w:eastAsia="宋体" w:cs="Times New Roman"/>
        </w:rPr>
      </w:pPr>
      <w:r>
        <w:rPr>
          <w:rFonts w:ascii="Times New Roman" w:hAnsi="Times New Roman" w:eastAsia="宋体" w:cs="Times New Roman"/>
        </w:rPr>
        <w:t>本项目采矿过程中主要的废物是废石，废石可作为建筑材料、铺路材料及回填塌陷区，也可以用作工民建中混凝土的石子等。根据对本项目回填塌陷区的现状及调查和类比，确定本项目废石回收利用率为21%，满足清洁生产二级标准的要求。</w:t>
      </w:r>
    </w:p>
    <w:p>
      <w:pPr>
        <w:pStyle w:val="5"/>
      </w:pPr>
      <w:r>
        <w:t>11.1.1.4</w:t>
      </w:r>
      <w:bookmarkEnd w:id="952"/>
      <w:bookmarkStart w:id="953" w:name="_Toc407153581"/>
      <w:bookmarkStart w:id="954" w:name="_Toc406504298"/>
      <w:bookmarkStart w:id="955" w:name="_Toc407217447"/>
      <w:bookmarkStart w:id="956" w:name="_Toc420663766"/>
      <w:bookmarkStart w:id="957" w:name="_Toc275190424"/>
      <w:r>
        <w:t>环境管理要求</w:t>
      </w:r>
    </w:p>
    <w:p>
      <w:pPr>
        <w:pStyle w:val="159"/>
        <w:adjustRightInd/>
        <w:snapToGrid/>
        <w:rPr>
          <w:rFonts w:ascii="Times New Roman" w:hAnsi="Times New Roman" w:eastAsia="宋体" w:cs="Times New Roman"/>
        </w:rPr>
      </w:pPr>
      <w:r>
        <w:rPr>
          <w:rFonts w:ascii="Times New Roman" w:hAnsi="Times New Roman" w:eastAsia="宋体" w:cs="Times New Roman"/>
        </w:rPr>
        <w:t>灵宝金源晨光有色矿冶有限公司银家沟硫铁矿设置有安环科，负责对项目建设、生产过程中的环境保护进行管理。环境管理制度健全，原始记录及统计数据齐全；所有岗位进行过严格培训；有完善的岗位操作规程；运行无故障、设备完好率达98%主要设备有具体的管理制度，并严格执行；生产工艺用水、用电的主要环节进行计量，并制定定量考核制度；并制定了监测计划，对生产过程产生的粉尘进行定期监测；安环科制定有完整的复垦计划，土地复垦率达到50%以上；项目建设有废石堆存，整改后采用洒水抑尘等措施</w:t>
      </w:r>
    </w:p>
    <w:p>
      <w:pPr>
        <w:pStyle w:val="159"/>
        <w:adjustRightInd/>
        <w:snapToGrid/>
        <w:rPr>
          <w:rFonts w:ascii="Times New Roman" w:hAnsi="Times New Roman" w:eastAsia="宋体" w:cs="Times New Roman"/>
        </w:rPr>
      </w:pPr>
      <w:r>
        <w:rPr>
          <w:rFonts w:ascii="Times New Roman" w:hAnsi="Times New Roman" w:eastAsia="宋体" w:cs="Times New Roman"/>
        </w:rPr>
        <w:t>因此，本项目硫铁矿采矿环境管理满足清洁生产二级标准的要求。</w:t>
      </w:r>
    </w:p>
    <w:p>
      <w:pPr>
        <w:pStyle w:val="5"/>
      </w:pPr>
      <w:r>
        <w:t>11.1.1.5清洁生产水平调查分析</w:t>
      </w:r>
      <w:bookmarkEnd w:id="953"/>
      <w:bookmarkEnd w:id="954"/>
      <w:bookmarkEnd w:id="955"/>
      <w:bookmarkEnd w:id="956"/>
      <w:bookmarkEnd w:id="957"/>
    </w:p>
    <w:p>
      <w:pPr>
        <w:pStyle w:val="159"/>
        <w:adjustRightInd/>
        <w:snapToGrid/>
        <w:rPr>
          <w:rFonts w:ascii="Times New Roman" w:hAnsi="Times New Roman" w:eastAsia="宋体" w:cs="Times New Roman"/>
        </w:rPr>
      </w:pPr>
      <w:bookmarkStart w:id="958" w:name="_Toc407217448"/>
      <w:bookmarkStart w:id="959" w:name="_Toc275190425"/>
      <w:bookmarkStart w:id="960" w:name="_Toc370112163"/>
      <w:bookmarkStart w:id="961" w:name="_Toc406504299"/>
      <w:bookmarkStart w:id="962" w:name="_Toc407153582"/>
      <w:r>
        <w:rPr>
          <w:rFonts w:ascii="Times New Roman" w:hAnsi="Times New Roman" w:eastAsia="宋体" w:cs="Times New Roman"/>
        </w:rPr>
        <w:t>参照原国家环境保护总局发布的《清洁生产技术要求——铁矿采选业（发布稿）》中地下开采类相关指标，灵宝金源晨光有色矿冶有限公司银家沟硫铁矿多金属综合回收扩建项目采矿工程满足清洁生产二级标准要求。</w:t>
      </w:r>
    </w:p>
    <w:p>
      <w:pPr>
        <w:pStyle w:val="10"/>
        <w:rPr>
          <w:rFonts w:ascii="Times New Roman" w:hAnsi="Times New Roman"/>
        </w:rPr>
      </w:pPr>
      <w:r>
        <w:rPr>
          <w:rFonts w:ascii="Times New Roman" w:hAnsi="Times New Roman"/>
        </w:rPr>
        <w:t>11.1.2选厂清洁生产水平调查分析</w:t>
      </w:r>
    </w:p>
    <w:p>
      <w:pPr>
        <w:pStyle w:val="5"/>
      </w:pPr>
      <w:r>
        <w:t>11.1.2.1选矿生产过程的清洁生产分析</w:t>
      </w:r>
    </w:p>
    <w:p>
      <w:pPr>
        <w:spacing w:line="360" w:lineRule="auto"/>
        <w:ind w:firstLine="480" w:firstLineChars="200"/>
        <w:rPr>
          <w:sz w:val="24"/>
        </w:rPr>
      </w:pPr>
      <w:r>
        <w:rPr>
          <w:sz w:val="24"/>
        </w:rPr>
        <w:t>清洁生产工艺的要求就是在选矿厂生产的每一个环节上优化方案，在现有的技术条件下，使污染物产出量最小。结合该项目的自身特点，其生产过程中的清洁生产水平分析如下：</w:t>
      </w:r>
    </w:p>
    <w:p>
      <w:pPr>
        <w:spacing w:line="360" w:lineRule="auto"/>
        <w:ind w:firstLine="480" w:firstLineChars="200"/>
        <w:rPr>
          <w:sz w:val="24"/>
        </w:rPr>
      </w:pPr>
      <w:r>
        <w:rPr>
          <w:sz w:val="24"/>
        </w:rPr>
        <w:t>1、选矿采用全浮选工艺，是处理同类矿石的成熟工艺，作业条件及药剂制度较为合理。该工艺可使矿石中的有用矿物得到充分利用，产品产出质量好，有害元素含量低，合乎当前工业技术指标要求。</w:t>
      </w:r>
    </w:p>
    <w:p>
      <w:pPr>
        <w:spacing w:line="360" w:lineRule="auto"/>
        <w:ind w:firstLine="480" w:firstLineChars="200"/>
        <w:rPr>
          <w:sz w:val="24"/>
        </w:rPr>
      </w:pPr>
      <w:r>
        <w:rPr>
          <w:sz w:val="24"/>
        </w:rPr>
        <w:t>2、该公司加强生产管理，制定严格的生产工人岗位责任制，通过对从碎矿到选矿生产全过程的控制，使铜精矿的回收率达到80%，硫精矿的回收率达到87.5%，不仅合理地利用了矿产资源，而且做到了低污染、高产出。</w:t>
      </w:r>
    </w:p>
    <w:p>
      <w:pPr>
        <w:spacing w:line="360" w:lineRule="auto"/>
        <w:ind w:firstLine="480" w:firstLineChars="200"/>
        <w:rPr>
          <w:sz w:val="24"/>
        </w:rPr>
      </w:pPr>
      <w:r>
        <w:rPr>
          <w:sz w:val="24"/>
        </w:rPr>
        <w:t>4、选矿选矿废水经尾矿库沉淀池沉淀后经过絮凝处理后全部回用于选矿作业；办公生活区、选矿厂设置水冲厕所和化粪池，食堂污水进入隔油池处理后与其他生活污水经污水管网进入尾矿库后于尾矿库澄清水一并进入絮凝处理后回用于选矿作业不外排。</w:t>
      </w:r>
    </w:p>
    <w:p>
      <w:pPr>
        <w:spacing w:line="360" w:lineRule="auto"/>
        <w:ind w:firstLine="480" w:firstLineChars="200"/>
        <w:rPr>
          <w:sz w:val="24"/>
        </w:rPr>
      </w:pPr>
      <w:r>
        <w:rPr>
          <w:sz w:val="24"/>
        </w:rPr>
        <w:t>5、扩建工程设计在破碎工段易产生粉尘处设集气装置和布袋除尘器，经除尘处理后，粉尘可做到达标排放，布袋除尘器收集的矿粉送至选矿车间利用，既达到环保要求，又节约了资源。</w:t>
      </w:r>
    </w:p>
    <w:p>
      <w:pPr>
        <w:pStyle w:val="5"/>
      </w:pPr>
      <w:r>
        <w:t>11.1.2.2产品的清洁生产分析</w:t>
      </w:r>
    </w:p>
    <w:p>
      <w:pPr>
        <w:pStyle w:val="88"/>
        <w:spacing w:line="360" w:lineRule="auto"/>
      </w:pPr>
      <w:r>
        <w:t xml:space="preserve">   选矿厂采用全浮选工艺，原矿化学成分多样，伴生、共生多种有益有害组分，经破碎→磨矿→浮选工艺流程后，可变害为益，经生产工艺加工后使产品的清洁性有了进一步提高，符合行业有关清洁生产的要求。</w:t>
      </w:r>
      <w:bookmarkStart w:id="963" w:name="_Toc225843943"/>
      <w:bookmarkStart w:id="964" w:name="_Toc261369982"/>
    </w:p>
    <w:p>
      <w:pPr>
        <w:pStyle w:val="5"/>
      </w:pPr>
      <w:r>
        <w:t>11.1.2.3清洁生产指标分析</w:t>
      </w:r>
      <w:bookmarkEnd w:id="963"/>
      <w:bookmarkEnd w:id="964"/>
    </w:p>
    <w:p>
      <w:pPr>
        <w:spacing w:line="360" w:lineRule="auto"/>
        <w:ind w:firstLine="480" w:firstLineChars="200"/>
        <w:rPr>
          <w:sz w:val="24"/>
        </w:rPr>
      </w:pPr>
      <w:r>
        <w:rPr>
          <w:sz w:val="24"/>
        </w:rPr>
        <w:t>选矿工程清洁生产指标参考了《灵宝金源晨光有色矿冶有限公司硫铁矿分公司清洁生产审核报告》中提出的国内硫铁采选业清洁生产水平指标表。</w:t>
      </w:r>
    </w:p>
    <w:p>
      <w:pPr>
        <w:spacing w:line="360" w:lineRule="auto"/>
        <w:ind w:firstLine="480" w:firstLineChars="200"/>
        <w:rPr>
          <w:sz w:val="24"/>
        </w:rPr>
      </w:pPr>
      <w:r>
        <w:rPr>
          <w:sz w:val="24"/>
        </w:rPr>
        <w:t>1、工艺装备要求</w:t>
      </w:r>
    </w:p>
    <w:p>
      <w:pPr>
        <w:spacing w:line="360" w:lineRule="auto"/>
        <w:ind w:firstLine="480" w:firstLineChars="200"/>
        <w:rPr>
          <w:sz w:val="24"/>
        </w:rPr>
      </w:pPr>
      <w:r>
        <w:rPr>
          <w:sz w:val="24"/>
        </w:rPr>
        <w:t>工艺装备要求指标分析见表</w:t>
      </w:r>
      <w:r>
        <w:rPr>
          <w:bCs/>
          <w:sz w:val="24"/>
        </w:rPr>
        <w:t>13.1-4</w:t>
      </w:r>
      <w:r>
        <w:rPr>
          <w:sz w:val="24"/>
        </w:rPr>
        <w:t>。由表可见，</w:t>
      </w:r>
      <w:r>
        <w:rPr>
          <w:bCs/>
          <w:kern w:val="0"/>
          <w:sz w:val="24"/>
        </w:rPr>
        <w:t>该扩建项目</w:t>
      </w:r>
      <w:r>
        <w:rPr>
          <w:kern w:val="0"/>
          <w:sz w:val="24"/>
        </w:rPr>
        <w:t>选矿工艺、设备节能、选别、脱水过滤指标满足</w:t>
      </w:r>
      <w:r>
        <w:rPr>
          <w:sz w:val="24"/>
        </w:rPr>
        <w:t>清洁生产二级标准要求；</w:t>
      </w:r>
      <w:r>
        <w:rPr>
          <w:kern w:val="0"/>
          <w:sz w:val="24"/>
        </w:rPr>
        <w:t>事故性渗漏防范措施及选矿设备设施的完整</w:t>
      </w:r>
      <w:r>
        <w:rPr>
          <w:sz w:val="24"/>
        </w:rPr>
        <w:t>性满足清洁生产要求；破碎筛分采用国内先进的颚式、圆锥锤式破碎机等等破碎设备，配有除尘净化设施；磨矿采用国内先进的球磨级等磨矿设备；采用国内先进的分级机、圆振筛分级设备；未达到清洁生产二级标准要求，仅能满足清洁生产三级标准要求。</w:t>
      </w:r>
    </w:p>
    <w:p>
      <w:pPr>
        <w:spacing w:line="360" w:lineRule="auto"/>
        <w:ind w:firstLine="480" w:firstLineChars="200"/>
        <w:rPr>
          <w:sz w:val="24"/>
        </w:rPr>
      </w:pPr>
      <w:r>
        <w:rPr>
          <w:sz w:val="24"/>
        </w:rPr>
        <w:t>因此，选矿工程工艺装备要求指标满足清洁生产三级标准要求。</w:t>
      </w:r>
    </w:p>
    <w:p>
      <w:pPr>
        <w:spacing w:line="360" w:lineRule="auto"/>
        <w:ind w:firstLine="480" w:firstLineChars="200"/>
        <w:rPr>
          <w:sz w:val="24"/>
        </w:rPr>
      </w:pPr>
      <w:r>
        <w:rPr>
          <w:sz w:val="24"/>
        </w:rPr>
        <w:t>2、资源能源利用指标</w:t>
      </w:r>
    </w:p>
    <w:p>
      <w:pPr>
        <w:spacing w:line="360" w:lineRule="auto"/>
        <w:ind w:firstLine="480" w:firstLineChars="200"/>
        <w:rPr>
          <w:sz w:val="24"/>
        </w:rPr>
      </w:pPr>
      <w:r>
        <w:rPr>
          <w:sz w:val="24"/>
        </w:rPr>
        <w:t>选矿工程</w:t>
      </w:r>
      <w:r>
        <w:rPr>
          <w:kern w:val="0"/>
          <w:sz w:val="24"/>
        </w:rPr>
        <w:t>金属回收率指标达到了80%，其中</w:t>
      </w:r>
      <w:r>
        <w:rPr>
          <w:sz w:val="24"/>
        </w:rPr>
        <w:t>铜精矿的回收率达到80%，硫精矿的回收率达到87.5%，</w:t>
      </w:r>
      <w:r>
        <w:rPr>
          <w:kern w:val="0"/>
          <w:sz w:val="24"/>
        </w:rPr>
        <w:t>电耗</w:t>
      </w:r>
      <w:r>
        <w:rPr>
          <w:sz w:val="24"/>
        </w:rPr>
        <w:t>24.97</w:t>
      </w:r>
      <w:r>
        <w:rPr>
          <w:kern w:val="0"/>
          <w:sz w:val="24"/>
        </w:rPr>
        <w:t>kwh/t，新鲜水用量3.3m</w:t>
      </w:r>
      <w:r>
        <w:rPr>
          <w:kern w:val="0"/>
          <w:sz w:val="24"/>
          <w:vertAlign w:val="superscript"/>
        </w:rPr>
        <w:t>3</w:t>
      </w:r>
      <w:r>
        <w:rPr>
          <w:kern w:val="0"/>
          <w:sz w:val="24"/>
        </w:rPr>
        <w:t>/t，均满足</w:t>
      </w:r>
      <w:r>
        <w:rPr>
          <w:sz w:val="24"/>
        </w:rPr>
        <w:t>清洁生产二级标准要求。</w:t>
      </w:r>
    </w:p>
    <w:p>
      <w:pPr>
        <w:spacing w:line="360" w:lineRule="auto"/>
        <w:ind w:firstLine="480" w:firstLineChars="200"/>
        <w:rPr>
          <w:sz w:val="24"/>
        </w:rPr>
      </w:pPr>
      <w:r>
        <w:rPr>
          <w:sz w:val="24"/>
        </w:rPr>
        <w:t>因此，选矿工程资源能源利用指标满足清洁生产二级标准要求。</w:t>
      </w:r>
    </w:p>
    <w:p>
      <w:pPr>
        <w:spacing w:line="360" w:lineRule="auto"/>
        <w:ind w:firstLine="480" w:firstLineChars="200"/>
        <w:rPr>
          <w:sz w:val="24"/>
        </w:rPr>
      </w:pPr>
      <w:r>
        <w:rPr>
          <w:sz w:val="24"/>
        </w:rPr>
        <w:t>3、污染物产生指标</w:t>
      </w:r>
    </w:p>
    <w:p>
      <w:pPr>
        <w:spacing w:line="360" w:lineRule="auto"/>
        <w:ind w:firstLine="480" w:firstLineChars="200"/>
        <w:rPr>
          <w:sz w:val="24"/>
        </w:rPr>
      </w:pPr>
      <w:r>
        <w:rPr>
          <w:sz w:val="24"/>
        </w:rPr>
        <w:t>选矿工程污染物产生指标中SS为0.25kg/t，满足清洁生产三级标准要求；COD为0.087kg/t，满足清洁生产二级标准要求。</w:t>
      </w:r>
    </w:p>
    <w:p>
      <w:pPr>
        <w:spacing w:line="360" w:lineRule="auto"/>
        <w:ind w:firstLine="480" w:firstLineChars="200"/>
        <w:rPr>
          <w:sz w:val="24"/>
        </w:rPr>
      </w:pPr>
      <w:r>
        <w:rPr>
          <w:sz w:val="24"/>
        </w:rPr>
        <w:t>因此，选矿工程污染物产生指标满足清洁生产三级标准要求。</w:t>
      </w:r>
    </w:p>
    <w:p>
      <w:pPr>
        <w:spacing w:line="360" w:lineRule="auto"/>
        <w:ind w:firstLine="480" w:firstLineChars="200"/>
        <w:rPr>
          <w:sz w:val="24"/>
        </w:rPr>
      </w:pPr>
      <w:r>
        <w:rPr>
          <w:sz w:val="24"/>
        </w:rPr>
        <w:t>4、废物回收利用指标</w:t>
      </w:r>
    </w:p>
    <w:p>
      <w:pPr>
        <w:spacing w:line="360" w:lineRule="auto"/>
        <w:ind w:firstLine="480" w:firstLineChars="200"/>
        <w:rPr>
          <w:sz w:val="24"/>
        </w:rPr>
      </w:pPr>
      <w:r>
        <w:rPr>
          <w:sz w:val="24"/>
        </w:rPr>
        <w:t>选矿工程废物回收利用指标的</w:t>
      </w:r>
      <w:r>
        <w:rPr>
          <w:kern w:val="0"/>
          <w:sz w:val="24"/>
        </w:rPr>
        <w:t>工业水重复利用率为100%，</w:t>
      </w:r>
      <w:r>
        <w:rPr>
          <w:sz w:val="24"/>
        </w:rPr>
        <w:t>满足清洁生产一级标准要求。因此，选矿工程废物回收利用指标满足清洁生产一级标准要求。</w:t>
      </w:r>
    </w:p>
    <w:p>
      <w:pPr>
        <w:spacing w:line="360" w:lineRule="auto"/>
        <w:ind w:firstLine="480" w:firstLineChars="200"/>
        <w:rPr>
          <w:sz w:val="24"/>
        </w:rPr>
      </w:pPr>
      <w:r>
        <w:rPr>
          <w:sz w:val="24"/>
        </w:rPr>
        <w:t>5、环境管理要求</w:t>
      </w:r>
    </w:p>
    <w:p>
      <w:pPr>
        <w:pStyle w:val="159"/>
        <w:adjustRightInd/>
        <w:snapToGrid/>
        <w:rPr>
          <w:rFonts w:ascii="Times New Roman" w:hAnsi="Times New Roman" w:eastAsia="宋体" w:cs="Times New Roman"/>
        </w:rPr>
      </w:pPr>
      <w:r>
        <w:rPr>
          <w:rFonts w:ascii="Times New Roman" w:hAnsi="Times New Roman" w:eastAsia="宋体" w:cs="Times New Roman"/>
        </w:rPr>
        <w:t>灵宝金源晨光有色矿冶有限公司银家沟硫铁矿设置有安环科，负责对项目建设、生产过程中的环境保护进行管理。环境管理制度健全，原始记录及统计数据齐全；所有岗位进行过严格培训；有完善的岗位操作规程；运行无故障、设备完好率达98%主要设备有具体的管理制度，并严格执行；生产工艺用水、用电的主要环节进行计量，并制定定量考核制度；并制定了监测计划，对生产过程产生的粉尘进行定期监测；安环科制定有完整的复垦计划，土地复垦率达到80%以上；项目建设有尾矿库，并有防止扬尘、淋滤水污染、水土流失的措施废石堆存，整改后采用洒水抑尘等措施。</w:t>
      </w:r>
    </w:p>
    <w:p>
      <w:pPr>
        <w:pStyle w:val="159"/>
        <w:adjustRightInd/>
        <w:snapToGrid/>
        <w:rPr>
          <w:rFonts w:ascii="Times New Roman" w:hAnsi="Times New Roman" w:eastAsia="宋体" w:cs="Times New Roman"/>
        </w:rPr>
      </w:pPr>
      <w:r>
        <w:rPr>
          <w:rFonts w:ascii="Times New Roman" w:hAnsi="Times New Roman" w:eastAsia="宋体" w:cs="Times New Roman"/>
        </w:rPr>
        <w:t>因此，选矿工程环境管理满足清洁生产二级标准的要求。</w:t>
      </w:r>
    </w:p>
    <w:p>
      <w:pPr>
        <w:pStyle w:val="10"/>
        <w:rPr>
          <w:rFonts w:ascii="Times New Roman" w:hAnsi="Times New Roman"/>
        </w:rPr>
      </w:pPr>
      <w:r>
        <w:rPr>
          <w:rFonts w:ascii="Times New Roman" w:hAnsi="Times New Roman"/>
        </w:rPr>
        <w:t>11.1.3调查结论</w:t>
      </w:r>
    </w:p>
    <w:p>
      <w:pPr>
        <w:spacing w:line="360" w:lineRule="auto"/>
        <w:ind w:firstLine="480" w:firstLineChars="200"/>
        <w:rPr>
          <w:sz w:val="24"/>
        </w:rPr>
      </w:pPr>
      <w:r>
        <w:rPr>
          <w:sz w:val="24"/>
        </w:rPr>
        <w:t>综上分析，选矿工程清洁生产指标中的工艺装备要求指标、污染物产生指标满足清洁生产三级标准的要求，资源能源利用指标、环境管理要求指标满足清洁生产二级标准的要求，废物回收利用指标满足清洁生产一级标准的要求。整体选矿工程满足清洁生产三级标准的要求。</w:t>
      </w:r>
    </w:p>
    <w:p>
      <w:pPr>
        <w:spacing w:line="360" w:lineRule="auto"/>
        <w:ind w:firstLine="480" w:firstLineChars="200"/>
        <w:rPr>
          <w:sz w:val="24"/>
        </w:rPr>
      </w:pPr>
      <w:r>
        <w:rPr>
          <w:sz w:val="24"/>
        </w:rPr>
        <w:t>因此环评建议企业在破碎筛分中采用国内先进的处理量较大、效率较高的超细破碎机等破碎设备，配有除尘净化设施；在磨矿中采用国内先进的处理量较大、能耗较低、效率较高的筒式磨矿机、高压辊磨机等磨矿设备；在分级中采用国内先进的分级效率较高的电磁振动筛、高频细筛等分级设备，从而使工艺装备的清洁生产水平提高到二级，同时更为先进的工艺设备可减少污染物的产生，可以使整个项目的清洁生产水平提高到二级，</w:t>
      </w:r>
    </w:p>
    <w:p>
      <w:pPr>
        <w:pStyle w:val="3"/>
        <w:spacing w:before="0" w:after="0"/>
        <w:rPr>
          <w:rFonts w:ascii="Times New Roman" w:hAnsi="Times New Roman"/>
          <w:sz w:val="24"/>
          <w:szCs w:val="24"/>
        </w:rPr>
      </w:pPr>
      <w:bookmarkStart w:id="965" w:name="_Toc470358734"/>
      <w:bookmarkStart w:id="966" w:name="_Toc488578954"/>
      <w:bookmarkStart w:id="967" w:name="_Toc420663767"/>
      <w:r>
        <w:rPr>
          <w:rFonts w:ascii="Times New Roman" w:hAnsi="Times New Roman"/>
          <w:sz w:val="24"/>
          <w:szCs w:val="24"/>
        </w:rPr>
        <w:t>11.2污染物总量控制</w:t>
      </w:r>
      <w:bookmarkEnd w:id="965"/>
      <w:bookmarkEnd w:id="966"/>
      <w:bookmarkEnd w:id="967"/>
    </w:p>
    <w:p>
      <w:pPr>
        <w:pStyle w:val="114"/>
        <w:spacing w:line="360" w:lineRule="auto"/>
        <w:rPr>
          <w:rFonts w:ascii="Times New Roman" w:hAnsi="Times New Roman"/>
        </w:rPr>
      </w:pPr>
      <w:r>
        <w:rPr>
          <w:rFonts w:ascii="Times New Roman" w:hAnsi="Times New Roman"/>
        </w:rPr>
        <w:t>总量控制是将某一区域作为一个完整体系，以实现环境质量目标为目的，确定区域内各类污染源允许排放量和区域内的允许排放量，保证在实现环境质量目标的前提下，促进区域经济的发展。它是实现区域环境保护的重要手段，它将促进节约资源、优化产业结构、有效治理污染。</w:t>
      </w:r>
    </w:p>
    <w:p>
      <w:pPr>
        <w:spacing w:line="360" w:lineRule="auto"/>
        <w:ind w:firstLine="480" w:firstLineChars="200"/>
        <w:rPr>
          <w:sz w:val="24"/>
        </w:rPr>
      </w:pPr>
      <w:r>
        <w:rPr>
          <w:sz w:val="24"/>
        </w:rPr>
        <w:t>经本次验收调查本项目：</w:t>
      </w:r>
    </w:p>
    <w:p>
      <w:pPr>
        <w:spacing w:line="360" w:lineRule="auto"/>
        <w:ind w:firstLine="480" w:firstLineChars="200"/>
        <w:rPr>
          <w:sz w:val="24"/>
        </w:rPr>
      </w:pPr>
      <w:r>
        <w:rPr>
          <w:sz w:val="24"/>
        </w:rPr>
        <w:t>水污染物：建设单位于</w:t>
      </w:r>
      <w:r>
        <w:rPr>
          <w:rFonts w:hint="eastAsia"/>
          <w:sz w:val="24"/>
        </w:rPr>
        <w:t>2016年8月29日已取得排污许可证，许可总量为COD6t/a。</w:t>
      </w:r>
      <w:r>
        <w:rPr>
          <w:sz w:val="24"/>
        </w:rPr>
        <w:t>本项目所产生废水主要为矿井涌水、选矿废水和生活污水，井下裂隙水经沉淀后部分用于采矿生产，剩余部分用于场地降尘、选矿生产和生活、施工生活和区域内村民饮用水，余量外排至麻家河，根据检测报告矿井涌水出口化学需氧量未检出，氨氮最高值为2.5mg/L，矿井涌水排量为1920000m</w:t>
      </w:r>
      <w:r>
        <w:rPr>
          <w:sz w:val="24"/>
          <w:vertAlign w:val="superscript"/>
        </w:rPr>
        <w:t>3</w:t>
      </w:r>
      <w:r>
        <w:rPr>
          <w:sz w:val="24"/>
        </w:rPr>
        <w:t>/a，氨氮排放量为4.8t/a。建议废水总量控制指标为：COD0 t/a、氨氮4.8t/a。</w:t>
      </w:r>
    </w:p>
    <w:p>
      <w:pPr>
        <w:spacing w:line="360" w:lineRule="auto"/>
        <w:ind w:firstLine="480" w:firstLineChars="200"/>
        <w:rPr>
          <w:sz w:val="24"/>
        </w:rPr>
      </w:pPr>
      <w:r>
        <w:rPr>
          <w:sz w:val="24"/>
        </w:rPr>
        <w:t>大气污染物：本项目无烟尘、二氧化硫、氮氧化物排放，故本项目不设大气总量控制指标。</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bookmarkEnd w:id="928"/>
    <w:bookmarkEnd w:id="929"/>
    <w:bookmarkEnd w:id="930"/>
    <w:bookmarkEnd w:id="931"/>
    <w:bookmarkEnd w:id="932"/>
    <w:bookmarkEnd w:id="933"/>
    <w:bookmarkEnd w:id="958"/>
    <w:bookmarkEnd w:id="959"/>
    <w:bookmarkEnd w:id="960"/>
    <w:bookmarkEnd w:id="961"/>
    <w:bookmarkEnd w:id="962"/>
    <w:p>
      <w:pPr>
        <w:spacing w:line="520" w:lineRule="exact"/>
        <w:ind w:firstLine="480"/>
        <w:rPr>
          <w:sz w:val="24"/>
        </w:rPr>
      </w:pPr>
    </w:p>
    <w:bookmarkEnd w:id="934"/>
    <w:p>
      <w:pPr>
        <w:pStyle w:val="79"/>
        <w:spacing w:after="240"/>
      </w:pPr>
      <w:r>
        <w:rPr>
          <w:lang w:val="de-DE"/>
        </w:rPr>
        <w:br w:type="page"/>
      </w:r>
      <w:bookmarkStart w:id="968" w:name="_Toc470358735"/>
      <w:bookmarkStart w:id="969" w:name="_Toc370112164"/>
      <w:bookmarkStart w:id="970" w:name="_Toc407153586"/>
      <w:bookmarkStart w:id="971" w:name="_Toc407217452"/>
      <w:bookmarkStart w:id="972" w:name="_Toc420663768"/>
      <w:bookmarkStart w:id="973" w:name="_Toc406504303"/>
      <w:bookmarkStart w:id="974" w:name="_Toc488578955"/>
      <w:r>
        <w:t>第十二章  调查结论与建议</w:t>
      </w:r>
      <w:bookmarkEnd w:id="915"/>
      <w:bookmarkEnd w:id="916"/>
      <w:bookmarkEnd w:id="968"/>
      <w:bookmarkEnd w:id="969"/>
      <w:bookmarkEnd w:id="970"/>
      <w:bookmarkEnd w:id="971"/>
      <w:bookmarkEnd w:id="972"/>
      <w:bookmarkEnd w:id="973"/>
      <w:bookmarkEnd w:id="974"/>
      <w:bookmarkStart w:id="975" w:name="_Toc173147979"/>
      <w:bookmarkStart w:id="976" w:name="_Toc173284129"/>
    </w:p>
    <w:p>
      <w:pPr>
        <w:pStyle w:val="3"/>
        <w:rPr>
          <w:rFonts w:ascii="Times New Roman" w:hAnsi="Times New Roman"/>
        </w:rPr>
      </w:pPr>
      <w:bookmarkStart w:id="977" w:name="_Toc370112165"/>
      <w:bookmarkStart w:id="978" w:name="_Toc407153587"/>
      <w:bookmarkStart w:id="979" w:name="_Toc406504304"/>
      <w:bookmarkStart w:id="980" w:name="_Toc407217453"/>
      <w:bookmarkStart w:id="981" w:name="_Toc420663769"/>
      <w:bookmarkStart w:id="982" w:name="_Toc470358736"/>
      <w:bookmarkStart w:id="983" w:name="_Toc488578956"/>
      <w:r>
        <w:rPr>
          <w:rFonts w:ascii="Times New Roman" w:hAnsi="Times New Roman"/>
        </w:rPr>
        <w:t>12.1 结论</w:t>
      </w:r>
      <w:bookmarkEnd w:id="975"/>
      <w:bookmarkEnd w:id="976"/>
      <w:bookmarkEnd w:id="977"/>
      <w:bookmarkEnd w:id="978"/>
      <w:bookmarkEnd w:id="979"/>
      <w:bookmarkEnd w:id="980"/>
      <w:bookmarkEnd w:id="981"/>
      <w:bookmarkEnd w:id="982"/>
      <w:bookmarkEnd w:id="983"/>
    </w:p>
    <w:p>
      <w:pPr>
        <w:pStyle w:val="10"/>
        <w:spacing w:line="360" w:lineRule="auto"/>
        <w:rPr>
          <w:rFonts w:ascii="Times New Roman" w:hAnsi="Times New Roman"/>
        </w:rPr>
      </w:pPr>
      <w:bookmarkStart w:id="984" w:name="_Toc407217454"/>
      <w:bookmarkStart w:id="985" w:name="_Toc420663770"/>
      <w:bookmarkStart w:id="986" w:name="_Toc406504305"/>
      <w:bookmarkStart w:id="987" w:name="_Toc407153588"/>
      <w:r>
        <w:rPr>
          <w:rFonts w:ascii="Times New Roman" w:hAnsi="Times New Roman"/>
        </w:rPr>
        <w:t>12.1.1 工程建设概况</w:t>
      </w:r>
      <w:bookmarkEnd w:id="984"/>
      <w:bookmarkEnd w:id="985"/>
      <w:bookmarkEnd w:id="986"/>
      <w:bookmarkEnd w:id="987"/>
    </w:p>
    <w:p>
      <w:pPr>
        <w:spacing w:line="360" w:lineRule="auto"/>
        <w:ind w:firstLine="480" w:firstLineChars="200"/>
        <w:rPr>
          <w:sz w:val="24"/>
        </w:rPr>
      </w:pPr>
      <w:bookmarkStart w:id="988" w:name="_Toc407153589"/>
      <w:bookmarkStart w:id="989" w:name="_Toc406504306"/>
      <w:bookmarkStart w:id="990" w:name="_Toc407217455"/>
      <w:r>
        <w:rPr>
          <w:sz w:val="24"/>
        </w:rPr>
        <w:t>灵宝金源晨光有色矿冶有限公司（以下简称“金源晨光”）银家沟硫铁矿位于</w:t>
      </w:r>
      <w:r>
        <w:rPr>
          <w:kern w:val="20"/>
          <w:sz w:val="24"/>
        </w:rPr>
        <w:t>灵宝市朱阳镇，</w:t>
      </w:r>
      <w:r>
        <w:rPr>
          <w:sz w:val="24"/>
        </w:rPr>
        <w:t>隶属于河南省百户重点工业企业灵宝市金源矿业有限责任公司。</w:t>
      </w:r>
    </w:p>
    <w:p>
      <w:pPr>
        <w:spacing w:line="360" w:lineRule="auto"/>
        <w:ind w:firstLine="480" w:firstLineChars="200"/>
        <w:rPr>
          <w:kern w:val="20"/>
          <w:sz w:val="24"/>
        </w:rPr>
      </w:pPr>
      <w:r>
        <w:rPr>
          <w:kern w:val="20"/>
          <w:sz w:val="24"/>
        </w:rPr>
        <w:t>1996年8月，灵宝市银家沟硫铁矿委托河南省环境保护研究所针对50万t/a采选扩建工程编制了《河南省灵宝银家沟硫铁矿采选扩建工程环境影响报告书》，原河南环境保护局以豫环监（1997）47号文件对该项目进行了批复。由于种种原因，银家沟硫铁矿未形成50万t/a采选能力，也未进行建设项目竣工环境保护验收。2005年实际建成20万吨/年的采选矿生产线，并建设有设计库容261.3万m</w:t>
      </w:r>
      <w:r>
        <w:rPr>
          <w:kern w:val="20"/>
          <w:sz w:val="24"/>
          <w:vertAlign w:val="superscript"/>
        </w:rPr>
        <w:t>3</w:t>
      </w:r>
      <w:r>
        <w:rPr>
          <w:kern w:val="20"/>
          <w:sz w:val="24"/>
        </w:rPr>
        <w:t>，总坝高60m的尾矿库，并运行至今。</w:t>
      </w:r>
    </w:p>
    <w:p>
      <w:pPr>
        <w:spacing w:line="360" w:lineRule="auto"/>
        <w:rPr>
          <w:sz w:val="24"/>
        </w:rPr>
      </w:pPr>
      <w:r>
        <w:rPr>
          <w:kern w:val="20"/>
          <w:sz w:val="24"/>
        </w:rPr>
        <w:t xml:space="preserve">    灵宝金源晨光有色矿冶有限公司根据河南省环保厅向金源矿业有限责任公司（含灵宝金源晨光有色矿</w:t>
      </w:r>
      <w:r>
        <w:rPr>
          <w:sz w:val="24"/>
        </w:rPr>
        <w:t>冶有限公司银家沟硫铁矿）下达的《环境污染限期治理通知书》（豫环限[2012]）32号）的要求，委托河南佳昱环境科技公司编制了《灵宝金源晨光有色矿冶有限公司硫铁矿分公司（20万吨/年采选）环境综合整治技术方案》并通过了河南省环保厅2012年6月27日组织的技术审查，2013年3月26日河南省环境保护厅豫环审【2013】124号文《关于灵宝金源晨光有色矿业有限公司矿业分公司硫磷分公司硫铁矿分公司环境综合治理项目的验收意见》通过了该项目环境综合整治验收。</w:t>
      </w:r>
    </w:p>
    <w:p>
      <w:pPr>
        <w:spacing w:line="360" w:lineRule="auto"/>
        <w:rPr>
          <w:sz w:val="24"/>
        </w:rPr>
      </w:pPr>
      <w:r>
        <w:rPr>
          <w:sz w:val="24"/>
        </w:rPr>
        <w:t xml:space="preserve">    金源晨光在现有“年采矿生产能力为20万吨/年，650t/d选矿生产线（配套总库容261.3万m</w:t>
      </w:r>
      <w:r>
        <w:rPr>
          <w:sz w:val="24"/>
          <w:vertAlign w:val="superscript"/>
        </w:rPr>
        <w:t>3</w:t>
      </w:r>
      <w:r>
        <w:rPr>
          <w:sz w:val="24"/>
        </w:rPr>
        <w:t>，总坝高60m的尾矿库）”工程基础上，决定投资46446万元建设“灵宝金源晨光有色矿冶有限公司银家沟硫铁矿综合回收扩建工程项目”，</w:t>
      </w:r>
      <w:r>
        <w:rPr>
          <w:kern w:val="20"/>
          <w:sz w:val="24"/>
        </w:rPr>
        <w:t>扩建后采矿新增30万吨/年的竖井工程，选矿新增1000t/d选矿生产线，扩建后全厂采矿及选矿生产能力均可达到</w:t>
      </w:r>
      <w:r>
        <w:rPr>
          <w:sz w:val="24"/>
        </w:rPr>
        <w:t>50万吨/年</w:t>
      </w:r>
      <w:r>
        <w:rPr>
          <w:kern w:val="20"/>
          <w:sz w:val="24"/>
        </w:rPr>
        <w:t>；</w:t>
      </w:r>
      <w:r>
        <w:rPr>
          <w:sz w:val="24"/>
        </w:rPr>
        <w:t>2012年6月金源晨光委托山东省煤田地质规划勘察研究院完成了《灵宝金源晨光有色矿冶有限公司银家沟硫铁矿综合回收扩建工程项目环境影响报告书》，河南省环境保护厅并于2013年5月31日以[2013]250号对《灵宝金源晨光有色矿冶有限公司银家沟硫铁矿综合回收扩建工程项目环境影响报告书》进行了批复（见附件2）。在南竖井建设过程中，由于储</w:t>
      </w:r>
      <w:r>
        <w:rPr>
          <w:rFonts w:hint="eastAsia"/>
          <w:sz w:val="24"/>
        </w:rPr>
        <w:br w:type="textWrapping"/>
      </w:r>
      <w:r>
        <w:rPr>
          <w:sz w:val="24"/>
        </w:rPr>
        <w:t>量发生负变，矿量不能满足 30 万吨/年规模建设，最终利用原 20 万吨/年硐采工程东斜井（原设计南竖井北侧 100m）进行改造，更换了原斜井提升设备和运输轨道，新建了 15 万吨/年斜井工业场地。选厂在原批复选址实际建成规模为 500t/d（15 万吨/年），全厂实际建成采选能力为 35 万吨/年。项目建设期间，宁夏智诚安环科技发展股份有限公司受灵宝金源晨光有色矿冶有限公司委托承担了银家沟硫铁矿综合回收扩建工程项目环境监理工作。目前该项目已经建设完成，处于试生产状态，生产状态良好。</w:t>
      </w:r>
    </w:p>
    <w:p>
      <w:pPr>
        <w:spacing w:line="360" w:lineRule="auto"/>
        <w:ind w:firstLine="567"/>
        <w:rPr>
          <w:sz w:val="24"/>
        </w:rPr>
      </w:pPr>
      <w:r>
        <w:rPr>
          <w:sz w:val="24"/>
        </w:rPr>
        <w:t>项目总投资：本工程计划投资46446万元，其中环保投资693万元，环保投资占计划总投资的1.49%；实际投资23000万元，其中环保投资169.3万元，占工程实际总投资的0.74%。</w:t>
      </w:r>
    </w:p>
    <w:p>
      <w:pPr>
        <w:pStyle w:val="10"/>
        <w:spacing w:line="360" w:lineRule="auto"/>
        <w:rPr>
          <w:rFonts w:ascii="Times New Roman" w:hAnsi="Times New Roman"/>
        </w:rPr>
      </w:pPr>
      <w:bookmarkStart w:id="991" w:name="_Toc420663771"/>
      <w:r>
        <w:rPr>
          <w:rFonts w:ascii="Times New Roman" w:hAnsi="Times New Roman"/>
        </w:rPr>
        <w:t>12.1.2 环保措施落实情况</w:t>
      </w:r>
      <w:bookmarkEnd w:id="988"/>
      <w:bookmarkEnd w:id="989"/>
      <w:bookmarkEnd w:id="990"/>
      <w:bookmarkEnd w:id="991"/>
    </w:p>
    <w:p>
      <w:pPr>
        <w:spacing w:line="360" w:lineRule="auto"/>
        <w:ind w:firstLine="480" w:firstLineChars="200"/>
        <w:rPr>
          <w:sz w:val="24"/>
        </w:rPr>
      </w:pPr>
      <w:r>
        <w:rPr>
          <w:rFonts w:eastAsia="汉鼎简书宋"/>
          <w:sz w:val="24"/>
        </w:rPr>
        <w:t>现场调查结果表明，本项目落实了环境影响报告书和省环境保护厅批复文件的要求，建设项目防治污染的措施与主体工程同时设计、同时施工、同时投产使用，环保机构基本健全，规章制度完备，有效地减少了的项目建设过程中及投产后对环境的影响程度。</w:t>
      </w:r>
    </w:p>
    <w:p>
      <w:pPr>
        <w:pStyle w:val="10"/>
        <w:spacing w:line="360" w:lineRule="auto"/>
        <w:rPr>
          <w:rFonts w:ascii="Times New Roman" w:hAnsi="Times New Roman"/>
        </w:rPr>
      </w:pPr>
      <w:bookmarkStart w:id="992" w:name="_Toc407153590"/>
      <w:bookmarkStart w:id="993" w:name="_Toc407217456"/>
      <w:bookmarkStart w:id="994" w:name="_Toc406504307"/>
      <w:bookmarkStart w:id="995" w:name="_Toc420663772"/>
      <w:r>
        <w:rPr>
          <w:rFonts w:ascii="Times New Roman" w:hAnsi="Times New Roman"/>
        </w:rPr>
        <w:t>12.1.3 环境影响调查</w:t>
      </w:r>
      <w:bookmarkEnd w:id="992"/>
      <w:bookmarkEnd w:id="993"/>
      <w:bookmarkEnd w:id="994"/>
      <w:bookmarkEnd w:id="995"/>
      <w:r>
        <w:rPr>
          <w:rFonts w:ascii="Times New Roman" w:hAnsi="Times New Roman"/>
        </w:rPr>
        <w:tab/>
      </w:r>
    </w:p>
    <w:p>
      <w:pPr>
        <w:pStyle w:val="5"/>
      </w:pPr>
      <w:r>
        <w:t>12.1.3.1 水环境</w:t>
      </w:r>
    </w:p>
    <w:p>
      <w:pPr>
        <w:tabs>
          <w:tab w:val="left" w:pos="2450"/>
        </w:tabs>
        <w:spacing w:line="360" w:lineRule="auto"/>
        <w:ind w:firstLine="480" w:firstLineChars="200"/>
        <w:rPr>
          <w:sz w:val="24"/>
        </w:rPr>
      </w:pPr>
      <w:r>
        <w:rPr>
          <w:sz w:val="24"/>
        </w:rPr>
        <w:t>根据本次验收调查结果，本项目食堂废水通过隔油池处理后与生活盥洗水一同化粪池收集排入尾矿库澄清后经废水处理站处理后返回选厂生产使用，生活污水不外排。矿井涌水综合利用后余量通过涵洞排放至麻家河；尾矿库澄清水通过坝下废水站处理后，返回选厂生产，不外排。</w:t>
      </w:r>
    </w:p>
    <w:p>
      <w:pPr>
        <w:spacing w:line="360" w:lineRule="auto"/>
        <w:ind w:firstLine="480" w:firstLineChars="200"/>
        <w:rPr>
          <w:sz w:val="24"/>
        </w:rPr>
      </w:pPr>
      <w:r>
        <w:rPr>
          <w:sz w:val="24"/>
        </w:rPr>
        <w:t>根据2016年8月25~27日灵宝市环境监测站对矿井涌水实测结果，矿井涌水各项监测因子均满足《污水综合排放标准》（GB8978-1996）表1及表4一级标准要求，矿井涌水用于厂区降尘、绿化、选矿生产及生活用水，余量通过排至麻家河。通过对矿井涌水涵洞进水水质监测，矿井涌水进口水质均可满足《地表水环境质量标准》（GB3838-2002）Ⅲ类标准。矿井涌水涵洞出口除氨氮指标外，矿井涌水出口处其他指标均能满足《地表水环境质量标准》（GB3838-2002）Ⅲ类标准，可见氨氮超标主要为涵洞2.0km输送途中汇入地表下渗裂隙水，导致暗淡超标。因此矿井涌水排放不会对地表水造成污染影响。</w:t>
      </w:r>
    </w:p>
    <w:p>
      <w:pPr>
        <w:spacing w:line="360" w:lineRule="auto"/>
        <w:ind w:firstLine="480" w:firstLineChars="200"/>
        <w:rPr>
          <w:sz w:val="24"/>
        </w:rPr>
      </w:pPr>
      <w:r>
        <w:rPr>
          <w:sz w:val="24"/>
        </w:rPr>
        <w:t>根据灵宝市环境监测站2016年8月25日～8月27日对尾矿库下游沟口河、黑山河、清水河、干沟河和麻家河7个监测断面监测结果，除氨氮各项监测指标均能满足《地表水环境质量标准》（GB3838-2002）Ⅲ类标准，氨氮非本项目特征污染因子，超标主要为接纳农田退水所致。项目建设未对区域地表水造成超标影响。</w:t>
      </w:r>
    </w:p>
    <w:p>
      <w:pPr>
        <w:pStyle w:val="68"/>
        <w:spacing w:line="360" w:lineRule="auto"/>
        <w:ind w:firstLine="480"/>
        <w:jc w:val="both"/>
        <w:rPr>
          <w:sz w:val="24"/>
        </w:rPr>
      </w:pPr>
      <w:r>
        <w:rPr>
          <w:sz w:val="24"/>
        </w:rPr>
        <w:t>由此可知，本项目采取的各项废水防治措施可行，选矿废水和生活污水均不外排，节约水资源的同时避免了对地表水环境造成不良影响。</w:t>
      </w:r>
    </w:p>
    <w:p>
      <w:pPr>
        <w:pStyle w:val="5"/>
      </w:pPr>
      <w:r>
        <w:t>12.1.3.2 大气环境</w:t>
      </w:r>
    </w:p>
    <w:p>
      <w:pPr>
        <w:spacing w:line="360" w:lineRule="auto"/>
        <w:ind w:firstLine="480" w:firstLineChars="200"/>
        <w:rPr>
          <w:sz w:val="24"/>
        </w:rPr>
      </w:pPr>
      <w:bookmarkStart w:id="996" w:name="_Toc420663773"/>
      <w:r>
        <w:rPr>
          <w:sz w:val="24"/>
        </w:rPr>
        <w:t>根据灵宝市环境监测站于2016年8月25日～8月26日监测分析</w:t>
      </w:r>
      <w:bookmarkEnd w:id="996"/>
      <w:bookmarkStart w:id="997" w:name="_Toc420663774"/>
      <w:r>
        <w:rPr>
          <w:sz w:val="24"/>
        </w:rPr>
        <w:t>，废石场及工业场地无组织排放颗粒物排放监测浓度最大值为0.147mg/m</w:t>
      </w:r>
      <w:r>
        <w:rPr>
          <w:sz w:val="24"/>
          <w:vertAlign w:val="superscript"/>
        </w:rPr>
        <w:t>3</w:t>
      </w:r>
      <w:r>
        <w:rPr>
          <w:sz w:val="24"/>
        </w:rPr>
        <w:t>，废石场无组织颗粒物浓度能够满足</w:t>
      </w:r>
      <w:r>
        <w:rPr>
          <w:spacing w:val="2"/>
          <w:sz w:val="24"/>
        </w:rPr>
        <w:t>《大气污染物综合排放标准》（GB16297－1996）表2中无组织排放监控浓度限值</w:t>
      </w:r>
      <w:r>
        <w:rPr>
          <w:sz w:val="24"/>
        </w:rPr>
        <w:t>的要求。</w:t>
      </w:r>
    </w:p>
    <w:bookmarkEnd w:id="997"/>
    <w:p>
      <w:pPr>
        <w:spacing w:line="360" w:lineRule="auto"/>
        <w:ind w:firstLine="480" w:firstLineChars="200"/>
        <w:rPr>
          <w:sz w:val="24"/>
        </w:rPr>
      </w:pPr>
      <w:r>
        <w:rPr>
          <w:sz w:val="24"/>
        </w:rPr>
        <w:t>破碎车间除尘器除尘效率为98.1%，排气筒排放浓度为15mg/m</w:t>
      </w:r>
      <w:r>
        <w:rPr>
          <w:sz w:val="24"/>
          <w:vertAlign w:val="superscript"/>
        </w:rPr>
        <w:t>3</w:t>
      </w:r>
      <w:r>
        <w:rPr>
          <w:sz w:val="24"/>
        </w:rPr>
        <w:t>，最终经15m高排气筒排放，能够满足《大气污染物综合排放标准》（GB16297-1996）表2中二级标准限值要求。</w:t>
      </w:r>
    </w:p>
    <w:p>
      <w:pPr>
        <w:spacing w:line="360" w:lineRule="auto"/>
        <w:ind w:firstLine="480" w:firstLineChars="200"/>
        <w:rPr>
          <w:sz w:val="24"/>
        </w:rPr>
      </w:pPr>
      <w:r>
        <w:rPr>
          <w:sz w:val="24"/>
        </w:rPr>
        <w:t>选厂原料堆场及尾矿库无组织排放颗粒物排放监测浓度最大值为0.274mg/m</w:t>
      </w:r>
      <w:r>
        <w:rPr>
          <w:sz w:val="24"/>
          <w:vertAlign w:val="superscript"/>
        </w:rPr>
        <w:t>3</w:t>
      </w:r>
      <w:r>
        <w:rPr>
          <w:sz w:val="24"/>
        </w:rPr>
        <w:t>，满足《大气污染物综合排放标准》（GB16297-1996）表2二级标准的要中无组织排放监控浓度限值的要求。</w:t>
      </w:r>
    </w:p>
    <w:p>
      <w:pPr>
        <w:spacing w:line="360" w:lineRule="auto"/>
        <w:ind w:firstLine="482"/>
        <w:rPr>
          <w:sz w:val="24"/>
        </w:rPr>
      </w:pPr>
      <w:r>
        <w:rPr>
          <w:sz w:val="24"/>
        </w:rPr>
        <w:t>该调查区域内监测的点位</w:t>
      </w:r>
      <w:r>
        <w:rPr>
          <w:spacing w:val="2"/>
          <w:sz w:val="24"/>
        </w:rPr>
        <w:t>，</w:t>
      </w:r>
      <w:r>
        <w:rPr>
          <w:sz w:val="24"/>
        </w:rPr>
        <w:t>TSP日均值、SO</w:t>
      </w:r>
      <w:r>
        <w:rPr>
          <w:sz w:val="24"/>
          <w:vertAlign w:val="subscript"/>
        </w:rPr>
        <w:t>2</w:t>
      </w:r>
      <w:r>
        <w:rPr>
          <w:sz w:val="24"/>
        </w:rPr>
        <w:t>的日均和小时均值、NO</w:t>
      </w:r>
      <w:r>
        <w:rPr>
          <w:sz w:val="24"/>
          <w:vertAlign w:val="subscript"/>
        </w:rPr>
        <w:t>2</w:t>
      </w:r>
      <w:r>
        <w:rPr>
          <w:sz w:val="24"/>
        </w:rPr>
        <w:t>的日均和小时均值均低于(GB3095-2012)中二级标准要求。</w:t>
      </w:r>
    </w:p>
    <w:p>
      <w:pPr>
        <w:pStyle w:val="5"/>
      </w:pPr>
      <w:r>
        <w:t>12.1.3.3 声环境</w:t>
      </w:r>
    </w:p>
    <w:p>
      <w:pPr>
        <w:spacing w:line="360" w:lineRule="auto"/>
        <w:ind w:firstLine="480" w:firstLineChars="200"/>
        <w:rPr>
          <w:sz w:val="24"/>
        </w:rPr>
      </w:pPr>
      <w:r>
        <w:rPr>
          <w:sz w:val="24"/>
        </w:rPr>
        <w:t>该调查区域内所监测的点位中，工业场地、选厂、尾矿库四周噪声均满足《工业企业厂界环境噪声排放标准》(GB12348－2008)2</w:t>
      </w:r>
      <w:r>
        <w:rPr>
          <w:spacing w:val="2"/>
          <w:sz w:val="24"/>
        </w:rPr>
        <w:t>类标准要求</w:t>
      </w:r>
      <w:r>
        <w:rPr>
          <w:sz w:val="24"/>
        </w:rPr>
        <w:t>。</w:t>
      </w:r>
    </w:p>
    <w:p>
      <w:pPr>
        <w:spacing w:line="360" w:lineRule="auto"/>
        <w:ind w:firstLine="480" w:firstLineChars="200"/>
        <w:rPr>
          <w:sz w:val="24"/>
        </w:rPr>
      </w:pPr>
      <w:r>
        <w:rPr>
          <w:sz w:val="24"/>
        </w:rPr>
        <w:t>由于本项目处于山沟内，工业场地、选厂、尾矿库四周500m范围内无村庄等敏感点，项目噪声不会发生超标扰民现象</w:t>
      </w:r>
    </w:p>
    <w:p>
      <w:pPr>
        <w:pStyle w:val="5"/>
      </w:pPr>
      <w:r>
        <w:t>12.1.3.4 固体废弃物</w:t>
      </w:r>
    </w:p>
    <w:p>
      <w:pPr>
        <w:tabs>
          <w:tab w:val="left" w:pos="567"/>
          <w:tab w:val="left" w:pos="851"/>
          <w:tab w:val="left" w:pos="1134"/>
        </w:tabs>
        <w:spacing w:line="360" w:lineRule="auto"/>
        <w:ind w:firstLine="480" w:firstLineChars="200"/>
        <w:rPr>
          <w:sz w:val="24"/>
        </w:rPr>
      </w:pPr>
      <w:r>
        <w:rPr>
          <w:bCs/>
          <w:sz w:val="24"/>
        </w:rPr>
        <w:t>根据谱尼测试对废石、尾矿浸出毒性鉴别实验数据，废石、尾矿浸出液中各监测因子浓度均低于《危险废物鉴别标准-浸出毒性鉴别》（GB5085.3－2007）中规定的限值要求。根据《一般固体废物贮存、处置场污染控制标准》（GB18599－2001）中有关规定，对比《污水综合排放标准》（GB8978-1996）标准值，可知本项目采矿废石属一般工业固体废物。</w:t>
      </w:r>
      <w:r>
        <w:rPr>
          <w:sz w:val="24"/>
        </w:rPr>
        <w:t>废石场下游设置了挡渣墙</w:t>
      </w:r>
      <w:r>
        <w:rPr>
          <w:kern w:val="0"/>
          <w:sz w:val="24"/>
        </w:rPr>
        <w:t>、截排水沟和沉淀池，防止水土流失。</w:t>
      </w:r>
    </w:p>
    <w:p>
      <w:pPr>
        <w:spacing w:line="360" w:lineRule="auto"/>
        <w:ind w:firstLine="488"/>
        <w:rPr>
          <w:spacing w:val="2"/>
          <w:sz w:val="24"/>
        </w:rPr>
      </w:pPr>
      <w:r>
        <w:rPr>
          <w:spacing w:val="2"/>
          <w:sz w:val="24"/>
        </w:rPr>
        <w:t>生活垃圾经30个垃圾箱和3座垃圾池</w:t>
      </w:r>
      <w:r>
        <w:rPr>
          <w:sz w:val="24"/>
          <w:lang w:val="zh-CN"/>
        </w:rPr>
        <w:t>统一收集后运至</w:t>
      </w:r>
      <w:r>
        <w:rPr>
          <w:spacing w:val="2"/>
          <w:sz w:val="24"/>
        </w:rPr>
        <w:t>朱阳镇环卫部门处置。</w:t>
      </w:r>
    </w:p>
    <w:p>
      <w:pPr>
        <w:tabs>
          <w:tab w:val="left" w:pos="567"/>
          <w:tab w:val="left" w:pos="851"/>
          <w:tab w:val="left" w:pos="1134"/>
        </w:tabs>
        <w:spacing w:line="360" w:lineRule="auto"/>
        <w:ind w:firstLine="480" w:firstLineChars="200"/>
        <w:rPr>
          <w:bCs/>
          <w:sz w:val="24"/>
        </w:rPr>
      </w:pPr>
      <w:r>
        <w:rPr>
          <w:bCs/>
          <w:sz w:val="24"/>
        </w:rPr>
        <w:t>本项目产生的固体废物均能得到合理处置。</w:t>
      </w:r>
    </w:p>
    <w:p>
      <w:pPr>
        <w:pStyle w:val="10"/>
        <w:rPr>
          <w:rFonts w:ascii="Times New Roman" w:hAnsi="Times New Roman"/>
        </w:rPr>
      </w:pPr>
      <w:r>
        <w:rPr>
          <w:rFonts w:ascii="Times New Roman" w:hAnsi="Times New Roman"/>
        </w:rPr>
        <w:t>12.1.4 总量控制</w:t>
      </w:r>
    </w:p>
    <w:p>
      <w:pPr>
        <w:spacing w:line="360" w:lineRule="auto"/>
        <w:ind w:firstLine="480" w:firstLineChars="200"/>
        <w:rPr>
          <w:sz w:val="24"/>
        </w:rPr>
      </w:pPr>
      <w:r>
        <w:rPr>
          <w:sz w:val="24"/>
        </w:rPr>
        <w:t>水污染物：建议废水污染物总量新增控制指标为COD0 t/a、氨氮4.8t/a。</w:t>
      </w:r>
    </w:p>
    <w:p>
      <w:pPr>
        <w:spacing w:line="360" w:lineRule="auto"/>
        <w:ind w:firstLine="480" w:firstLineChars="200"/>
        <w:rPr>
          <w:sz w:val="24"/>
        </w:rPr>
      </w:pPr>
      <w:r>
        <w:rPr>
          <w:sz w:val="24"/>
        </w:rPr>
        <w:t>大气污染物：建议大气污染物总量控制指标为零。</w:t>
      </w:r>
    </w:p>
    <w:p>
      <w:pPr>
        <w:pStyle w:val="10"/>
        <w:spacing w:line="360" w:lineRule="auto"/>
        <w:rPr>
          <w:rFonts w:ascii="Times New Roman" w:hAnsi="Times New Roman"/>
        </w:rPr>
      </w:pPr>
      <w:bookmarkStart w:id="998" w:name="_Toc420663775"/>
      <w:r>
        <w:rPr>
          <w:rFonts w:ascii="Times New Roman" w:hAnsi="Times New Roman"/>
        </w:rPr>
        <w:t>12.1.5 环境管理与监测</w:t>
      </w:r>
      <w:bookmarkEnd w:id="998"/>
    </w:p>
    <w:p>
      <w:pPr>
        <w:spacing w:line="360" w:lineRule="auto"/>
        <w:ind w:firstLine="480" w:firstLineChars="200"/>
        <w:rPr>
          <w:sz w:val="24"/>
        </w:rPr>
      </w:pPr>
      <w:r>
        <w:rPr>
          <w:sz w:val="24"/>
        </w:rPr>
        <w:t>本工程已建立了完善的环境管理体系，制定了环境管理制度，具有健全的环保组织机构，进一步的强化了环境管理工作。</w:t>
      </w:r>
    </w:p>
    <w:p>
      <w:pPr>
        <w:autoSpaceDE w:val="0"/>
        <w:autoSpaceDN w:val="0"/>
        <w:spacing w:line="360" w:lineRule="auto"/>
        <w:ind w:firstLine="488" w:firstLineChars="200"/>
        <w:jc w:val="left"/>
        <w:rPr>
          <w:sz w:val="24"/>
        </w:rPr>
      </w:pPr>
      <w:r>
        <w:rPr>
          <w:spacing w:val="2"/>
          <w:sz w:val="24"/>
        </w:rPr>
        <w:t>生产期委托当地具有环境监测资质的单位进行日常的环境监测及污染监督监测，</w:t>
      </w:r>
      <w:r>
        <w:rPr>
          <w:sz w:val="24"/>
        </w:rPr>
        <w:t>根据该工程投产后的生产情况，对矿山废水、除尘设施等进行监测。</w:t>
      </w:r>
    </w:p>
    <w:p>
      <w:pPr>
        <w:pStyle w:val="10"/>
        <w:spacing w:line="360" w:lineRule="auto"/>
        <w:rPr>
          <w:rFonts w:ascii="Times New Roman" w:hAnsi="Times New Roman"/>
        </w:rPr>
      </w:pPr>
      <w:bookmarkStart w:id="999" w:name="_Toc407217457"/>
      <w:bookmarkStart w:id="1000" w:name="_Toc420663776"/>
      <w:bookmarkStart w:id="1001" w:name="_Toc407153591"/>
      <w:bookmarkStart w:id="1002" w:name="_Toc406504308"/>
      <w:r>
        <w:rPr>
          <w:rFonts w:ascii="Times New Roman" w:hAnsi="Times New Roman"/>
        </w:rPr>
        <w:t>12.1.6公众参与</w:t>
      </w:r>
      <w:bookmarkEnd w:id="999"/>
      <w:bookmarkEnd w:id="1000"/>
      <w:bookmarkEnd w:id="1001"/>
      <w:bookmarkEnd w:id="1002"/>
    </w:p>
    <w:p>
      <w:pPr>
        <w:autoSpaceDE w:val="0"/>
        <w:autoSpaceDN w:val="0"/>
        <w:spacing w:line="360" w:lineRule="auto"/>
        <w:ind w:firstLine="488" w:firstLineChars="200"/>
        <w:jc w:val="left"/>
        <w:rPr>
          <w:spacing w:val="2"/>
          <w:sz w:val="24"/>
        </w:rPr>
      </w:pPr>
      <w:r>
        <w:rPr>
          <w:spacing w:val="2"/>
          <w:sz w:val="24"/>
        </w:rPr>
        <w:t>公众参与调查结果表明，项目区居民及当地环保部门对项目工程总体上是赞同的，本</w:t>
      </w:r>
      <w:r>
        <w:rPr>
          <w:sz w:val="24"/>
        </w:rPr>
        <w:t>项目在工程建设过程中较好地贯彻执行了环境保护“三同时” 制度，项目区附近居民对本采矿项目环境保护建设总体上是满意的，说明该项目在建设期及试运行期各项环境保护措施是得力的。</w:t>
      </w:r>
    </w:p>
    <w:p>
      <w:pPr>
        <w:pStyle w:val="10"/>
        <w:spacing w:line="360" w:lineRule="auto"/>
        <w:rPr>
          <w:rFonts w:ascii="Times New Roman" w:hAnsi="Times New Roman"/>
        </w:rPr>
      </w:pPr>
      <w:bookmarkStart w:id="1003" w:name="_Toc420663777"/>
      <w:bookmarkStart w:id="1004" w:name="_Toc407217458"/>
      <w:bookmarkStart w:id="1005" w:name="_Toc406504309"/>
      <w:bookmarkStart w:id="1006" w:name="_Toc407153592"/>
      <w:r>
        <w:rPr>
          <w:rFonts w:ascii="Times New Roman" w:hAnsi="Times New Roman"/>
        </w:rPr>
        <w:t>12.1.6 安全生产和事故防范</w:t>
      </w:r>
      <w:bookmarkEnd w:id="1003"/>
      <w:bookmarkEnd w:id="1004"/>
      <w:bookmarkEnd w:id="1005"/>
      <w:bookmarkEnd w:id="1006"/>
    </w:p>
    <w:p>
      <w:pPr>
        <w:autoSpaceDE w:val="0"/>
        <w:autoSpaceDN w:val="0"/>
        <w:spacing w:line="360" w:lineRule="auto"/>
        <w:ind w:firstLine="480" w:firstLineChars="200"/>
        <w:jc w:val="left"/>
        <w:rPr>
          <w:spacing w:val="2"/>
          <w:sz w:val="24"/>
        </w:rPr>
      </w:pPr>
      <w:r>
        <w:rPr>
          <w:bCs/>
          <w:sz w:val="24"/>
        </w:rPr>
        <w:t>根据本项目各种污染物的排放特征，为贯彻“安全第一，预防为主”的安全生产方针，预防环保事故发生，并能在事故发生后迅速有效控制处理，使废污水循环利用工作应急处置具有前瞻性、连续性和可操作性，采矿项目试运行期间，请技术人员对设备操作人员进行现场培训和操作指导，并制定《环境保护管理制度》、《突发性水污染事件应急预案》、《安全环保检查制度》、</w:t>
      </w:r>
      <w:r>
        <w:rPr>
          <w:sz w:val="24"/>
        </w:rPr>
        <w:t>《安全技术规程》、《安全监督管理规定》</w:t>
      </w:r>
      <w:r>
        <w:rPr>
          <w:bCs/>
          <w:sz w:val="24"/>
        </w:rPr>
        <w:t>等各项规章制度，制定废污水处理突发事件应急处置预案。</w:t>
      </w:r>
    </w:p>
    <w:p>
      <w:pPr>
        <w:pStyle w:val="10"/>
        <w:spacing w:line="360" w:lineRule="auto"/>
        <w:rPr>
          <w:rFonts w:ascii="Times New Roman" w:hAnsi="Times New Roman"/>
        </w:rPr>
      </w:pPr>
      <w:bookmarkStart w:id="1007" w:name="_Toc406504310"/>
      <w:bookmarkStart w:id="1008" w:name="_Toc407217459"/>
      <w:bookmarkStart w:id="1009" w:name="_Toc407153593"/>
      <w:bookmarkStart w:id="1010" w:name="_Toc420663778"/>
      <w:r>
        <w:rPr>
          <w:rFonts w:ascii="Times New Roman" w:hAnsi="Times New Roman"/>
        </w:rPr>
        <w:t>12.1.7 综合结论</w:t>
      </w:r>
      <w:bookmarkEnd w:id="1007"/>
      <w:bookmarkEnd w:id="1008"/>
      <w:bookmarkEnd w:id="1009"/>
      <w:bookmarkEnd w:id="1010"/>
    </w:p>
    <w:p>
      <w:pPr>
        <w:autoSpaceDE w:val="0"/>
        <w:autoSpaceDN w:val="0"/>
        <w:spacing w:line="360" w:lineRule="auto"/>
        <w:ind w:firstLine="480" w:firstLineChars="200"/>
        <w:jc w:val="left"/>
        <w:rPr>
          <w:kern w:val="0"/>
          <w:sz w:val="24"/>
        </w:rPr>
      </w:pPr>
      <w:r>
        <w:rPr>
          <w:sz w:val="24"/>
        </w:rPr>
        <w:t>本项目工程实施过程中，遵守环境保护法规委托评价单位编制环境影响评价，认真执行了环境影响评价制度。在项目的建设过程中，执行了环境保护“三同时”制度，依据环境影响评价文件和河南省环境保护厅的批复文件，积极落实了相应的环境保护措施。生产期间环境质量监测调查结果表明，这些措施有效地减少了工程污染物的排放量，大大降低了工程对环境的影响程度，验收期间，本选项目各项污废水实现了综合利用不外排。制订的</w:t>
      </w:r>
      <w:r>
        <w:rPr>
          <w:kern w:val="0"/>
          <w:sz w:val="24"/>
        </w:rPr>
        <w:t>环境风险防范与应急措施有效可行。</w:t>
      </w:r>
      <w:r>
        <w:rPr>
          <w:sz w:val="24"/>
        </w:rPr>
        <w:t>在施工期间和试运营期间未发生重大污染或扰民事件，公众反应良好。因此</w:t>
      </w:r>
      <w:r>
        <w:rPr>
          <w:spacing w:val="2"/>
          <w:sz w:val="24"/>
        </w:rPr>
        <w:t>该</w:t>
      </w:r>
      <w:r>
        <w:rPr>
          <w:rFonts w:eastAsia="汉鼎简书宋"/>
          <w:sz w:val="24"/>
        </w:rPr>
        <w:t>项目</w:t>
      </w:r>
      <w:r>
        <w:rPr>
          <w:sz w:val="24"/>
        </w:rPr>
        <w:t>已基本符合环境保护竣工验收条件。</w:t>
      </w:r>
    </w:p>
    <w:p>
      <w:pPr>
        <w:autoSpaceDE w:val="0"/>
        <w:autoSpaceDN w:val="0"/>
        <w:spacing w:line="360" w:lineRule="auto"/>
        <w:ind w:firstLine="480" w:firstLineChars="200"/>
        <w:jc w:val="left"/>
        <w:rPr>
          <w:sz w:val="24"/>
        </w:rPr>
      </w:pPr>
      <w:r>
        <w:rPr>
          <w:sz w:val="24"/>
        </w:rPr>
        <w:t>根据本次验收调查工作，本工程总体上达到了建设项目环境保护竣工验收的条件，建议通过本次环境保护验收，同时要求建设单位对调查报告中提出的完善环保措施、环保补救措施和建议给予重视，强化环境管理，将后续生产期的环境保护工作认真落实。</w:t>
      </w:r>
    </w:p>
    <w:p>
      <w:pPr>
        <w:pStyle w:val="3"/>
        <w:spacing w:before="0" w:after="0"/>
        <w:rPr>
          <w:rFonts w:ascii="Times New Roman" w:hAnsi="Times New Roman"/>
        </w:rPr>
      </w:pPr>
      <w:bookmarkStart w:id="1011" w:name="_Toc407153594"/>
      <w:bookmarkStart w:id="1012" w:name="_Toc406504311"/>
      <w:bookmarkStart w:id="1013" w:name="_Toc407217460"/>
      <w:bookmarkStart w:id="1014" w:name="_Toc370112166"/>
      <w:bookmarkStart w:id="1015" w:name="_Toc420663779"/>
      <w:bookmarkStart w:id="1016" w:name="_Toc173284130"/>
      <w:bookmarkStart w:id="1017" w:name="_Toc173147980"/>
      <w:bookmarkStart w:id="1018" w:name="_Toc470358737"/>
      <w:bookmarkStart w:id="1019" w:name="_Toc488578957"/>
      <w:r>
        <w:rPr>
          <w:rFonts w:ascii="Times New Roman" w:hAnsi="Times New Roman"/>
        </w:rPr>
        <w:t>12.2 建议</w:t>
      </w:r>
      <w:bookmarkEnd w:id="1011"/>
      <w:bookmarkEnd w:id="1012"/>
      <w:bookmarkEnd w:id="1013"/>
      <w:bookmarkEnd w:id="1014"/>
      <w:bookmarkEnd w:id="1015"/>
      <w:bookmarkEnd w:id="1016"/>
      <w:bookmarkEnd w:id="1017"/>
      <w:bookmarkEnd w:id="1018"/>
      <w:bookmarkEnd w:id="1019"/>
    </w:p>
    <w:p>
      <w:pPr>
        <w:spacing w:line="360" w:lineRule="auto"/>
        <w:ind w:firstLine="480" w:firstLineChars="200"/>
        <w:rPr>
          <w:sz w:val="24"/>
        </w:rPr>
      </w:pPr>
      <w:r>
        <w:rPr>
          <w:sz w:val="24"/>
        </w:rPr>
        <w:t>根据本次验收调查可知，本项目环保工程基本按照《环境影响报告书》批复中要求落实到位，且运行效果较好，污染物均做到了达标排放。本但还需进一步加强一下工作：</w:t>
      </w:r>
    </w:p>
    <w:p>
      <w:pPr>
        <w:spacing w:line="360" w:lineRule="auto"/>
        <w:ind w:firstLine="480" w:firstLineChars="200"/>
        <w:rPr>
          <w:sz w:val="24"/>
        </w:rPr>
      </w:pPr>
      <w:r>
        <w:rPr>
          <w:sz w:val="24"/>
        </w:rPr>
        <w:t xml:space="preserve">（1）加强运营期植被恢复工作。  </w:t>
      </w:r>
    </w:p>
    <w:p>
      <w:pPr>
        <w:spacing w:line="360" w:lineRule="auto"/>
        <w:ind w:firstLine="480" w:firstLineChars="200"/>
        <w:rPr>
          <w:b/>
          <w:bCs/>
          <w:kern w:val="0"/>
          <w:sz w:val="28"/>
          <w:szCs w:val="28"/>
        </w:rPr>
      </w:pPr>
      <w:r>
        <w:rPr>
          <w:sz w:val="24"/>
        </w:rPr>
        <w:t>（2）加强管理废石场降尘洒水，减少矿石扬尘对周围环境的影响。</w:t>
      </w:r>
      <w:r>
        <w:rPr>
          <w:sz w:val="24"/>
        </w:rPr>
        <w:cr/>
      </w:r>
      <w:r>
        <w:rPr>
          <w:sz w:val="24"/>
        </w:rPr>
        <w:t xml:space="preserve">    （3）加强环境管理，确保污染物防治设施稳定运行、各项污染物稳定达标排放。</w:t>
      </w:r>
    </w:p>
    <w:sectPr>
      <w:footerReference r:id="rId14" w:type="default"/>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_GB2312">
    <w:altName w:val="@Arial Unicode MS"/>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Batang">
    <w:panose1 w:val="02030600000101010101"/>
    <w:charset w:val="81"/>
    <w:family w:val="auto"/>
    <w:pitch w:val="default"/>
    <w:sig w:usb0="B00002AF" w:usb1="69D77CFB" w:usb2="00000030" w:usb3="00000000" w:csb0="4008009F" w:csb1="DFD70000"/>
  </w:font>
  <w:font w:name="宋体-18030">
    <w:altName w:val="宋体"/>
    <w:panose1 w:val="02010609060101010101"/>
    <w:charset w:val="86"/>
    <w:family w:val="modern"/>
    <w:pitch w:val="default"/>
    <w:sig w:usb0="00000000" w:usb1="00000000" w:usb2="000A005E" w:usb3="00000000" w:csb0="00040001" w:csb1="00000000"/>
  </w:font>
  <w:font w:name="宋体-PUA">
    <w:altName w:val="宋体"/>
    <w:panose1 w:val="02010600030101010101"/>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page" w:x="5938" w:y="191"/>
      <w:jc w:val="center"/>
      <w:rPr>
        <w:rStyle w:val="50"/>
      </w:rPr>
    </w:pPr>
    <w:r>
      <w:rPr>
        <w:rStyle w:val="50"/>
      </w:rPr>
      <w:fldChar w:fldCharType="begin"/>
    </w:r>
    <w:r>
      <w:rPr>
        <w:rStyle w:val="50"/>
      </w:rPr>
      <w:instrText xml:space="preserve">PAGE  </w:instrText>
    </w:r>
    <w:r>
      <w:rPr>
        <w:rStyle w:val="50"/>
      </w:rPr>
      <w:fldChar w:fldCharType="separate"/>
    </w:r>
    <w:r>
      <w:rPr>
        <w:rStyle w:val="50"/>
      </w:rPr>
      <w:t>1</w:t>
    </w:r>
    <w:r>
      <w:rPr>
        <w:rStyle w:val="50"/>
      </w:rPr>
      <w:fldChar w:fldCharType="end"/>
    </w:r>
  </w:p>
  <w:p>
    <w:pPr>
      <w:pStyle w:val="32"/>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0"/>
      </w:rPr>
    </w:pPr>
    <w:r>
      <w:rPr>
        <w:rStyle w:val="50"/>
      </w:rPr>
      <w:fldChar w:fldCharType="begin"/>
    </w:r>
    <w:r>
      <w:rPr>
        <w:rStyle w:val="50"/>
      </w:rPr>
      <w:instrText xml:space="preserve">PAGE  </w:instrText>
    </w:r>
    <w:r>
      <w:rPr>
        <w:rStyle w:val="50"/>
      </w:rPr>
      <w:fldChar w:fldCharType="end"/>
    </w:r>
  </w:p>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page" w:x="5938" w:y="107"/>
      <w:rPr>
        <w:rStyle w:val="50"/>
      </w:rPr>
    </w:pPr>
    <w:r>
      <w:rPr>
        <w:rStyle w:val="50"/>
      </w:rPr>
      <w:fldChar w:fldCharType="begin"/>
    </w:r>
    <w:r>
      <w:rPr>
        <w:rStyle w:val="50"/>
      </w:rPr>
      <w:instrText xml:space="preserve">PAGE  </w:instrText>
    </w:r>
    <w:r>
      <w:rPr>
        <w:rStyle w:val="50"/>
      </w:rPr>
      <w:fldChar w:fldCharType="separate"/>
    </w:r>
    <w:r>
      <w:rPr>
        <w:rStyle w:val="50"/>
      </w:rPr>
      <w:t>18</w:t>
    </w:r>
    <w:r>
      <w:rPr>
        <w:rStyle w:val="50"/>
      </w:rPr>
      <w:fldChar w:fldCharType="end"/>
    </w:r>
  </w:p>
  <w:p>
    <w:pPr>
      <w:pStyle w:val="3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page" w:x="6007" w:y="227"/>
      <w:rPr>
        <w:rStyle w:val="50"/>
      </w:rPr>
    </w:pPr>
    <w:r>
      <w:rPr>
        <w:rStyle w:val="50"/>
      </w:rPr>
      <w:fldChar w:fldCharType="begin"/>
    </w:r>
    <w:r>
      <w:rPr>
        <w:rStyle w:val="50"/>
      </w:rPr>
      <w:instrText xml:space="preserve">PAGE  </w:instrText>
    </w:r>
    <w:r>
      <w:rPr>
        <w:rStyle w:val="50"/>
      </w:rPr>
      <w:fldChar w:fldCharType="separate"/>
    </w:r>
    <w:r>
      <w:rPr>
        <w:rStyle w:val="50"/>
      </w:rPr>
      <w:t>32</w:t>
    </w:r>
    <w:r>
      <w:rPr>
        <w:rStyle w:val="50"/>
      </w:rPr>
      <w:fldChar w:fldCharType="end"/>
    </w:r>
    <w:r>
      <w:rPr>
        <w:rStyle w:val="50"/>
      </w:rPr>
      <w:t xml:space="preserve">     </w:t>
    </w:r>
  </w:p>
  <w:p>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page" w:x="5938" w:y="107"/>
      <w:rPr>
        <w:rStyle w:val="50"/>
      </w:rPr>
    </w:pPr>
    <w:r>
      <w:rPr>
        <w:rStyle w:val="50"/>
      </w:rPr>
      <w:fldChar w:fldCharType="begin"/>
    </w:r>
    <w:r>
      <w:rPr>
        <w:rStyle w:val="50"/>
      </w:rPr>
      <w:instrText xml:space="preserve">PAGE  </w:instrText>
    </w:r>
    <w:r>
      <w:rPr>
        <w:rStyle w:val="50"/>
      </w:rPr>
      <w:fldChar w:fldCharType="separate"/>
    </w:r>
    <w:r>
      <w:rPr>
        <w:rStyle w:val="50"/>
      </w:rPr>
      <w:t>49</w:t>
    </w:r>
    <w:r>
      <w:rPr>
        <w:rStyle w:val="50"/>
      </w:rPr>
      <w:fldChar w:fldCharType="end"/>
    </w:r>
  </w:p>
  <w:p>
    <w:pPr>
      <w:pStyle w:val="32"/>
      <w:jc w:val="center"/>
      <w:rPr>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0"/>
      </w:rPr>
    </w:pPr>
    <w:r>
      <w:rPr>
        <w:rStyle w:val="50"/>
      </w:rPr>
      <w:fldChar w:fldCharType="begin"/>
    </w:r>
    <w:r>
      <w:rPr>
        <w:rStyle w:val="50"/>
      </w:rPr>
      <w:instrText xml:space="preserve">PAGE  </w:instrText>
    </w:r>
    <w:r>
      <w:rPr>
        <w:rStyle w:val="50"/>
      </w:rPr>
      <w:fldChar w:fldCharType="separate"/>
    </w:r>
    <w:r>
      <w:rPr>
        <w:rStyle w:val="50"/>
      </w:rPr>
      <w:t>123</w:t>
    </w:r>
    <w:r>
      <w:rPr>
        <w:rStyle w:val="50"/>
      </w:rPr>
      <w:fldChar w:fldCharType="end"/>
    </w:r>
  </w:p>
  <w:p>
    <w:pPr>
      <w:pStyle w:val="3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0"/>
      </w:rPr>
    </w:pPr>
    <w:r>
      <w:rPr>
        <w:rStyle w:val="50"/>
      </w:rPr>
      <w:fldChar w:fldCharType="begin"/>
    </w:r>
    <w:r>
      <w:rPr>
        <w:rStyle w:val="50"/>
      </w:rPr>
      <w:instrText xml:space="preserve">PAGE  </w:instrText>
    </w:r>
    <w:r>
      <w:rPr>
        <w:rStyle w:val="50"/>
      </w:rPr>
      <w:fldChar w:fldCharType="end"/>
    </w:r>
  </w:p>
  <w:p>
    <w:pPr>
      <w:pStyle w:val="3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0"/>
      </w:rPr>
    </w:pPr>
    <w:r>
      <w:rPr>
        <w:rStyle w:val="50"/>
      </w:rPr>
      <w:fldChar w:fldCharType="begin"/>
    </w:r>
    <w:r>
      <w:rPr>
        <w:rStyle w:val="50"/>
      </w:rPr>
      <w:instrText xml:space="preserve">PAGE  </w:instrText>
    </w:r>
    <w:r>
      <w:rPr>
        <w:rStyle w:val="50"/>
      </w:rPr>
      <w:fldChar w:fldCharType="separate"/>
    </w:r>
    <w:r>
      <w:rPr>
        <w:rStyle w:val="50"/>
      </w:rPr>
      <w:t>135</w:t>
    </w:r>
    <w:r>
      <w:rPr>
        <w:rStyle w:val="50"/>
      </w:rPr>
      <w:fldChar w:fldCharType="end"/>
    </w:r>
  </w:p>
  <w:p>
    <w:pPr>
      <w:pStyle w:val="3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6" w:space="0"/>
      </w:pBdr>
      <w:rPr>
        <w:rFonts w:ascii="仿宋" w:hAnsi="仿宋" w:eastAsia="仿宋"/>
        <w:b/>
        <w:sz w:val="15"/>
        <w:szCs w:val="15"/>
      </w:rPr>
    </w:pPr>
    <w:r>
      <w:rPr>
        <w:rFonts w:ascii="仿宋" w:hAnsi="仿宋" w:eastAsia="仿宋"/>
        <w:b/>
        <w:sz w:val="15"/>
        <w:szCs w:val="15"/>
      </w:rPr>
      <w:t>灵宝金源晨光有色矿冶有限公司银家沟硫铁矿综合回收扩建工程</w:t>
    </w:r>
    <w:r>
      <w:rPr>
        <w:rFonts w:hint="eastAsia" w:ascii="仿宋" w:hAnsi="仿宋" w:eastAsia="仿宋"/>
        <w:b/>
        <w:sz w:val="15"/>
        <w:szCs w:val="15"/>
      </w:rPr>
      <w:t>项目竣工环境保护验收调查报告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Fonts w:ascii="仿宋" w:hAnsi="仿宋" w:eastAsia="仿宋"/>
        <w:b/>
      </w:rPr>
    </w:pPr>
    <w:r>
      <w:rPr>
        <w:rFonts w:ascii="仿宋" w:hAnsi="仿宋" w:eastAsia="仿宋"/>
        <w:b/>
      </w:rPr>
      <w:t>灵宝金源晨光有色矿冶有限公司银家沟硫铁矿综合回收扩建工程</w:t>
    </w:r>
    <w:r>
      <w:rPr>
        <w:rFonts w:hint="eastAsia" w:ascii="仿宋" w:hAnsi="仿宋" w:eastAsia="仿宋"/>
        <w:b/>
      </w:rPr>
      <w:t>项目竣工环境保护验收调查报告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Fonts w:ascii="仿宋" w:hAnsi="仿宋" w:eastAsia="仿宋"/>
        <w:b/>
      </w:rPr>
    </w:pPr>
    <w:r>
      <w:rPr>
        <w:rFonts w:ascii="仿宋" w:hAnsi="仿宋" w:eastAsia="仿宋"/>
        <w:b/>
      </w:rPr>
      <w:t>灵宝金源晨光有色矿冶有限公司银家沟硫铁矿综合回收扩建工程</w:t>
    </w:r>
    <w:r>
      <w:rPr>
        <w:rFonts w:hint="eastAsia" w:ascii="仿宋" w:hAnsi="仿宋" w:eastAsia="仿宋"/>
        <w:b/>
      </w:rPr>
      <w:t>项目竣工环境保护验收调查报告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Fonts w:ascii="仿宋" w:hAnsi="仿宋" w:eastAsia="仿宋"/>
        <w:b/>
      </w:rPr>
    </w:pPr>
    <w:r>
      <w:rPr>
        <w:rFonts w:ascii="仿宋" w:hAnsi="仿宋" w:eastAsia="仿宋"/>
        <w:b/>
      </w:rPr>
      <w:t>灵宝金源晨光有色矿冶有限公司银家沟硫铁矿综合回收扩建工程</w:t>
    </w:r>
    <w:r>
      <w:rPr>
        <w:rFonts w:hint="eastAsia" w:ascii="仿宋" w:hAnsi="仿宋" w:eastAsia="仿宋"/>
        <w:b/>
      </w:rPr>
      <w:t>项目竣工环境保护验收调查报告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73A97"/>
    <w:multiLevelType w:val="multilevel"/>
    <w:tmpl w:val="13E73A97"/>
    <w:lvl w:ilvl="0" w:tentative="0">
      <w:start w:val="1"/>
      <w:numFmt w:val="decimal"/>
      <w:lvlText w:val="%1、"/>
      <w:lvlJc w:val="left"/>
      <w:pPr>
        <w:tabs>
          <w:tab w:val="left" w:pos="780"/>
        </w:tabs>
        <w:ind w:left="780" w:hanging="360"/>
      </w:pPr>
      <w:rPr>
        <w:rFonts w:hint="default" w:hAnsi="宋体"/>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2A6A50BB"/>
    <w:multiLevelType w:val="multilevel"/>
    <w:tmpl w:val="2A6A50BB"/>
    <w:lvl w:ilvl="0" w:tentative="0">
      <w:start w:val="1"/>
      <w:numFmt w:val="bullet"/>
      <w:lvlText w:val=""/>
      <w:lvlJc w:val="left"/>
      <w:pPr>
        <w:ind w:left="1010" w:hanging="420"/>
      </w:pPr>
      <w:rPr>
        <w:rFonts w:hint="default" w:ascii="Wingdings" w:hAnsi="Wingdings"/>
      </w:rPr>
    </w:lvl>
    <w:lvl w:ilvl="1" w:tentative="0">
      <w:start w:val="1"/>
      <w:numFmt w:val="bullet"/>
      <w:lvlText w:val=""/>
      <w:lvlJc w:val="left"/>
      <w:pPr>
        <w:ind w:left="1430" w:hanging="420"/>
      </w:pPr>
      <w:rPr>
        <w:rFonts w:hint="default" w:ascii="Wingdings" w:hAnsi="Wingdings"/>
      </w:rPr>
    </w:lvl>
    <w:lvl w:ilvl="2" w:tentative="0">
      <w:start w:val="1"/>
      <w:numFmt w:val="bullet"/>
      <w:lvlText w:val=""/>
      <w:lvlJc w:val="left"/>
      <w:pPr>
        <w:ind w:left="1850" w:hanging="420"/>
      </w:pPr>
      <w:rPr>
        <w:rFonts w:hint="default" w:ascii="Wingdings" w:hAnsi="Wingdings"/>
      </w:rPr>
    </w:lvl>
    <w:lvl w:ilvl="3" w:tentative="0">
      <w:start w:val="1"/>
      <w:numFmt w:val="bullet"/>
      <w:pStyle w:val="150"/>
      <w:lvlText w:val=""/>
      <w:lvlJc w:val="left"/>
      <w:pPr>
        <w:ind w:left="2270" w:hanging="420"/>
      </w:pPr>
      <w:rPr>
        <w:rFonts w:hint="default" w:ascii="Wingdings" w:hAnsi="Wingdings"/>
      </w:rPr>
    </w:lvl>
    <w:lvl w:ilvl="4" w:tentative="0">
      <w:start w:val="1"/>
      <w:numFmt w:val="bullet"/>
      <w:lvlText w:val=""/>
      <w:lvlJc w:val="left"/>
      <w:pPr>
        <w:ind w:left="2690" w:hanging="420"/>
      </w:pPr>
      <w:rPr>
        <w:rFonts w:hint="default" w:ascii="Wingdings" w:hAnsi="Wingdings"/>
      </w:rPr>
    </w:lvl>
    <w:lvl w:ilvl="5" w:tentative="0">
      <w:start w:val="1"/>
      <w:numFmt w:val="bullet"/>
      <w:lvlText w:val=""/>
      <w:lvlJc w:val="left"/>
      <w:pPr>
        <w:ind w:left="3110" w:hanging="420"/>
      </w:pPr>
      <w:rPr>
        <w:rFonts w:hint="default" w:ascii="Wingdings" w:hAnsi="Wingdings"/>
      </w:rPr>
    </w:lvl>
    <w:lvl w:ilvl="6" w:tentative="0">
      <w:start w:val="1"/>
      <w:numFmt w:val="bullet"/>
      <w:lvlText w:val=""/>
      <w:lvlJc w:val="left"/>
      <w:pPr>
        <w:ind w:left="3530" w:hanging="420"/>
      </w:pPr>
      <w:rPr>
        <w:rFonts w:hint="default" w:ascii="Wingdings" w:hAnsi="Wingdings"/>
      </w:rPr>
    </w:lvl>
    <w:lvl w:ilvl="7" w:tentative="0">
      <w:start w:val="1"/>
      <w:numFmt w:val="bullet"/>
      <w:lvlText w:val=""/>
      <w:lvlJc w:val="left"/>
      <w:pPr>
        <w:ind w:left="3950" w:hanging="420"/>
      </w:pPr>
      <w:rPr>
        <w:rFonts w:hint="default" w:ascii="Wingdings" w:hAnsi="Wingdings"/>
      </w:rPr>
    </w:lvl>
    <w:lvl w:ilvl="8" w:tentative="0">
      <w:start w:val="1"/>
      <w:numFmt w:val="bullet"/>
      <w:lvlText w:val=""/>
      <w:lvlJc w:val="left"/>
      <w:pPr>
        <w:ind w:left="437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FE666F"/>
    <w:rsid w:val="000001DA"/>
    <w:rsid w:val="000019EF"/>
    <w:rsid w:val="00001D88"/>
    <w:rsid w:val="00002A14"/>
    <w:rsid w:val="00002F5E"/>
    <w:rsid w:val="00003409"/>
    <w:rsid w:val="0000365B"/>
    <w:rsid w:val="00003E70"/>
    <w:rsid w:val="00003F13"/>
    <w:rsid w:val="00003FAC"/>
    <w:rsid w:val="00004B9D"/>
    <w:rsid w:val="00004D3B"/>
    <w:rsid w:val="00004D88"/>
    <w:rsid w:val="00004DF3"/>
    <w:rsid w:val="000056D4"/>
    <w:rsid w:val="0000595B"/>
    <w:rsid w:val="0000700C"/>
    <w:rsid w:val="000075F2"/>
    <w:rsid w:val="0000790C"/>
    <w:rsid w:val="00007919"/>
    <w:rsid w:val="00007AE2"/>
    <w:rsid w:val="00007C45"/>
    <w:rsid w:val="00010330"/>
    <w:rsid w:val="00010A2A"/>
    <w:rsid w:val="0001120D"/>
    <w:rsid w:val="0001125A"/>
    <w:rsid w:val="00011307"/>
    <w:rsid w:val="00011DD6"/>
    <w:rsid w:val="0001236D"/>
    <w:rsid w:val="0001388E"/>
    <w:rsid w:val="00013CE6"/>
    <w:rsid w:val="00013E2B"/>
    <w:rsid w:val="00015D4C"/>
    <w:rsid w:val="00015D94"/>
    <w:rsid w:val="00016330"/>
    <w:rsid w:val="000164F0"/>
    <w:rsid w:val="00016A33"/>
    <w:rsid w:val="00016B60"/>
    <w:rsid w:val="00016CBE"/>
    <w:rsid w:val="0002057F"/>
    <w:rsid w:val="000209E2"/>
    <w:rsid w:val="00021BFB"/>
    <w:rsid w:val="0002209A"/>
    <w:rsid w:val="000220FC"/>
    <w:rsid w:val="0002297B"/>
    <w:rsid w:val="00022AB4"/>
    <w:rsid w:val="000233B8"/>
    <w:rsid w:val="0002469F"/>
    <w:rsid w:val="000247CD"/>
    <w:rsid w:val="00024B42"/>
    <w:rsid w:val="0002549F"/>
    <w:rsid w:val="0002588E"/>
    <w:rsid w:val="00025C3E"/>
    <w:rsid w:val="00026990"/>
    <w:rsid w:val="00026A0C"/>
    <w:rsid w:val="0002746E"/>
    <w:rsid w:val="0003001F"/>
    <w:rsid w:val="00030194"/>
    <w:rsid w:val="000304A5"/>
    <w:rsid w:val="00031B77"/>
    <w:rsid w:val="00032174"/>
    <w:rsid w:val="00032AF1"/>
    <w:rsid w:val="00032EBA"/>
    <w:rsid w:val="0003311A"/>
    <w:rsid w:val="0003323D"/>
    <w:rsid w:val="00033E82"/>
    <w:rsid w:val="00034319"/>
    <w:rsid w:val="000348B9"/>
    <w:rsid w:val="00035318"/>
    <w:rsid w:val="0003553D"/>
    <w:rsid w:val="00036613"/>
    <w:rsid w:val="000366E9"/>
    <w:rsid w:val="000369F3"/>
    <w:rsid w:val="00036B24"/>
    <w:rsid w:val="00037220"/>
    <w:rsid w:val="00037382"/>
    <w:rsid w:val="00037615"/>
    <w:rsid w:val="000404FC"/>
    <w:rsid w:val="0004139D"/>
    <w:rsid w:val="0004236B"/>
    <w:rsid w:val="00042393"/>
    <w:rsid w:val="00042D07"/>
    <w:rsid w:val="00043179"/>
    <w:rsid w:val="00043899"/>
    <w:rsid w:val="00043985"/>
    <w:rsid w:val="00043CE5"/>
    <w:rsid w:val="0004422F"/>
    <w:rsid w:val="00044450"/>
    <w:rsid w:val="00044D2B"/>
    <w:rsid w:val="000454BD"/>
    <w:rsid w:val="00045753"/>
    <w:rsid w:val="00045DE0"/>
    <w:rsid w:val="000461A0"/>
    <w:rsid w:val="0004649E"/>
    <w:rsid w:val="0004664B"/>
    <w:rsid w:val="000469F1"/>
    <w:rsid w:val="00046E6B"/>
    <w:rsid w:val="00046F79"/>
    <w:rsid w:val="00047128"/>
    <w:rsid w:val="000474FD"/>
    <w:rsid w:val="000475F7"/>
    <w:rsid w:val="00047C7C"/>
    <w:rsid w:val="00050948"/>
    <w:rsid w:val="00050BA8"/>
    <w:rsid w:val="00050CA8"/>
    <w:rsid w:val="000511CB"/>
    <w:rsid w:val="00051368"/>
    <w:rsid w:val="00051605"/>
    <w:rsid w:val="00051C1D"/>
    <w:rsid w:val="00051EFC"/>
    <w:rsid w:val="000525B8"/>
    <w:rsid w:val="00052EEF"/>
    <w:rsid w:val="00052FAD"/>
    <w:rsid w:val="00053BAA"/>
    <w:rsid w:val="00053FB4"/>
    <w:rsid w:val="00054E09"/>
    <w:rsid w:val="00055917"/>
    <w:rsid w:val="00055BE5"/>
    <w:rsid w:val="000562B1"/>
    <w:rsid w:val="00056C2E"/>
    <w:rsid w:val="00056DB0"/>
    <w:rsid w:val="00060B66"/>
    <w:rsid w:val="00061157"/>
    <w:rsid w:val="0006157B"/>
    <w:rsid w:val="0006193C"/>
    <w:rsid w:val="00062326"/>
    <w:rsid w:val="00062620"/>
    <w:rsid w:val="00062790"/>
    <w:rsid w:val="00062AF7"/>
    <w:rsid w:val="00062DE5"/>
    <w:rsid w:val="00063398"/>
    <w:rsid w:val="000634FF"/>
    <w:rsid w:val="000638E7"/>
    <w:rsid w:val="00063AB2"/>
    <w:rsid w:val="00063ADB"/>
    <w:rsid w:val="00063FD9"/>
    <w:rsid w:val="000646FA"/>
    <w:rsid w:val="00064FCA"/>
    <w:rsid w:val="000654EC"/>
    <w:rsid w:val="0006605E"/>
    <w:rsid w:val="00066BE1"/>
    <w:rsid w:val="00066D38"/>
    <w:rsid w:val="000672BC"/>
    <w:rsid w:val="0006755E"/>
    <w:rsid w:val="00067873"/>
    <w:rsid w:val="00070261"/>
    <w:rsid w:val="0007027B"/>
    <w:rsid w:val="000704FE"/>
    <w:rsid w:val="00070621"/>
    <w:rsid w:val="000707BB"/>
    <w:rsid w:val="000709DE"/>
    <w:rsid w:val="00070B98"/>
    <w:rsid w:val="00071DB3"/>
    <w:rsid w:val="000726F4"/>
    <w:rsid w:val="0007271C"/>
    <w:rsid w:val="0007279D"/>
    <w:rsid w:val="00072B04"/>
    <w:rsid w:val="00072CE9"/>
    <w:rsid w:val="00072CFC"/>
    <w:rsid w:val="00072F53"/>
    <w:rsid w:val="000731F7"/>
    <w:rsid w:val="000731FC"/>
    <w:rsid w:val="00073576"/>
    <w:rsid w:val="000736EE"/>
    <w:rsid w:val="000737CE"/>
    <w:rsid w:val="00073896"/>
    <w:rsid w:val="00073987"/>
    <w:rsid w:val="00073A17"/>
    <w:rsid w:val="00073C7B"/>
    <w:rsid w:val="0007430E"/>
    <w:rsid w:val="0007443D"/>
    <w:rsid w:val="000744DD"/>
    <w:rsid w:val="000745E2"/>
    <w:rsid w:val="00074BC6"/>
    <w:rsid w:val="00075553"/>
    <w:rsid w:val="00075826"/>
    <w:rsid w:val="00075C84"/>
    <w:rsid w:val="000768D0"/>
    <w:rsid w:val="00076D90"/>
    <w:rsid w:val="00076E3A"/>
    <w:rsid w:val="00076F3A"/>
    <w:rsid w:val="00077018"/>
    <w:rsid w:val="00077368"/>
    <w:rsid w:val="0007789A"/>
    <w:rsid w:val="00077B46"/>
    <w:rsid w:val="00077B82"/>
    <w:rsid w:val="00080326"/>
    <w:rsid w:val="0008072D"/>
    <w:rsid w:val="00081392"/>
    <w:rsid w:val="0008191E"/>
    <w:rsid w:val="00081C92"/>
    <w:rsid w:val="00081E90"/>
    <w:rsid w:val="00081FEB"/>
    <w:rsid w:val="00081FF2"/>
    <w:rsid w:val="00082572"/>
    <w:rsid w:val="00082EC1"/>
    <w:rsid w:val="0008387F"/>
    <w:rsid w:val="000838EB"/>
    <w:rsid w:val="00083B32"/>
    <w:rsid w:val="00083C0D"/>
    <w:rsid w:val="00083D81"/>
    <w:rsid w:val="00084B17"/>
    <w:rsid w:val="00084DEE"/>
    <w:rsid w:val="00085456"/>
    <w:rsid w:val="000858F1"/>
    <w:rsid w:val="00086F75"/>
    <w:rsid w:val="00087369"/>
    <w:rsid w:val="0008740C"/>
    <w:rsid w:val="00087623"/>
    <w:rsid w:val="00090917"/>
    <w:rsid w:val="00090BCD"/>
    <w:rsid w:val="00090DC5"/>
    <w:rsid w:val="000912CB"/>
    <w:rsid w:val="000913B6"/>
    <w:rsid w:val="00091454"/>
    <w:rsid w:val="00091E72"/>
    <w:rsid w:val="00092C4F"/>
    <w:rsid w:val="00092D1D"/>
    <w:rsid w:val="00092F64"/>
    <w:rsid w:val="00093093"/>
    <w:rsid w:val="00093877"/>
    <w:rsid w:val="000951D3"/>
    <w:rsid w:val="000952D4"/>
    <w:rsid w:val="000957E1"/>
    <w:rsid w:val="000957FD"/>
    <w:rsid w:val="0009626C"/>
    <w:rsid w:val="00097838"/>
    <w:rsid w:val="00097E4A"/>
    <w:rsid w:val="000A023E"/>
    <w:rsid w:val="000A0657"/>
    <w:rsid w:val="000A0BC1"/>
    <w:rsid w:val="000A1010"/>
    <w:rsid w:val="000A10AE"/>
    <w:rsid w:val="000A1481"/>
    <w:rsid w:val="000A159B"/>
    <w:rsid w:val="000A32ED"/>
    <w:rsid w:val="000A346D"/>
    <w:rsid w:val="000A3583"/>
    <w:rsid w:val="000A38B4"/>
    <w:rsid w:val="000A38E8"/>
    <w:rsid w:val="000A3B49"/>
    <w:rsid w:val="000A4518"/>
    <w:rsid w:val="000A4E7E"/>
    <w:rsid w:val="000A56DA"/>
    <w:rsid w:val="000A5826"/>
    <w:rsid w:val="000A5DD3"/>
    <w:rsid w:val="000A6125"/>
    <w:rsid w:val="000A67E9"/>
    <w:rsid w:val="000A6B57"/>
    <w:rsid w:val="000B010A"/>
    <w:rsid w:val="000B06E0"/>
    <w:rsid w:val="000B0E15"/>
    <w:rsid w:val="000B1631"/>
    <w:rsid w:val="000B1929"/>
    <w:rsid w:val="000B194F"/>
    <w:rsid w:val="000B1C81"/>
    <w:rsid w:val="000B2264"/>
    <w:rsid w:val="000B2B92"/>
    <w:rsid w:val="000B30C3"/>
    <w:rsid w:val="000B3C83"/>
    <w:rsid w:val="000B4479"/>
    <w:rsid w:val="000B5A9F"/>
    <w:rsid w:val="000B6272"/>
    <w:rsid w:val="000B62C7"/>
    <w:rsid w:val="000B64B2"/>
    <w:rsid w:val="000B64E9"/>
    <w:rsid w:val="000B6524"/>
    <w:rsid w:val="000B6894"/>
    <w:rsid w:val="000B6E7E"/>
    <w:rsid w:val="000B7220"/>
    <w:rsid w:val="000B7E6C"/>
    <w:rsid w:val="000C11BB"/>
    <w:rsid w:val="000C1305"/>
    <w:rsid w:val="000C1537"/>
    <w:rsid w:val="000C17B9"/>
    <w:rsid w:val="000C2249"/>
    <w:rsid w:val="000C2273"/>
    <w:rsid w:val="000C2B9E"/>
    <w:rsid w:val="000C2FCE"/>
    <w:rsid w:val="000C3B95"/>
    <w:rsid w:val="000C49C6"/>
    <w:rsid w:val="000C4A18"/>
    <w:rsid w:val="000C4CDD"/>
    <w:rsid w:val="000C5489"/>
    <w:rsid w:val="000C60C5"/>
    <w:rsid w:val="000C66CD"/>
    <w:rsid w:val="000C66EE"/>
    <w:rsid w:val="000C6A0B"/>
    <w:rsid w:val="000C6B6B"/>
    <w:rsid w:val="000C6BFC"/>
    <w:rsid w:val="000C72AF"/>
    <w:rsid w:val="000C7A73"/>
    <w:rsid w:val="000C7B67"/>
    <w:rsid w:val="000C7CCA"/>
    <w:rsid w:val="000D0D22"/>
    <w:rsid w:val="000D1518"/>
    <w:rsid w:val="000D243A"/>
    <w:rsid w:val="000D24BD"/>
    <w:rsid w:val="000D24E9"/>
    <w:rsid w:val="000D25CE"/>
    <w:rsid w:val="000D2D2F"/>
    <w:rsid w:val="000D3259"/>
    <w:rsid w:val="000D34F9"/>
    <w:rsid w:val="000D36F0"/>
    <w:rsid w:val="000D4296"/>
    <w:rsid w:val="000D44C6"/>
    <w:rsid w:val="000D45BF"/>
    <w:rsid w:val="000D5A30"/>
    <w:rsid w:val="000D5BF8"/>
    <w:rsid w:val="000D5C43"/>
    <w:rsid w:val="000D66BD"/>
    <w:rsid w:val="000D6F0C"/>
    <w:rsid w:val="000D6F53"/>
    <w:rsid w:val="000D76F5"/>
    <w:rsid w:val="000D788A"/>
    <w:rsid w:val="000D7C9C"/>
    <w:rsid w:val="000E02AE"/>
    <w:rsid w:val="000E02F0"/>
    <w:rsid w:val="000E091E"/>
    <w:rsid w:val="000E0991"/>
    <w:rsid w:val="000E0E51"/>
    <w:rsid w:val="000E0F2A"/>
    <w:rsid w:val="000E10E9"/>
    <w:rsid w:val="000E220C"/>
    <w:rsid w:val="000E24A8"/>
    <w:rsid w:val="000E274D"/>
    <w:rsid w:val="000E3225"/>
    <w:rsid w:val="000E34E9"/>
    <w:rsid w:val="000E3664"/>
    <w:rsid w:val="000E3809"/>
    <w:rsid w:val="000E3863"/>
    <w:rsid w:val="000E398F"/>
    <w:rsid w:val="000E3E89"/>
    <w:rsid w:val="000E3F0D"/>
    <w:rsid w:val="000E3FB9"/>
    <w:rsid w:val="000E41AC"/>
    <w:rsid w:val="000E4F75"/>
    <w:rsid w:val="000E55AB"/>
    <w:rsid w:val="000E596D"/>
    <w:rsid w:val="000E5C3A"/>
    <w:rsid w:val="000E5CE1"/>
    <w:rsid w:val="000E63D8"/>
    <w:rsid w:val="000E6592"/>
    <w:rsid w:val="000E682B"/>
    <w:rsid w:val="000E6928"/>
    <w:rsid w:val="000E73E7"/>
    <w:rsid w:val="000E79D8"/>
    <w:rsid w:val="000E7AAB"/>
    <w:rsid w:val="000F06A0"/>
    <w:rsid w:val="000F0DA6"/>
    <w:rsid w:val="000F19E8"/>
    <w:rsid w:val="000F23EC"/>
    <w:rsid w:val="000F2A85"/>
    <w:rsid w:val="000F3277"/>
    <w:rsid w:val="000F33A2"/>
    <w:rsid w:val="000F3476"/>
    <w:rsid w:val="000F364B"/>
    <w:rsid w:val="000F3870"/>
    <w:rsid w:val="000F3AE9"/>
    <w:rsid w:val="000F3C36"/>
    <w:rsid w:val="000F4455"/>
    <w:rsid w:val="000F5289"/>
    <w:rsid w:val="000F53F9"/>
    <w:rsid w:val="000F5641"/>
    <w:rsid w:val="000F5DCA"/>
    <w:rsid w:val="000F6CFE"/>
    <w:rsid w:val="000F7397"/>
    <w:rsid w:val="000F7407"/>
    <w:rsid w:val="000F7996"/>
    <w:rsid w:val="000F7CE4"/>
    <w:rsid w:val="00101610"/>
    <w:rsid w:val="00101A5E"/>
    <w:rsid w:val="00101B7F"/>
    <w:rsid w:val="00101F3C"/>
    <w:rsid w:val="00102692"/>
    <w:rsid w:val="001027CE"/>
    <w:rsid w:val="0010338C"/>
    <w:rsid w:val="001036FA"/>
    <w:rsid w:val="0010405A"/>
    <w:rsid w:val="00104312"/>
    <w:rsid w:val="00104EA9"/>
    <w:rsid w:val="00106441"/>
    <w:rsid w:val="00106541"/>
    <w:rsid w:val="00106ACA"/>
    <w:rsid w:val="00106C59"/>
    <w:rsid w:val="00106D1B"/>
    <w:rsid w:val="0010712E"/>
    <w:rsid w:val="00107222"/>
    <w:rsid w:val="001075D9"/>
    <w:rsid w:val="00107DA5"/>
    <w:rsid w:val="00110368"/>
    <w:rsid w:val="00110596"/>
    <w:rsid w:val="00110C42"/>
    <w:rsid w:val="00111174"/>
    <w:rsid w:val="001116EB"/>
    <w:rsid w:val="00111D45"/>
    <w:rsid w:val="001122BC"/>
    <w:rsid w:val="001125CB"/>
    <w:rsid w:val="00112F26"/>
    <w:rsid w:val="00112FB8"/>
    <w:rsid w:val="00114971"/>
    <w:rsid w:val="00115251"/>
    <w:rsid w:val="00115257"/>
    <w:rsid w:val="0011526A"/>
    <w:rsid w:val="0011528A"/>
    <w:rsid w:val="001152E1"/>
    <w:rsid w:val="001153A8"/>
    <w:rsid w:val="00115A33"/>
    <w:rsid w:val="00115E06"/>
    <w:rsid w:val="001160FB"/>
    <w:rsid w:val="00116343"/>
    <w:rsid w:val="0011634B"/>
    <w:rsid w:val="001165AA"/>
    <w:rsid w:val="00116B08"/>
    <w:rsid w:val="00117BE4"/>
    <w:rsid w:val="001200E6"/>
    <w:rsid w:val="00120669"/>
    <w:rsid w:val="00121A4B"/>
    <w:rsid w:val="00121B66"/>
    <w:rsid w:val="0012318C"/>
    <w:rsid w:val="00123337"/>
    <w:rsid w:val="00123845"/>
    <w:rsid w:val="00123B4A"/>
    <w:rsid w:val="00123C6A"/>
    <w:rsid w:val="00123F64"/>
    <w:rsid w:val="00124250"/>
    <w:rsid w:val="0012425A"/>
    <w:rsid w:val="001244DE"/>
    <w:rsid w:val="00124B33"/>
    <w:rsid w:val="00124C59"/>
    <w:rsid w:val="00124C7D"/>
    <w:rsid w:val="00125108"/>
    <w:rsid w:val="00125AD4"/>
    <w:rsid w:val="00125E78"/>
    <w:rsid w:val="00125FB5"/>
    <w:rsid w:val="00126F5E"/>
    <w:rsid w:val="00127188"/>
    <w:rsid w:val="0012719E"/>
    <w:rsid w:val="00127605"/>
    <w:rsid w:val="00127EA7"/>
    <w:rsid w:val="00127FDB"/>
    <w:rsid w:val="00130C18"/>
    <w:rsid w:val="00130E87"/>
    <w:rsid w:val="00130E95"/>
    <w:rsid w:val="00130F42"/>
    <w:rsid w:val="0013123A"/>
    <w:rsid w:val="0013177E"/>
    <w:rsid w:val="0013188E"/>
    <w:rsid w:val="00131E76"/>
    <w:rsid w:val="00132127"/>
    <w:rsid w:val="0013266B"/>
    <w:rsid w:val="00132983"/>
    <w:rsid w:val="00132C88"/>
    <w:rsid w:val="00132F40"/>
    <w:rsid w:val="00133C7B"/>
    <w:rsid w:val="00133F87"/>
    <w:rsid w:val="00134A54"/>
    <w:rsid w:val="00135AD6"/>
    <w:rsid w:val="00136833"/>
    <w:rsid w:val="00137B3B"/>
    <w:rsid w:val="00137BBA"/>
    <w:rsid w:val="00137E82"/>
    <w:rsid w:val="001404D7"/>
    <w:rsid w:val="001407EE"/>
    <w:rsid w:val="001409EF"/>
    <w:rsid w:val="00140FEA"/>
    <w:rsid w:val="00141555"/>
    <w:rsid w:val="00141D86"/>
    <w:rsid w:val="00142476"/>
    <w:rsid w:val="00142544"/>
    <w:rsid w:val="00142590"/>
    <w:rsid w:val="0014284B"/>
    <w:rsid w:val="00142A2E"/>
    <w:rsid w:val="00142A82"/>
    <w:rsid w:val="00143188"/>
    <w:rsid w:val="0014395D"/>
    <w:rsid w:val="00144F51"/>
    <w:rsid w:val="00145106"/>
    <w:rsid w:val="0014544A"/>
    <w:rsid w:val="0014629A"/>
    <w:rsid w:val="0014657A"/>
    <w:rsid w:val="00146802"/>
    <w:rsid w:val="001469EE"/>
    <w:rsid w:val="00146FD0"/>
    <w:rsid w:val="001471EF"/>
    <w:rsid w:val="00147B2A"/>
    <w:rsid w:val="00147DB2"/>
    <w:rsid w:val="00147FAC"/>
    <w:rsid w:val="001510A7"/>
    <w:rsid w:val="0015191B"/>
    <w:rsid w:val="00151940"/>
    <w:rsid w:val="00152031"/>
    <w:rsid w:val="001522C4"/>
    <w:rsid w:val="001525FE"/>
    <w:rsid w:val="001529EA"/>
    <w:rsid w:val="00152CAA"/>
    <w:rsid w:val="001530D6"/>
    <w:rsid w:val="00153A6C"/>
    <w:rsid w:val="00153CC8"/>
    <w:rsid w:val="0015402E"/>
    <w:rsid w:val="001555C2"/>
    <w:rsid w:val="00155665"/>
    <w:rsid w:val="00155CC4"/>
    <w:rsid w:val="00155E8B"/>
    <w:rsid w:val="001561AC"/>
    <w:rsid w:val="001565A7"/>
    <w:rsid w:val="001567D9"/>
    <w:rsid w:val="00156BB9"/>
    <w:rsid w:val="00156E2F"/>
    <w:rsid w:val="00156E36"/>
    <w:rsid w:val="00157E03"/>
    <w:rsid w:val="001603C7"/>
    <w:rsid w:val="001615CD"/>
    <w:rsid w:val="00161909"/>
    <w:rsid w:val="00161E7A"/>
    <w:rsid w:val="00161FE2"/>
    <w:rsid w:val="00162067"/>
    <w:rsid w:val="00162141"/>
    <w:rsid w:val="001622BC"/>
    <w:rsid w:val="00162494"/>
    <w:rsid w:val="00162661"/>
    <w:rsid w:val="00162B5F"/>
    <w:rsid w:val="00163082"/>
    <w:rsid w:val="001630B5"/>
    <w:rsid w:val="001632C6"/>
    <w:rsid w:val="00163712"/>
    <w:rsid w:val="00163AD0"/>
    <w:rsid w:val="00163EC6"/>
    <w:rsid w:val="00164619"/>
    <w:rsid w:val="00164A7D"/>
    <w:rsid w:val="00164D76"/>
    <w:rsid w:val="00164D80"/>
    <w:rsid w:val="00164EE6"/>
    <w:rsid w:val="00165335"/>
    <w:rsid w:val="001659C7"/>
    <w:rsid w:val="00165FF1"/>
    <w:rsid w:val="00166746"/>
    <w:rsid w:val="001668A1"/>
    <w:rsid w:val="00166A07"/>
    <w:rsid w:val="00166EE7"/>
    <w:rsid w:val="001676B3"/>
    <w:rsid w:val="00167955"/>
    <w:rsid w:val="00170341"/>
    <w:rsid w:val="0017045D"/>
    <w:rsid w:val="00170627"/>
    <w:rsid w:val="00170763"/>
    <w:rsid w:val="00170A97"/>
    <w:rsid w:val="00170F06"/>
    <w:rsid w:val="00170F9C"/>
    <w:rsid w:val="00170FC2"/>
    <w:rsid w:val="001713E7"/>
    <w:rsid w:val="001715CF"/>
    <w:rsid w:val="001722AD"/>
    <w:rsid w:val="001722D0"/>
    <w:rsid w:val="001723F8"/>
    <w:rsid w:val="001724F0"/>
    <w:rsid w:val="0017382B"/>
    <w:rsid w:val="00173ECD"/>
    <w:rsid w:val="00174828"/>
    <w:rsid w:val="00174AC9"/>
    <w:rsid w:val="00174B81"/>
    <w:rsid w:val="00174F30"/>
    <w:rsid w:val="00175C80"/>
    <w:rsid w:val="00176070"/>
    <w:rsid w:val="00176D54"/>
    <w:rsid w:val="00176D5C"/>
    <w:rsid w:val="00177165"/>
    <w:rsid w:val="00177498"/>
    <w:rsid w:val="00177C2A"/>
    <w:rsid w:val="00180477"/>
    <w:rsid w:val="001808B0"/>
    <w:rsid w:val="00180B55"/>
    <w:rsid w:val="00180B63"/>
    <w:rsid w:val="001813B2"/>
    <w:rsid w:val="0018141F"/>
    <w:rsid w:val="0018159E"/>
    <w:rsid w:val="00182B4A"/>
    <w:rsid w:val="00182B90"/>
    <w:rsid w:val="001837A3"/>
    <w:rsid w:val="00183C39"/>
    <w:rsid w:val="001864C5"/>
    <w:rsid w:val="001868CD"/>
    <w:rsid w:val="00186995"/>
    <w:rsid w:val="00186E76"/>
    <w:rsid w:val="00186E82"/>
    <w:rsid w:val="001870BF"/>
    <w:rsid w:val="0018757B"/>
    <w:rsid w:val="001900B4"/>
    <w:rsid w:val="0019060F"/>
    <w:rsid w:val="0019094F"/>
    <w:rsid w:val="00190C88"/>
    <w:rsid w:val="00190D56"/>
    <w:rsid w:val="001911C8"/>
    <w:rsid w:val="0019151A"/>
    <w:rsid w:val="001915EC"/>
    <w:rsid w:val="00191701"/>
    <w:rsid w:val="00192681"/>
    <w:rsid w:val="00192AD6"/>
    <w:rsid w:val="00192E64"/>
    <w:rsid w:val="00193306"/>
    <w:rsid w:val="00194978"/>
    <w:rsid w:val="00194BFB"/>
    <w:rsid w:val="001957CA"/>
    <w:rsid w:val="001958B7"/>
    <w:rsid w:val="00195AC1"/>
    <w:rsid w:val="00195CA0"/>
    <w:rsid w:val="00195D1A"/>
    <w:rsid w:val="00195EB3"/>
    <w:rsid w:val="00196274"/>
    <w:rsid w:val="001965E7"/>
    <w:rsid w:val="001965F0"/>
    <w:rsid w:val="00196746"/>
    <w:rsid w:val="001970F1"/>
    <w:rsid w:val="001977B0"/>
    <w:rsid w:val="00197894"/>
    <w:rsid w:val="001A0113"/>
    <w:rsid w:val="001A01AE"/>
    <w:rsid w:val="001A085F"/>
    <w:rsid w:val="001A115C"/>
    <w:rsid w:val="001A12A8"/>
    <w:rsid w:val="001A15AD"/>
    <w:rsid w:val="001A16B0"/>
    <w:rsid w:val="001A1DD0"/>
    <w:rsid w:val="001A1E13"/>
    <w:rsid w:val="001A2691"/>
    <w:rsid w:val="001A2920"/>
    <w:rsid w:val="001A339D"/>
    <w:rsid w:val="001A37FE"/>
    <w:rsid w:val="001A38DD"/>
    <w:rsid w:val="001A3BFA"/>
    <w:rsid w:val="001A3E34"/>
    <w:rsid w:val="001A4538"/>
    <w:rsid w:val="001A4D33"/>
    <w:rsid w:val="001A51EE"/>
    <w:rsid w:val="001A587B"/>
    <w:rsid w:val="001A63B4"/>
    <w:rsid w:val="001A63D5"/>
    <w:rsid w:val="001A6A53"/>
    <w:rsid w:val="001A71C6"/>
    <w:rsid w:val="001A7B6B"/>
    <w:rsid w:val="001B075F"/>
    <w:rsid w:val="001B128F"/>
    <w:rsid w:val="001B2066"/>
    <w:rsid w:val="001B26BF"/>
    <w:rsid w:val="001B33A5"/>
    <w:rsid w:val="001B381C"/>
    <w:rsid w:val="001B4ADE"/>
    <w:rsid w:val="001B4BEE"/>
    <w:rsid w:val="001B4CA1"/>
    <w:rsid w:val="001B5039"/>
    <w:rsid w:val="001B5884"/>
    <w:rsid w:val="001B5E22"/>
    <w:rsid w:val="001B628F"/>
    <w:rsid w:val="001B678A"/>
    <w:rsid w:val="001B6E42"/>
    <w:rsid w:val="001B724F"/>
    <w:rsid w:val="001B7874"/>
    <w:rsid w:val="001B7F95"/>
    <w:rsid w:val="001C0942"/>
    <w:rsid w:val="001C14A1"/>
    <w:rsid w:val="001C1EF7"/>
    <w:rsid w:val="001C22A4"/>
    <w:rsid w:val="001C2C2D"/>
    <w:rsid w:val="001C319C"/>
    <w:rsid w:val="001C32B6"/>
    <w:rsid w:val="001C362F"/>
    <w:rsid w:val="001C3D3D"/>
    <w:rsid w:val="001C4CCA"/>
    <w:rsid w:val="001C5311"/>
    <w:rsid w:val="001C617A"/>
    <w:rsid w:val="001C65AE"/>
    <w:rsid w:val="001C6D15"/>
    <w:rsid w:val="001C6F21"/>
    <w:rsid w:val="001C735B"/>
    <w:rsid w:val="001C7FB7"/>
    <w:rsid w:val="001D005E"/>
    <w:rsid w:val="001D0665"/>
    <w:rsid w:val="001D081A"/>
    <w:rsid w:val="001D0A3F"/>
    <w:rsid w:val="001D0DCE"/>
    <w:rsid w:val="001D0F9E"/>
    <w:rsid w:val="001D1020"/>
    <w:rsid w:val="001D10A3"/>
    <w:rsid w:val="001D1576"/>
    <w:rsid w:val="001D1698"/>
    <w:rsid w:val="001D19F5"/>
    <w:rsid w:val="001D2796"/>
    <w:rsid w:val="001D2FF4"/>
    <w:rsid w:val="001D3B81"/>
    <w:rsid w:val="001D3C2A"/>
    <w:rsid w:val="001D3EDA"/>
    <w:rsid w:val="001D4106"/>
    <w:rsid w:val="001D421E"/>
    <w:rsid w:val="001D4AB1"/>
    <w:rsid w:val="001D4C3D"/>
    <w:rsid w:val="001D50AF"/>
    <w:rsid w:val="001D5C94"/>
    <w:rsid w:val="001D609D"/>
    <w:rsid w:val="001D6254"/>
    <w:rsid w:val="001D68E1"/>
    <w:rsid w:val="001E02A4"/>
    <w:rsid w:val="001E0667"/>
    <w:rsid w:val="001E0960"/>
    <w:rsid w:val="001E0EEC"/>
    <w:rsid w:val="001E12C0"/>
    <w:rsid w:val="001E18A8"/>
    <w:rsid w:val="001E190F"/>
    <w:rsid w:val="001E1A12"/>
    <w:rsid w:val="001E1FF7"/>
    <w:rsid w:val="001E276D"/>
    <w:rsid w:val="001E2C57"/>
    <w:rsid w:val="001E2E89"/>
    <w:rsid w:val="001E325A"/>
    <w:rsid w:val="001E3CF1"/>
    <w:rsid w:val="001E3F3E"/>
    <w:rsid w:val="001E493B"/>
    <w:rsid w:val="001E507E"/>
    <w:rsid w:val="001E57A3"/>
    <w:rsid w:val="001E5852"/>
    <w:rsid w:val="001E5CD3"/>
    <w:rsid w:val="001E6A43"/>
    <w:rsid w:val="001E6B69"/>
    <w:rsid w:val="001F080F"/>
    <w:rsid w:val="001F1BE2"/>
    <w:rsid w:val="001F2758"/>
    <w:rsid w:val="001F2A72"/>
    <w:rsid w:val="001F2B1D"/>
    <w:rsid w:val="001F3139"/>
    <w:rsid w:val="001F34F0"/>
    <w:rsid w:val="001F46CC"/>
    <w:rsid w:val="001F470E"/>
    <w:rsid w:val="001F4E48"/>
    <w:rsid w:val="001F4E85"/>
    <w:rsid w:val="001F6554"/>
    <w:rsid w:val="001F67C2"/>
    <w:rsid w:val="001F6C90"/>
    <w:rsid w:val="001F720F"/>
    <w:rsid w:val="001F7265"/>
    <w:rsid w:val="001F776C"/>
    <w:rsid w:val="002000DF"/>
    <w:rsid w:val="00200397"/>
    <w:rsid w:val="00200620"/>
    <w:rsid w:val="00200738"/>
    <w:rsid w:val="00200BB8"/>
    <w:rsid w:val="00200FD9"/>
    <w:rsid w:val="002012DB"/>
    <w:rsid w:val="002014F1"/>
    <w:rsid w:val="0020162C"/>
    <w:rsid w:val="00201827"/>
    <w:rsid w:val="00201912"/>
    <w:rsid w:val="002032F6"/>
    <w:rsid w:val="00203EAA"/>
    <w:rsid w:val="00204B33"/>
    <w:rsid w:val="00204E8E"/>
    <w:rsid w:val="0020561E"/>
    <w:rsid w:val="0020594D"/>
    <w:rsid w:val="00205C47"/>
    <w:rsid w:val="0020667D"/>
    <w:rsid w:val="00206706"/>
    <w:rsid w:val="00206E39"/>
    <w:rsid w:val="002076FE"/>
    <w:rsid w:val="002077B3"/>
    <w:rsid w:val="00207981"/>
    <w:rsid w:val="00207FA9"/>
    <w:rsid w:val="0021018D"/>
    <w:rsid w:val="00210221"/>
    <w:rsid w:val="002102C4"/>
    <w:rsid w:val="0021042A"/>
    <w:rsid w:val="0021095A"/>
    <w:rsid w:val="00211021"/>
    <w:rsid w:val="0021194B"/>
    <w:rsid w:val="00211C44"/>
    <w:rsid w:val="00211C52"/>
    <w:rsid w:val="00211D8D"/>
    <w:rsid w:val="00211F57"/>
    <w:rsid w:val="0021203A"/>
    <w:rsid w:val="0021245B"/>
    <w:rsid w:val="002128B7"/>
    <w:rsid w:val="0021325B"/>
    <w:rsid w:val="00213C51"/>
    <w:rsid w:val="00213FE4"/>
    <w:rsid w:val="0021408B"/>
    <w:rsid w:val="0021586B"/>
    <w:rsid w:val="00215905"/>
    <w:rsid w:val="00216E4C"/>
    <w:rsid w:val="002178B3"/>
    <w:rsid w:val="00220456"/>
    <w:rsid w:val="002213E7"/>
    <w:rsid w:val="00221566"/>
    <w:rsid w:val="002218F0"/>
    <w:rsid w:val="00222025"/>
    <w:rsid w:val="00222193"/>
    <w:rsid w:val="00222763"/>
    <w:rsid w:val="002233DE"/>
    <w:rsid w:val="0022340F"/>
    <w:rsid w:val="00223B80"/>
    <w:rsid w:val="00223EF3"/>
    <w:rsid w:val="00224120"/>
    <w:rsid w:val="0022445F"/>
    <w:rsid w:val="00224761"/>
    <w:rsid w:val="00224CBF"/>
    <w:rsid w:val="00224DC7"/>
    <w:rsid w:val="00225E76"/>
    <w:rsid w:val="00225F44"/>
    <w:rsid w:val="002263F4"/>
    <w:rsid w:val="00226DAE"/>
    <w:rsid w:val="00227C04"/>
    <w:rsid w:val="002300D1"/>
    <w:rsid w:val="00230548"/>
    <w:rsid w:val="00230857"/>
    <w:rsid w:val="00230A2D"/>
    <w:rsid w:val="00230D82"/>
    <w:rsid w:val="002312D3"/>
    <w:rsid w:val="0023138A"/>
    <w:rsid w:val="00231B3D"/>
    <w:rsid w:val="00232676"/>
    <w:rsid w:val="00232BB9"/>
    <w:rsid w:val="00232DE7"/>
    <w:rsid w:val="00232EDB"/>
    <w:rsid w:val="002331B8"/>
    <w:rsid w:val="00233BC3"/>
    <w:rsid w:val="00233C9C"/>
    <w:rsid w:val="002345A2"/>
    <w:rsid w:val="00234737"/>
    <w:rsid w:val="002347F8"/>
    <w:rsid w:val="00234AE3"/>
    <w:rsid w:val="00235171"/>
    <w:rsid w:val="00235CE4"/>
    <w:rsid w:val="00235DE0"/>
    <w:rsid w:val="00236567"/>
    <w:rsid w:val="00236874"/>
    <w:rsid w:val="002371DE"/>
    <w:rsid w:val="0023782B"/>
    <w:rsid w:val="00237864"/>
    <w:rsid w:val="0023788D"/>
    <w:rsid w:val="002401F5"/>
    <w:rsid w:val="00240525"/>
    <w:rsid w:val="002407F7"/>
    <w:rsid w:val="00240C08"/>
    <w:rsid w:val="00240C32"/>
    <w:rsid w:val="00241AE5"/>
    <w:rsid w:val="002422E6"/>
    <w:rsid w:val="00242344"/>
    <w:rsid w:val="00242836"/>
    <w:rsid w:val="0024370A"/>
    <w:rsid w:val="00243B03"/>
    <w:rsid w:val="00243D2A"/>
    <w:rsid w:val="00244908"/>
    <w:rsid w:val="00244A12"/>
    <w:rsid w:val="00244CFA"/>
    <w:rsid w:val="002456BA"/>
    <w:rsid w:val="002461B8"/>
    <w:rsid w:val="002468E7"/>
    <w:rsid w:val="00246AB8"/>
    <w:rsid w:val="00246B43"/>
    <w:rsid w:val="00246BF5"/>
    <w:rsid w:val="00246D97"/>
    <w:rsid w:val="0024770C"/>
    <w:rsid w:val="00247A92"/>
    <w:rsid w:val="002505BE"/>
    <w:rsid w:val="00250DD8"/>
    <w:rsid w:val="00252D72"/>
    <w:rsid w:val="00253D4E"/>
    <w:rsid w:val="00253D6A"/>
    <w:rsid w:val="00253D83"/>
    <w:rsid w:val="00254F5B"/>
    <w:rsid w:val="0025504B"/>
    <w:rsid w:val="0025505E"/>
    <w:rsid w:val="00255221"/>
    <w:rsid w:val="00256F28"/>
    <w:rsid w:val="00257068"/>
    <w:rsid w:val="00257193"/>
    <w:rsid w:val="00257862"/>
    <w:rsid w:val="00257B6C"/>
    <w:rsid w:val="00257EB3"/>
    <w:rsid w:val="00260BC5"/>
    <w:rsid w:val="00260E22"/>
    <w:rsid w:val="00260E3F"/>
    <w:rsid w:val="00261316"/>
    <w:rsid w:val="00261387"/>
    <w:rsid w:val="00261E5F"/>
    <w:rsid w:val="00261EB9"/>
    <w:rsid w:val="002620E1"/>
    <w:rsid w:val="00262402"/>
    <w:rsid w:val="0026270C"/>
    <w:rsid w:val="002627CA"/>
    <w:rsid w:val="0026300C"/>
    <w:rsid w:val="002635FD"/>
    <w:rsid w:val="00263800"/>
    <w:rsid w:val="00263814"/>
    <w:rsid w:val="002640F2"/>
    <w:rsid w:val="0026423D"/>
    <w:rsid w:val="00264732"/>
    <w:rsid w:val="0026494A"/>
    <w:rsid w:val="00265C62"/>
    <w:rsid w:val="00265DF3"/>
    <w:rsid w:val="00265FD4"/>
    <w:rsid w:val="0026643E"/>
    <w:rsid w:val="00266A17"/>
    <w:rsid w:val="00267086"/>
    <w:rsid w:val="00267139"/>
    <w:rsid w:val="0026741D"/>
    <w:rsid w:val="00267AD3"/>
    <w:rsid w:val="00267CF3"/>
    <w:rsid w:val="00267CFC"/>
    <w:rsid w:val="00270B97"/>
    <w:rsid w:val="00271A2D"/>
    <w:rsid w:val="00271A69"/>
    <w:rsid w:val="00271E15"/>
    <w:rsid w:val="00272E27"/>
    <w:rsid w:val="00273289"/>
    <w:rsid w:val="00273366"/>
    <w:rsid w:val="00273926"/>
    <w:rsid w:val="0027486B"/>
    <w:rsid w:val="002757B3"/>
    <w:rsid w:val="00275A3E"/>
    <w:rsid w:val="00275D9E"/>
    <w:rsid w:val="00276ADD"/>
    <w:rsid w:val="00276DCB"/>
    <w:rsid w:val="00276FAF"/>
    <w:rsid w:val="00277405"/>
    <w:rsid w:val="0027746D"/>
    <w:rsid w:val="0027780D"/>
    <w:rsid w:val="0028002C"/>
    <w:rsid w:val="00280112"/>
    <w:rsid w:val="00280794"/>
    <w:rsid w:val="002807BB"/>
    <w:rsid w:val="00281227"/>
    <w:rsid w:val="00281BD1"/>
    <w:rsid w:val="0028223C"/>
    <w:rsid w:val="00282780"/>
    <w:rsid w:val="00283123"/>
    <w:rsid w:val="00283330"/>
    <w:rsid w:val="0028341C"/>
    <w:rsid w:val="00283A12"/>
    <w:rsid w:val="00284B00"/>
    <w:rsid w:val="0028531E"/>
    <w:rsid w:val="002856F2"/>
    <w:rsid w:val="00285C9A"/>
    <w:rsid w:val="00285CE4"/>
    <w:rsid w:val="00285E2F"/>
    <w:rsid w:val="00286C0E"/>
    <w:rsid w:val="00286C95"/>
    <w:rsid w:val="002876A3"/>
    <w:rsid w:val="002876CD"/>
    <w:rsid w:val="00287A5F"/>
    <w:rsid w:val="00290BAA"/>
    <w:rsid w:val="00290E5A"/>
    <w:rsid w:val="00291550"/>
    <w:rsid w:val="00291C0C"/>
    <w:rsid w:val="00291C5C"/>
    <w:rsid w:val="00291D9F"/>
    <w:rsid w:val="0029274E"/>
    <w:rsid w:val="002931C9"/>
    <w:rsid w:val="002933DF"/>
    <w:rsid w:val="0029371A"/>
    <w:rsid w:val="0029407A"/>
    <w:rsid w:val="00294549"/>
    <w:rsid w:val="00294960"/>
    <w:rsid w:val="00294C0D"/>
    <w:rsid w:val="00294CB7"/>
    <w:rsid w:val="00294DDA"/>
    <w:rsid w:val="00294F9C"/>
    <w:rsid w:val="00295829"/>
    <w:rsid w:val="0029583B"/>
    <w:rsid w:val="00295E3F"/>
    <w:rsid w:val="00296174"/>
    <w:rsid w:val="002966B2"/>
    <w:rsid w:val="00296B19"/>
    <w:rsid w:val="002978C1"/>
    <w:rsid w:val="00297A6E"/>
    <w:rsid w:val="00297F44"/>
    <w:rsid w:val="002A0E0C"/>
    <w:rsid w:val="002A101F"/>
    <w:rsid w:val="002A1904"/>
    <w:rsid w:val="002A1ACE"/>
    <w:rsid w:val="002A2B37"/>
    <w:rsid w:val="002A332E"/>
    <w:rsid w:val="002A354F"/>
    <w:rsid w:val="002A3A77"/>
    <w:rsid w:val="002A3DE1"/>
    <w:rsid w:val="002A3F98"/>
    <w:rsid w:val="002A43E9"/>
    <w:rsid w:val="002A5318"/>
    <w:rsid w:val="002A5927"/>
    <w:rsid w:val="002A5A24"/>
    <w:rsid w:val="002A5F70"/>
    <w:rsid w:val="002A6940"/>
    <w:rsid w:val="002A6974"/>
    <w:rsid w:val="002A6CC1"/>
    <w:rsid w:val="002A7210"/>
    <w:rsid w:val="002A7781"/>
    <w:rsid w:val="002A787B"/>
    <w:rsid w:val="002A7A1F"/>
    <w:rsid w:val="002A7B3E"/>
    <w:rsid w:val="002A7EAE"/>
    <w:rsid w:val="002A7ED3"/>
    <w:rsid w:val="002A7F32"/>
    <w:rsid w:val="002B0327"/>
    <w:rsid w:val="002B0334"/>
    <w:rsid w:val="002B038E"/>
    <w:rsid w:val="002B047D"/>
    <w:rsid w:val="002B07E5"/>
    <w:rsid w:val="002B0A94"/>
    <w:rsid w:val="002B2511"/>
    <w:rsid w:val="002B264D"/>
    <w:rsid w:val="002B2A76"/>
    <w:rsid w:val="002B317D"/>
    <w:rsid w:val="002B324F"/>
    <w:rsid w:val="002B3F4C"/>
    <w:rsid w:val="002B3FA0"/>
    <w:rsid w:val="002B4069"/>
    <w:rsid w:val="002B41BA"/>
    <w:rsid w:val="002B427A"/>
    <w:rsid w:val="002B4E51"/>
    <w:rsid w:val="002B5980"/>
    <w:rsid w:val="002B5C0B"/>
    <w:rsid w:val="002B5C81"/>
    <w:rsid w:val="002B6974"/>
    <w:rsid w:val="002B69A2"/>
    <w:rsid w:val="002B7C29"/>
    <w:rsid w:val="002B7E48"/>
    <w:rsid w:val="002C0143"/>
    <w:rsid w:val="002C06CD"/>
    <w:rsid w:val="002C0939"/>
    <w:rsid w:val="002C0EAF"/>
    <w:rsid w:val="002C14CF"/>
    <w:rsid w:val="002C15D8"/>
    <w:rsid w:val="002C2CF9"/>
    <w:rsid w:val="002C3519"/>
    <w:rsid w:val="002C37F8"/>
    <w:rsid w:val="002C3B15"/>
    <w:rsid w:val="002C3FDB"/>
    <w:rsid w:val="002C4D40"/>
    <w:rsid w:val="002C4DE4"/>
    <w:rsid w:val="002C52D6"/>
    <w:rsid w:val="002C59AD"/>
    <w:rsid w:val="002C6569"/>
    <w:rsid w:val="002C6773"/>
    <w:rsid w:val="002C6B84"/>
    <w:rsid w:val="002C7A7F"/>
    <w:rsid w:val="002C7F1E"/>
    <w:rsid w:val="002D0B8B"/>
    <w:rsid w:val="002D0D8E"/>
    <w:rsid w:val="002D0F45"/>
    <w:rsid w:val="002D1121"/>
    <w:rsid w:val="002D152A"/>
    <w:rsid w:val="002D1BE3"/>
    <w:rsid w:val="002D2ABF"/>
    <w:rsid w:val="002D2DD7"/>
    <w:rsid w:val="002D3980"/>
    <w:rsid w:val="002D489A"/>
    <w:rsid w:val="002D4935"/>
    <w:rsid w:val="002D50FB"/>
    <w:rsid w:val="002D659A"/>
    <w:rsid w:val="002D6744"/>
    <w:rsid w:val="002D6771"/>
    <w:rsid w:val="002D68C7"/>
    <w:rsid w:val="002D7477"/>
    <w:rsid w:val="002D7609"/>
    <w:rsid w:val="002E04BF"/>
    <w:rsid w:val="002E10A2"/>
    <w:rsid w:val="002E136D"/>
    <w:rsid w:val="002E144E"/>
    <w:rsid w:val="002E1A62"/>
    <w:rsid w:val="002E1BFD"/>
    <w:rsid w:val="002E1D79"/>
    <w:rsid w:val="002E1E5E"/>
    <w:rsid w:val="002E29BC"/>
    <w:rsid w:val="002E2D18"/>
    <w:rsid w:val="002E341A"/>
    <w:rsid w:val="002E3C51"/>
    <w:rsid w:val="002E41B1"/>
    <w:rsid w:val="002E4BB0"/>
    <w:rsid w:val="002E4E37"/>
    <w:rsid w:val="002E50F7"/>
    <w:rsid w:val="002E55D9"/>
    <w:rsid w:val="002E5EE5"/>
    <w:rsid w:val="002E60DE"/>
    <w:rsid w:val="002E630F"/>
    <w:rsid w:val="002E6418"/>
    <w:rsid w:val="002E688C"/>
    <w:rsid w:val="002E6974"/>
    <w:rsid w:val="002F04DD"/>
    <w:rsid w:val="002F0974"/>
    <w:rsid w:val="002F0E91"/>
    <w:rsid w:val="002F122D"/>
    <w:rsid w:val="002F12A2"/>
    <w:rsid w:val="002F1432"/>
    <w:rsid w:val="002F1EC1"/>
    <w:rsid w:val="002F1F59"/>
    <w:rsid w:val="002F2135"/>
    <w:rsid w:val="002F23AA"/>
    <w:rsid w:val="002F3172"/>
    <w:rsid w:val="002F38E2"/>
    <w:rsid w:val="002F3A41"/>
    <w:rsid w:val="002F3B20"/>
    <w:rsid w:val="002F42B1"/>
    <w:rsid w:val="002F4DD4"/>
    <w:rsid w:val="002F551E"/>
    <w:rsid w:val="002F5565"/>
    <w:rsid w:val="002F5B2D"/>
    <w:rsid w:val="002F5EE8"/>
    <w:rsid w:val="002F61A6"/>
    <w:rsid w:val="002F62E6"/>
    <w:rsid w:val="002F6FE7"/>
    <w:rsid w:val="002F7466"/>
    <w:rsid w:val="002F773A"/>
    <w:rsid w:val="002F7743"/>
    <w:rsid w:val="002F7770"/>
    <w:rsid w:val="003002BD"/>
    <w:rsid w:val="003003D5"/>
    <w:rsid w:val="00300782"/>
    <w:rsid w:val="00300AC8"/>
    <w:rsid w:val="00301E77"/>
    <w:rsid w:val="00301FA4"/>
    <w:rsid w:val="00302C29"/>
    <w:rsid w:val="00302C7A"/>
    <w:rsid w:val="003033DB"/>
    <w:rsid w:val="00304288"/>
    <w:rsid w:val="00304B33"/>
    <w:rsid w:val="00305B24"/>
    <w:rsid w:val="00306DB3"/>
    <w:rsid w:val="003078DE"/>
    <w:rsid w:val="00307924"/>
    <w:rsid w:val="00307DEA"/>
    <w:rsid w:val="00310018"/>
    <w:rsid w:val="00310E2A"/>
    <w:rsid w:val="003118BD"/>
    <w:rsid w:val="00311A30"/>
    <w:rsid w:val="00311DD1"/>
    <w:rsid w:val="0031212A"/>
    <w:rsid w:val="0031248E"/>
    <w:rsid w:val="00312DEB"/>
    <w:rsid w:val="0031302E"/>
    <w:rsid w:val="003130EF"/>
    <w:rsid w:val="003132F3"/>
    <w:rsid w:val="00313ACE"/>
    <w:rsid w:val="00313E12"/>
    <w:rsid w:val="00314211"/>
    <w:rsid w:val="003147C0"/>
    <w:rsid w:val="00314A61"/>
    <w:rsid w:val="00314BDD"/>
    <w:rsid w:val="00314DD6"/>
    <w:rsid w:val="003152BD"/>
    <w:rsid w:val="00315864"/>
    <w:rsid w:val="00316069"/>
    <w:rsid w:val="00317403"/>
    <w:rsid w:val="003174B9"/>
    <w:rsid w:val="0031762A"/>
    <w:rsid w:val="00317716"/>
    <w:rsid w:val="00317C3F"/>
    <w:rsid w:val="00317DD6"/>
    <w:rsid w:val="00321A25"/>
    <w:rsid w:val="00321BB0"/>
    <w:rsid w:val="00322040"/>
    <w:rsid w:val="003220C9"/>
    <w:rsid w:val="003224C2"/>
    <w:rsid w:val="00322511"/>
    <w:rsid w:val="00322B84"/>
    <w:rsid w:val="00322E4D"/>
    <w:rsid w:val="00323434"/>
    <w:rsid w:val="003238DF"/>
    <w:rsid w:val="00323DE6"/>
    <w:rsid w:val="0032411C"/>
    <w:rsid w:val="003245F9"/>
    <w:rsid w:val="0032466E"/>
    <w:rsid w:val="0032475E"/>
    <w:rsid w:val="0032499F"/>
    <w:rsid w:val="003249FF"/>
    <w:rsid w:val="00324FC8"/>
    <w:rsid w:val="00325447"/>
    <w:rsid w:val="0032622B"/>
    <w:rsid w:val="0032688A"/>
    <w:rsid w:val="00326A9C"/>
    <w:rsid w:val="0032724A"/>
    <w:rsid w:val="00327373"/>
    <w:rsid w:val="003273BB"/>
    <w:rsid w:val="00327561"/>
    <w:rsid w:val="0032766B"/>
    <w:rsid w:val="00330197"/>
    <w:rsid w:val="0033065E"/>
    <w:rsid w:val="0033070D"/>
    <w:rsid w:val="00330E12"/>
    <w:rsid w:val="00330EB2"/>
    <w:rsid w:val="00331C89"/>
    <w:rsid w:val="00331DB2"/>
    <w:rsid w:val="00332967"/>
    <w:rsid w:val="003337B1"/>
    <w:rsid w:val="0033444B"/>
    <w:rsid w:val="003345AA"/>
    <w:rsid w:val="00334A9F"/>
    <w:rsid w:val="00334C14"/>
    <w:rsid w:val="00336BE2"/>
    <w:rsid w:val="003376AB"/>
    <w:rsid w:val="003378FC"/>
    <w:rsid w:val="00340202"/>
    <w:rsid w:val="0034032B"/>
    <w:rsid w:val="00340542"/>
    <w:rsid w:val="00340E97"/>
    <w:rsid w:val="003415A2"/>
    <w:rsid w:val="00341C70"/>
    <w:rsid w:val="00342437"/>
    <w:rsid w:val="003429F3"/>
    <w:rsid w:val="00342BBF"/>
    <w:rsid w:val="00343102"/>
    <w:rsid w:val="00343750"/>
    <w:rsid w:val="00343FA5"/>
    <w:rsid w:val="0034478E"/>
    <w:rsid w:val="003455C6"/>
    <w:rsid w:val="00345635"/>
    <w:rsid w:val="00345999"/>
    <w:rsid w:val="00345E23"/>
    <w:rsid w:val="00345FD8"/>
    <w:rsid w:val="00346330"/>
    <w:rsid w:val="00347027"/>
    <w:rsid w:val="0034708F"/>
    <w:rsid w:val="00347482"/>
    <w:rsid w:val="0034750E"/>
    <w:rsid w:val="003478B6"/>
    <w:rsid w:val="00347BE3"/>
    <w:rsid w:val="003517B8"/>
    <w:rsid w:val="0035239C"/>
    <w:rsid w:val="00352684"/>
    <w:rsid w:val="00352D54"/>
    <w:rsid w:val="00352DA7"/>
    <w:rsid w:val="003532DD"/>
    <w:rsid w:val="003545A2"/>
    <w:rsid w:val="00354A9D"/>
    <w:rsid w:val="00354F13"/>
    <w:rsid w:val="00355606"/>
    <w:rsid w:val="00355D1D"/>
    <w:rsid w:val="00355F14"/>
    <w:rsid w:val="00356105"/>
    <w:rsid w:val="003561A4"/>
    <w:rsid w:val="003561A5"/>
    <w:rsid w:val="0035652A"/>
    <w:rsid w:val="00356B79"/>
    <w:rsid w:val="003570AD"/>
    <w:rsid w:val="0035711B"/>
    <w:rsid w:val="003573B1"/>
    <w:rsid w:val="00357718"/>
    <w:rsid w:val="003577AF"/>
    <w:rsid w:val="00357C74"/>
    <w:rsid w:val="00357E0E"/>
    <w:rsid w:val="00357EFE"/>
    <w:rsid w:val="00360EC4"/>
    <w:rsid w:val="00361380"/>
    <w:rsid w:val="0036149E"/>
    <w:rsid w:val="0036251A"/>
    <w:rsid w:val="00362CD5"/>
    <w:rsid w:val="0036319A"/>
    <w:rsid w:val="00363201"/>
    <w:rsid w:val="00363C8D"/>
    <w:rsid w:val="00364B2C"/>
    <w:rsid w:val="003654CF"/>
    <w:rsid w:val="0036581E"/>
    <w:rsid w:val="00365862"/>
    <w:rsid w:val="00365E00"/>
    <w:rsid w:val="00365E4D"/>
    <w:rsid w:val="003661AD"/>
    <w:rsid w:val="003666AE"/>
    <w:rsid w:val="0036670B"/>
    <w:rsid w:val="00366996"/>
    <w:rsid w:val="00367496"/>
    <w:rsid w:val="0036749A"/>
    <w:rsid w:val="003677C3"/>
    <w:rsid w:val="00367963"/>
    <w:rsid w:val="003701AB"/>
    <w:rsid w:val="003709E2"/>
    <w:rsid w:val="00370A29"/>
    <w:rsid w:val="00370AFB"/>
    <w:rsid w:val="003712F3"/>
    <w:rsid w:val="00371673"/>
    <w:rsid w:val="00371BA8"/>
    <w:rsid w:val="0037253D"/>
    <w:rsid w:val="00372C30"/>
    <w:rsid w:val="00372D73"/>
    <w:rsid w:val="0037328A"/>
    <w:rsid w:val="00373C80"/>
    <w:rsid w:val="00373D3F"/>
    <w:rsid w:val="00375A14"/>
    <w:rsid w:val="00376867"/>
    <w:rsid w:val="00376BB2"/>
    <w:rsid w:val="00377196"/>
    <w:rsid w:val="00377B88"/>
    <w:rsid w:val="0038030F"/>
    <w:rsid w:val="003813D1"/>
    <w:rsid w:val="003819EB"/>
    <w:rsid w:val="00381B34"/>
    <w:rsid w:val="00382239"/>
    <w:rsid w:val="00382D92"/>
    <w:rsid w:val="003831EA"/>
    <w:rsid w:val="003837B2"/>
    <w:rsid w:val="00383D6E"/>
    <w:rsid w:val="00384824"/>
    <w:rsid w:val="00384AF6"/>
    <w:rsid w:val="00384DD3"/>
    <w:rsid w:val="00384EE9"/>
    <w:rsid w:val="00385074"/>
    <w:rsid w:val="003850BF"/>
    <w:rsid w:val="0038573A"/>
    <w:rsid w:val="003859BF"/>
    <w:rsid w:val="003860A6"/>
    <w:rsid w:val="00386460"/>
    <w:rsid w:val="00386D13"/>
    <w:rsid w:val="00386D91"/>
    <w:rsid w:val="00390550"/>
    <w:rsid w:val="00391017"/>
    <w:rsid w:val="003916CC"/>
    <w:rsid w:val="00391EE8"/>
    <w:rsid w:val="00392889"/>
    <w:rsid w:val="00392DE4"/>
    <w:rsid w:val="00392FA9"/>
    <w:rsid w:val="00393616"/>
    <w:rsid w:val="003937CD"/>
    <w:rsid w:val="00393981"/>
    <w:rsid w:val="003942F5"/>
    <w:rsid w:val="0039458D"/>
    <w:rsid w:val="00394886"/>
    <w:rsid w:val="0039572A"/>
    <w:rsid w:val="003958C1"/>
    <w:rsid w:val="00395C8A"/>
    <w:rsid w:val="00396822"/>
    <w:rsid w:val="003970C3"/>
    <w:rsid w:val="00397600"/>
    <w:rsid w:val="003979C0"/>
    <w:rsid w:val="00397DDE"/>
    <w:rsid w:val="00397ECF"/>
    <w:rsid w:val="003A04EF"/>
    <w:rsid w:val="003A0981"/>
    <w:rsid w:val="003A13C3"/>
    <w:rsid w:val="003A14A9"/>
    <w:rsid w:val="003A1594"/>
    <w:rsid w:val="003A19C9"/>
    <w:rsid w:val="003A1AD7"/>
    <w:rsid w:val="003A2240"/>
    <w:rsid w:val="003A3C6C"/>
    <w:rsid w:val="003A4ED4"/>
    <w:rsid w:val="003A592C"/>
    <w:rsid w:val="003A6207"/>
    <w:rsid w:val="003A6403"/>
    <w:rsid w:val="003A65B2"/>
    <w:rsid w:val="003A65EE"/>
    <w:rsid w:val="003A73AF"/>
    <w:rsid w:val="003A77EB"/>
    <w:rsid w:val="003A7839"/>
    <w:rsid w:val="003A7BB7"/>
    <w:rsid w:val="003A7F27"/>
    <w:rsid w:val="003A7F3F"/>
    <w:rsid w:val="003B0187"/>
    <w:rsid w:val="003B1588"/>
    <w:rsid w:val="003B16BF"/>
    <w:rsid w:val="003B2132"/>
    <w:rsid w:val="003B24AF"/>
    <w:rsid w:val="003B28AD"/>
    <w:rsid w:val="003B2F32"/>
    <w:rsid w:val="003B379F"/>
    <w:rsid w:val="003B37CB"/>
    <w:rsid w:val="003B397B"/>
    <w:rsid w:val="003B3F74"/>
    <w:rsid w:val="003B4C46"/>
    <w:rsid w:val="003B506A"/>
    <w:rsid w:val="003B507E"/>
    <w:rsid w:val="003B54CA"/>
    <w:rsid w:val="003B5AE2"/>
    <w:rsid w:val="003B62C7"/>
    <w:rsid w:val="003B6A44"/>
    <w:rsid w:val="003B6D14"/>
    <w:rsid w:val="003B70BD"/>
    <w:rsid w:val="003B7ADC"/>
    <w:rsid w:val="003C095E"/>
    <w:rsid w:val="003C13B9"/>
    <w:rsid w:val="003C153B"/>
    <w:rsid w:val="003C16B6"/>
    <w:rsid w:val="003C190B"/>
    <w:rsid w:val="003C1E81"/>
    <w:rsid w:val="003C2621"/>
    <w:rsid w:val="003C2DF4"/>
    <w:rsid w:val="003C2E1B"/>
    <w:rsid w:val="003C3C2E"/>
    <w:rsid w:val="003C4976"/>
    <w:rsid w:val="003C4B81"/>
    <w:rsid w:val="003C4E1F"/>
    <w:rsid w:val="003C4F62"/>
    <w:rsid w:val="003C4FF6"/>
    <w:rsid w:val="003C5005"/>
    <w:rsid w:val="003C5277"/>
    <w:rsid w:val="003C54FD"/>
    <w:rsid w:val="003C5803"/>
    <w:rsid w:val="003C5BE1"/>
    <w:rsid w:val="003C6297"/>
    <w:rsid w:val="003C661A"/>
    <w:rsid w:val="003C6CBD"/>
    <w:rsid w:val="003C6F1D"/>
    <w:rsid w:val="003D052D"/>
    <w:rsid w:val="003D1339"/>
    <w:rsid w:val="003D1E8A"/>
    <w:rsid w:val="003D389E"/>
    <w:rsid w:val="003D45A8"/>
    <w:rsid w:val="003D579B"/>
    <w:rsid w:val="003D5C04"/>
    <w:rsid w:val="003D62D1"/>
    <w:rsid w:val="003D6584"/>
    <w:rsid w:val="003D659B"/>
    <w:rsid w:val="003D659D"/>
    <w:rsid w:val="003D67C8"/>
    <w:rsid w:val="003D67EB"/>
    <w:rsid w:val="003D693D"/>
    <w:rsid w:val="003D7025"/>
    <w:rsid w:val="003D770F"/>
    <w:rsid w:val="003D7961"/>
    <w:rsid w:val="003D7C3C"/>
    <w:rsid w:val="003E0185"/>
    <w:rsid w:val="003E0649"/>
    <w:rsid w:val="003E097D"/>
    <w:rsid w:val="003E09AA"/>
    <w:rsid w:val="003E0E8E"/>
    <w:rsid w:val="003E11D2"/>
    <w:rsid w:val="003E1CEA"/>
    <w:rsid w:val="003E1E3A"/>
    <w:rsid w:val="003E1EB4"/>
    <w:rsid w:val="003E267D"/>
    <w:rsid w:val="003E2FFD"/>
    <w:rsid w:val="003E3A56"/>
    <w:rsid w:val="003E3B37"/>
    <w:rsid w:val="003E3CF5"/>
    <w:rsid w:val="003E3F7D"/>
    <w:rsid w:val="003E459C"/>
    <w:rsid w:val="003E4B6D"/>
    <w:rsid w:val="003E4E6A"/>
    <w:rsid w:val="003E5087"/>
    <w:rsid w:val="003E5151"/>
    <w:rsid w:val="003E51D3"/>
    <w:rsid w:val="003E538E"/>
    <w:rsid w:val="003E6516"/>
    <w:rsid w:val="003E6DC0"/>
    <w:rsid w:val="003E7CFA"/>
    <w:rsid w:val="003E7EBF"/>
    <w:rsid w:val="003F0422"/>
    <w:rsid w:val="003F07BF"/>
    <w:rsid w:val="003F135D"/>
    <w:rsid w:val="003F13A2"/>
    <w:rsid w:val="003F1FC8"/>
    <w:rsid w:val="003F2699"/>
    <w:rsid w:val="003F2AF7"/>
    <w:rsid w:val="003F2B63"/>
    <w:rsid w:val="003F2E31"/>
    <w:rsid w:val="003F3CD1"/>
    <w:rsid w:val="003F4047"/>
    <w:rsid w:val="003F49A0"/>
    <w:rsid w:val="003F4C92"/>
    <w:rsid w:val="003F4FCE"/>
    <w:rsid w:val="003F55AE"/>
    <w:rsid w:val="003F56E1"/>
    <w:rsid w:val="003F5854"/>
    <w:rsid w:val="003F5B16"/>
    <w:rsid w:val="003F5BCE"/>
    <w:rsid w:val="003F5E34"/>
    <w:rsid w:val="003F6594"/>
    <w:rsid w:val="003F6726"/>
    <w:rsid w:val="003F6893"/>
    <w:rsid w:val="003F6BF3"/>
    <w:rsid w:val="003F6E57"/>
    <w:rsid w:val="003F7343"/>
    <w:rsid w:val="003F7EA0"/>
    <w:rsid w:val="004002FA"/>
    <w:rsid w:val="0040137A"/>
    <w:rsid w:val="00401471"/>
    <w:rsid w:val="00401785"/>
    <w:rsid w:val="004017B4"/>
    <w:rsid w:val="00401B01"/>
    <w:rsid w:val="00401B96"/>
    <w:rsid w:val="00401E4D"/>
    <w:rsid w:val="00401F7C"/>
    <w:rsid w:val="00402D99"/>
    <w:rsid w:val="00403032"/>
    <w:rsid w:val="004033AE"/>
    <w:rsid w:val="0040394C"/>
    <w:rsid w:val="00403AE0"/>
    <w:rsid w:val="004041DD"/>
    <w:rsid w:val="004044FD"/>
    <w:rsid w:val="0040475F"/>
    <w:rsid w:val="00404BC5"/>
    <w:rsid w:val="00405568"/>
    <w:rsid w:val="00405B44"/>
    <w:rsid w:val="00406419"/>
    <w:rsid w:val="0040672A"/>
    <w:rsid w:val="00406C1C"/>
    <w:rsid w:val="00406C89"/>
    <w:rsid w:val="00406D88"/>
    <w:rsid w:val="00407A7B"/>
    <w:rsid w:val="00407B58"/>
    <w:rsid w:val="00407D2F"/>
    <w:rsid w:val="004102A4"/>
    <w:rsid w:val="00410ABD"/>
    <w:rsid w:val="00410C6C"/>
    <w:rsid w:val="00410DFA"/>
    <w:rsid w:val="00411A6E"/>
    <w:rsid w:val="00411F98"/>
    <w:rsid w:val="004123AA"/>
    <w:rsid w:val="00412647"/>
    <w:rsid w:val="00412689"/>
    <w:rsid w:val="00412BF6"/>
    <w:rsid w:val="00412F6E"/>
    <w:rsid w:val="00413636"/>
    <w:rsid w:val="00413C5B"/>
    <w:rsid w:val="004141BF"/>
    <w:rsid w:val="00414356"/>
    <w:rsid w:val="0041553D"/>
    <w:rsid w:val="00415E8E"/>
    <w:rsid w:val="004164B5"/>
    <w:rsid w:val="00416712"/>
    <w:rsid w:val="00416B89"/>
    <w:rsid w:val="00416C7D"/>
    <w:rsid w:val="00417614"/>
    <w:rsid w:val="00417D2D"/>
    <w:rsid w:val="0042045B"/>
    <w:rsid w:val="00420639"/>
    <w:rsid w:val="00420CE4"/>
    <w:rsid w:val="00421208"/>
    <w:rsid w:val="0042124E"/>
    <w:rsid w:val="00421283"/>
    <w:rsid w:val="004212FA"/>
    <w:rsid w:val="00421664"/>
    <w:rsid w:val="00421DF0"/>
    <w:rsid w:val="00421E98"/>
    <w:rsid w:val="004224FD"/>
    <w:rsid w:val="0042276F"/>
    <w:rsid w:val="004231FF"/>
    <w:rsid w:val="0042338F"/>
    <w:rsid w:val="004233D1"/>
    <w:rsid w:val="00423563"/>
    <w:rsid w:val="00423D68"/>
    <w:rsid w:val="004241B9"/>
    <w:rsid w:val="00424834"/>
    <w:rsid w:val="00424990"/>
    <w:rsid w:val="00424A29"/>
    <w:rsid w:val="00424A89"/>
    <w:rsid w:val="00424B0E"/>
    <w:rsid w:val="00424DA2"/>
    <w:rsid w:val="0042509A"/>
    <w:rsid w:val="00425ED4"/>
    <w:rsid w:val="00427090"/>
    <w:rsid w:val="004279E7"/>
    <w:rsid w:val="00427D07"/>
    <w:rsid w:val="00430886"/>
    <w:rsid w:val="00430A69"/>
    <w:rsid w:val="00430AE3"/>
    <w:rsid w:val="00430B0D"/>
    <w:rsid w:val="004310B8"/>
    <w:rsid w:val="0043124E"/>
    <w:rsid w:val="00431497"/>
    <w:rsid w:val="0043170B"/>
    <w:rsid w:val="00431E00"/>
    <w:rsid w:val="00431FFC"/>
    <w:rsid w:val="004320D7"/>
    <w:rsid w:val="004322E7"/>
    <w:rsid w:val="004328FD"/>
    <w:rsid w:val="00433190"/>
    <w:rsid w:val="004336AA"/>
    <w:rsid w:val="004337BA"/>
    <w:rsid w:val="00433832"/>
    <w:rsid w:val="004339B2"/>
    <w:rsid w:val="00433BC3"/>
    <w:rsid w:val="00434079"/>
    <w:rsid w:val="00434127"/>
    <w:rsid w:val="004359FB"/>
    <w:rsid w:val="00435A7F"/>
    <w:rsid w:val="00435B23"/>
    <w:rsid w:val="00435BCB"/>
    <w:rsid w:val="00435D77"/>
    <w:rsid w:val="00436A00"/>
    <w:rsid w:val="00436C3D"/>
    <w:rsid w:val="00437695"/>
    <w:rsid w:val="00437874"/>
    <w:rsid w:val="00440371"/>
    <w:rsid w:val="004406D3"/>
    <w:rsid w:val="004407C1"/>
    <w:rsid w:val="0044105D"/>
    <w:rsid w:val="004410EC"/>
    <w:rsid w:val="004412FF"/>
    <w:rsid w:val="00441414"/>
    <w:rsid w:val="004428A9"/>
    <w:rsid w:val="00443605"/>
    <w:rsid w:val="00443CA7"/>
    <w:rsid w:val="004443FE"/>
    <w:rsid w:val="004445AF"/>
    <w:rsid w:val="0044515C"/>
    <w:rsid w:val="00445B1D"/>
    <w:rsid w:val="00445B59"/>
    <w:rsid w:val="00446390"/>
    <w:rsid w:val="00447018"/>
    <w:rsid w:val="00447791"/>
    <w:rsid w:val="00447B91"/>
    <w:rsid w:val="00447DB6"/>
    <w:rsid w:val="00450100"/>
    <w:rsid w:val="004502FD"/>
    <w:rsid w:val="00450491"/>
    <w:rsid w:val="004506EB"/>
    <w:rsid w:val="0045080A"/>
    <w:rsid w:val="00450C02"/>
    <w:rsid w:val="004511DC"/>
    <w:rsid w:val="00451767"/>
    <w:rsid w:val="004517B7"/>
    <w:rsid w:val="00451A06"/>
    <w:rsid w:val="00451CFA"/>
    <w:rsid w:val="00451D08"/>
    <w:rsid w:val="004526CB"/>
    <w:rsid w:val="00453084"/>
    <w:rsid w:val="004530B5"/>
    <w:rsid w:val="0045353F"/>
    <w:rsid w:val="00453A8E"/>
    <w:rsid w:val="00455255"/>
    <w:rsid w:val="0045562F"/>
    <w:rsid w:val="004557AA"/>
    <w:rsid w:val="004563F3"/>
    <w:rsid w:val="0045647D"/>
    <w:rsid w:val="004564A2"/>
    <w:rsid w:val="0045659F"/>
    <w:rsid w:val="00456B63"/>
    <w:rsid w:val="004572A3"/>
    <w:rsid w:val="004573FA"/>
    <w:rsid w:val="00457A3E"/>
    <w:rsid w:val="00457CEC"/>
    <w:rsid w:val="004600DB"/>
    <w:rsid w:val="00460118"/>
    <w:rsid w:val="00460471"/>
    <w:rsid w:val="0046063C"/>
    <w:rsid w:val="00460AFA"/>
    <w:rsid w:val="004610C3"/>
    <w:rsid w:val="0046126E"/>
    <w:rsid w:val="00462B05"/>
    <w:rsid w:val="004633B0"/>
    <w:rsid w:val="004636E8"/>
    <w:rsid w:val="004642B8"/>
    <w:rsid w:val="0046465D"/>
    <w:rsid w:val="00464A42"/>
    <w:rsid w:val="00464E7A"/>
    <w:rsid w:val="00466F31"/>
    <w:rsid w:val="00467E06"/>
    <w:rsid w:val="00467E79"/>
    <w:rsid w:val="00470421"/>
    <w:rsid w:val="004705FF"/>
    <w:rsid w:val="00471105"/>
    <w:rsid w:val="00471B03"/>
    <w:rsid w:val="00471CE9"/>
    <w:rsid w:val="00471D4B"/>
    <w:rsid w:val="00472056"/>
    <w:rsid w:val="004724C2"/>
    <w:rsid w:val="00472789"/>
    <w:rsid w:val="00472A18"/>
    <w:rsid w:val="004747ED"/>
    <w:rsid w:val="00474BB6"/>
    <w:rsid w:val="00474C9C"/>
    <w:rsid w:val="00475441"/>
    <w:rsid w:val="00475586"/>
    <w:rsid w:val="00475591"/>
    <w:rsid w:val="00475A91"/>
    <w:rsid w:val="004767D6"/>
    <w:rsid w:val="00476B03"/>
    <w:rsid w:val="00476B13"/>
    <w:rsid w:val="00477799"/>
    <w:rsid w:val="004778A9"/>
    <w:rsid w:val="00480079"/>
    <w:rsid w:val="00480927"/>
    <w:rsid w:val="00480D8A"/>
    <w:rsid w:val="00481F34"/>
    <w:rsid w:val="00482219"/>
    <w:rsid w:val="00482617"/>
    <w:rsid w:val="00482BCF"/>
    <w:rsid w:val="00482FA1"/>
    <w:rsid w:val="004835AB"/>
    <w:rsid w:val="00484326"/>
    <w:rsid w:val="00484CC8"/>
    <w:rsid w:val="00485645"/>
    <w:rsid w:val="00485717"/>
    <w:rsid w:val="00485B79"/>
    <w:rsid w:val="00485C03"/>
    <w:rsid w:val="00485CD2"/>
    <w:rsid w:val="004861FB"/>
    <w:rsid w:val="00486539"/>
    <w:rsid w:val="004867E4"/>
    <w:rsid w:val="00486C6D"/>
    <w:rsid w:val="00487E78"/>
    <w:rsid w:val="00487E93"/>
    <w:rsid w:val="004906FA"/>
    <w:rsid w:val="004907D8"/>
    <w:rsid w:val="00491717"/>
    <w:rsid w:val="0049288F"/>
    <w:rsid w:val="00493939"/>
    <w:rsid w:val="0049397B"/>
    <w:rsid w:val="0049432B"/>
    <w:rsid w:val="0049453F"/>
    <w:rsid w:val="004946B4"/>
    <w:rsid w:val="00494726"/>
    <w:rsid w:val="00494FB7"/>
    <w:rsid w:val="00495109"/>
    <w:rsid w:val="004960C9"/>
    <w:rsid w:val="00496175"/>
    <w:rsid w:val="00496229"/>
    <w:rsid w:val="00496230"/>
    <w:rsid w:val="004970C3"/>
    <w:rsid w:val="004972A9"/>
    <w:rsid w:val="00497315"/>
    <w:rsid w:val="004974D0"/>
    <w:rsid w:val="0049766F"/>
    <w:rsid w:val="00497839"/>
    <w:rsid w:val="004A055B"/>
    <w:rsid w:val="004A0949"/>
    <w:rsid w:val="004A114A"/>
    <w:rsid w:val="004A1B52"/>
    <w:rsid w:val="004A2302"/>
    <w:rsid w:val="004A29CD"/>
    <w:rsid w:val="004A3AC5"/>
    <w:rsid w:val="004A3BFA"/>
    <w:rsid w:val="004A468B"/>
    <w:rsid w:val="004A5CDD"/>
    <w:rsid w:val="004A6037"/>
    <w:rsid w:val="004A6649"/>
    <w:rsid w:val="004A76DD"/>
    <w:rsid w:val="004A7FA9"/>
    <w:rsid w:val="004B0025"/>
    <w:rsid w:val="004B03A2"/>
    <w:rsid w:val="004B09AE"/>
    <w:rsid w:val="004B0EAA"/>
    <w:rsid w:val="004B0F94"/>
    <w:rsid w:val="004B2068"/>
    <w:rsid w:val="004B29CF"/>
    <w:rsid w:val="004B2B05"/>
    <w:rsid w:val="004B2CF0"/>
    <w:rsid w:val="004B371C"/>
    <w:rsid w:val="004B3BCD"/>
    <w:rsid w:val="004B43DA"/>
    <w:rsid w:val="004B4640"/>
    <w:rsid w:val="004B4AAD"/>
    <w:rsid w:val="004B503D"/>
    <w:rsid w:val="004B51C0"/>
    <w:rsid w:val="004B5D59"/>
    <w:rsid w:val="004B5EDE"/>
    <w:rsid w:val="004B7807"/>
    <w:rsid w:val="004B7FB7"/>
    <w:rsid w:val="004C0399"/>
    <w:rsid w:val="004C0412"/>
    <w:rsid w:val="004C0786"/>
    <w:rsid w:val="004C0CBB"/>
    <w:rsid w:val="004C0D35"/>
    <w:rsid w:val="004C0E93"/>
    <w:rsid w:val="004C130C"/>
    <w:rsid w:val="004C1646"/>
    <w:rsid w:val="004C188C"/>
    <w:rsid w:val="004C1898"/>
    <w:rsid w:val="004C1B85"/>
    <w:rsid w:val="004C3D39"/>
    <w:rsid w:val="004C48E9"/>
    <w:rsid w:val="004C5ADA"/>
    <w:rsid w:val="004C7BBF"/>
    <w:rsid w:val="004D012B"/>
    <w:rsid w:val="004D02E2"/>
    <w:rsid w:val="004D030A"/>
    <w:rsid w:val="004D092A"/>
    <w:rsid w:val="004D0F91"/>
    <w:rsid w:val="004D1E86"/>
    <w:rsid w:val="004D21D6"/>
    <w:rsid w:val="004D24A6"/>
    <w:rsid w:val="004D2620"/>
    <w:rsid w:val="004D2C94"/>
    <w:rsid w:val="004D33D2"/>
    <w:rsid w:val="004D365A"/>
    <w:rsid w:val="004D4CE6"/>
    <w:rsid w:val="004D59AB"/>
    <w:rsid w:val="004D64C2"/>
    <w:rsid w:val="004D6B53"/>
    <w:rsid w:val="004D6DB5"/>
    <w:rsid w:val="004D7210"/>
    <w:rsid w:val="004D7673"/>
    <w:rsid w:val="004D7C83"/>
    <w:rsid w:val="004E07B4"/>
    <w:rsid w:val="004E0A1D"/>
    <w:rsid w:val="004E0BBE"/>
    <w:rsid w:val="004E11D3"/>
    <w:rsid w:val="004E1E3A"/>
    <w:rsid w:val="004E237A"/>
    <w:rsid w:val="004E42D9"/>
    <w:rsid w:val="004E4D35"/>
    <w:rsid w:val="004E4E12"/>
    <w:rsid w:val="004E4E55"/>
    <w:rsid w:val="004E535B"/>
    <w:rsid w:val="004E5859"/>
    <w:rsid w:val="004E5BCB"/>
    <w:rsid w:val="004E64DE"/>
    <w:rsid w:val="004E6C3E"/>
    <w:rsid w:val="004E6D0D"/>
    <w:rsid w:val="004E724A"/>
    <w:rsid w:val="004E7334"/>
    <w:rsid w:val="004E7803"/>
    <w:rsid w:val="004E7CB5"/>
    <w:rsid w:val="004F0987"/>
    <w:rsid w:val="004F09C9"/>
    <w:rsid w:val="004F0A78"/>
    <w:rsid w:val="004F0F38"/>
    <w:rsid w:val="004F0F51"/>
    <w:rsid w:val="004F0FC0"/>
    <w:rsid w:val="004F0FD8"/>
    <w:rsid w:val="004F115B"/>
    <w:rsid w:val="004F14B5"/>
    <w:rsid w:val="004F1A55"/>
    <w:rsid w:val="004F2F7E"/>
    <w:rsid w:val="004F353C"/>
    <w:rsid w:val="004F3CB8"/>
    <w:rsid w:val="004F4023"/>
    <w:rsid w:val="004F44D6"/>
    <w:rsid w:val="004F51A1"/>
    <w:rsid w:val="004F5876"/>
    <w:rsid w:val="004F5A43"/>
    <w:rsid w:val="004F5D10"/>
    <w:rsid w:val="004F5DB5"/>
    <w:rsid w:val="004F6333"/>
    <w:rsid w:val="004F6469"/>
    <w:rsid w:val="004F6A0A"/>
    <w:rsid w:val="004F6B2F"/>
    <w:rsid w:val="004F6DA9"/>
    <w:rsid w:val="004F709F"/>
    <w:rsid w:val="004F713D"/>
    <w:rsid w:val="004F796B"/>
    <w:rsid w:val="004F79BC"/>
    <w:rsid w:val="005006F4"/>
    <w:rsid w:val="005008F5"/>
    <w:rsid w:val="00500C79"/>
    <w:rsid w:val="00500CE4"/>
    <w:rsid w:val="00501CC2"/>
    <w:rsid w:val="005022AD"/>
    <w:rsid w:val="00502D08"/>
    <w:rsid w:val="00503F0F"/>
    <w:rsid w:val="0050515D"/>
    <w:rsid w:val="0050518E"/>
    <w:rsid w:val="00505361"/>
    <w:rsid w:val="00505EC8"/>
    <w:rsid w:val="005068BE"/>
    <w:rsid w:val="00506F09"/>
    <w:rsid w:val="00507071"/>
    <w:rsid w:val="005074C9"/>
    <w:rsid w:val="005076FD"/>
    <w:rsid w:val="0051009F"/>
    <w:rsid w:val="00510860"/>
    <w:rsid w:val="00510D3D"/>
    <w:rsid w:val="0051111E"/>
    <w:rsid w:val="005123F6"/>
    <w:rsid w:val="00512B71"/>
    <w:rsid w:val="00512CB6"/>
    <w:rsid w:val="00512E8A"/>
    <w:rsid w:val="005131A9"/>
    <w:rsid w:val="005134CE"/>
    <w:rsid w:val="00513CB5"/>
    <w:rsid w:val="0051424E"/>
    <w:rsid w:val="00514496"/>
    <w:rsid w:val="0051485E"/>
    <w:rsid w:val="00515149"/>
    <w:rsid w:val="005159EB"/>
    <w:rsid w:val="00515C6D"/>
    <w:rsid w:val="005163FB"/>
    <w:rsid w:val="00516442"/>
    <w:rsid w:val="00516714"/>
    <w:rsid w:val="005170C1"/>
    <w:rsid w:val="0051724B"/>
    <w:rsid w:val="005178CC"/>
    <w:rsid w:val="005179BB"/>
    <w:rsid w:val="00520113"/>
    <w:rsid w:val="00520296"/>
    <w:rsid w:val="00520390"/>
    <w:rsid w:val="005204AB"/>
    <w:rsid w:val="00520C3D"/>
    <w:rsid w:val="00521292"/>
    <w:rsid w:val="00521336"/>
    <w:rsid w:val="00521E23"/>
    <w:rsid w:val="00522683"/>
    <w:rsid w:val="00522F3B"/>
    <w:rsid w:val="0052361F"/>
    <w:rsid w:val="00523786"/>
    <w:rsid w:val="00523A99"/>
    <w:rsid w:val="00524EB3"/>
    <w:rsid w:val="00525087"/>
    <w:rsid w:val="00525D6D"/>
    <w:rsid w:val="00525F34"/>
    <w:rsid w:val="00525FAD"/>
    <w:rsid w:val="0052609D"/>
    <w:rsid w:val="00526508"/>
    <w:rsid w:val="005265CE"/>
    <w:rsid w:val="00526AC4"/>
    <w:rsid w:val="00527B5B"/>
    <w:rsid w:val="00527BC6"/>
    <w:rsid w:val="00530407"/>
    <w:rsid w:val="00531001"/>
    <w:rsid w:val="005318C7"/>
    <w:rsid w:val="00531ED4"/>
    <w:rsid w:val="00531F5B"/>
    <w:rsid w:val="005331EA"/>
    <w:rsid w:val="00533C0E"/>
    <w:rsid w:val="005340D5"/>
    <w:rsid w:val="005343DB"/>
    <w:rsid w:val="0053466D"/>
    <w:rsid w:val="00534A16"/>
    <w:rsid w:val="00535C6B"/>
    <w:rsid w:val="00536AB1"/>
    <w:rsid w:val="005370A4"/>
    <w:rsid w:val="005374C9"/>
    <w:rsid w:val="00537614"/>
    <w:rsid w:val="00540F00"/>
    <w:rsid w:val="00540F10"/>
    <w:rsid w:val="005413A0"/>
    <w:rsid w:val="00541606"/>
    <w:rsid w:val="00541921"/>
    <w:rsid w:val="005422D0"/>
    <w:rsid w:val="0054236B"/>
    <w:rsid w:val="005429F8"/>
    <w:rsid w:val="00543187"/>
    <w:rsid w:val="00543649"/>
    <w:rsid w:val="0054439F"/>
    <w:rsid w:val="00544D7A"/>
    <w:rsid w:val="00544E55"/>
    <w:rsid w:val="005467EC"/>
    <w:rsid w:val="00546D55"/>
    <w:rsid w:val="00546E81"/>
    <w:rsid w:val="00546FD2"/>
    <w:rsid w:val="005471D2"/>
    <w:rsid w:val="00547406"/>
    <w:rsid w:val="0054779B"/>
    <w:rsid w:val="00547972"/>
    <w:rsid w:val="00547A57"/>
    <w:rsid w:val="0055115B"/>
    <w:rsid w:val="005514F2"/>
    <w:rsid w:val="005523EF"/>
    <w:rsid w:val="0055248D"/>
    <w:rsid w:val="00553270"/>
    <w:rsid w:val="00553AD7"/>
    <w:rsid w:val="005540C2"/>
    <w:rsid w:val="005555EC"/>
    <w:rsid w:val="005559AC"/>
    <w:rsid w:val="00556134"/>
    <w:rsid w:val="0055654A"/>
    <w:rsid w:val="00556771"/>
    <w:rsid w:val="00556F7B"/>
    <w:rsid w:val="00557627"/>
    <w:rsid w:val="005603A3"/>
    <w:rsid w:val="005604BD"/>
    <w:rsid w:val="0056057E"/>
    <w:rsid w:val="005606F6"/>
    <w:rsid w:val="00562271"/>
    <w:rsid w:val="0056339E"/>
    <w:rsid w:val="00563B60"/>
    <w:rsid w:val="0056521F"/>
    <w:rsid w:val="00565765"/>
    <w:rsid w:val="00565B73"/>
    <w:rsid w:val="00566491"/>
    <w:rsid w:val="005668F3"/>
    <w:rsid w:val="00566A53"/>
    <w:rsid w:val="00566E27"/>
    <w:rsid w:val="00566E28"/>
    <w:rsid w:val="00567176"/>
    <w:rsid w:val="0056766D"/>
    <w:rsid w:val="005677F8"/>
    <w:rsid w:val="00570150"/>
    <w:rsid w:val="0057018A"/>
    <w:rsid w:val="00570A93"/>
    <w:rsid w:val="0057120A"/>
    <w:rsid w:val="0057212A"/>
    <w:rsid w:val="00572579"/>
    <w:rsid w:val="0057262C"/>
    <w:rsid w:val="005743CA"/>
    <w:rsid w:val="005745E0"/>
    <w:rsid w:val="00574C90"/>
    <w:rsid w:val="00574E61"/>
    <w:rsid w:val="005751F8"/>
    <w:rsid w:val="00576263"/>
    <w:rsid w:val="0057634E"/>
    <w:rsid w:val="0057668C"/>
    <w:rsid w:val="00576BED"/>
    <w:rsid w:val="00577385"/>
    <w:rsid w:val="005776AA"/>
    <w:rsid w:val="005777D7"/>
    <w:rsid w:val="00577A7A"/>
    <w:rsid w:val="00577D7E"/>
    <w:rsid w:val="00577FD7"/>
    <w:rsid w:val="005801BA"/>
    <w:rsid w:val="00580452"/>
    <w:rsid w:val="005807CA"/>
    <w:rsid w:val="0058096A"/>
    <w:rsid w:val="00580B45"/>
    <w:rsid w:val="00580DF8"/>
    <w:rsid w:val="00581366"/>
    <w:rsid w:val="005813B4"/>
    <w:rsid w:val="00581CA0"/>
    <w:rsid w:val="00581F28"/>
    <w:rsid w:val="00582320"/>
    <w:rsid w:val="00582B08"/>
    <w:rsid w:val="00582F9E"/>
    <w:rsid w:val="0058355B"/>
    <w:rsid w:val="00583702"/>
    <w:rsid w:val="005839AA"/>
    <w:rsid w:val="00583B66"/>
    <w:rsid w:val="00583F47"/>
    <w:rsid w:val="00584223"/>
    <w:rsid w:val="00584BBB"/>
    <w:rsid w:val="00584FD3"/>
    <w:rsid w:val="005855E5"/>
    <w:rsid w:val="00585FE9"/>
    <w:rsid w:val="00586210"/>
    <w:rsid w:val="005864EC"/>
    <w:rsid w:val="0058650B"/>
    <w:rsid w:val="005868CA"/>
    <w:rsid w:val="005869CE"/>
    <w:rsid w:val="005878C9"/>
    <w:rsid w:val="00587A0E"/>
    <w:rsid w:val="00587C03"/>
    <w:rsid w:val="00587EAA"/>
    <w:rsid w:val="00590083"/>
    <w:rsid w:val="00591592"/>
    <w:rsid w:val="00591B6E"/>
    <w:rsid w:val="00591BBB"/>
    <w:rsid w:val="00592014"/>
    <w:rsid w:val="00592CC5"/>
    <w:rsid w:val="00593E22"/>
    <w:rsid w:val="00594448"/>
    <w:rsid w:val="00595707"/>
    <w:rsid w:val="0059584C"/>
    <w:rsid w:val="00595983"/>
    <w:rsid w:val="005959E5"/>
    <w:rsid w:val="00596066"/>
    <w:rsid w:val="0059628D"/>
    <w:rsid w:val="00596FF2"/>
    <w:rsid w:val="0059792C"/>
    <w:rsid w:val="00597FB1"/>
    <w:rsid w:val="005A048F"/>
    <w:rsid w:val="005A1268"/>
    <w:rsid w:val="005A1F5B"/>
    <w:rsid w:val="005A20E3"/>
    <w:rsid w:val="005A225A"/>
    <w:rsid w:val="005A32AB"/>
    <w:rsid w:val="005A3745"/>
    <w:rsid w:val="005A3845"/>
    <w:rsid w:val="005A43FF"/>
    <w:rsid w:val="005A4C44"/>
    <w:rsid w:val="005A4D6C"/>
    <w:rsid w:val="005A550A"/>
    <w:rsid w:val="005A551A"/>
    <w:rsid w:val="005A56DD"/>
    <w:rsid w:val="005A5A5C"/>
    <w:rsid w:val="005A5AD5"/>
    <w:rsid w:val="005A5AE3"/>
    <w:rsid w:val="005A5D08"/>
    <w:rsid w:val="005A6458"/>
    <w:rsid w:val="005A65CD"/>
    <w:rsid w:val="005A7CA1"/>
    <w:rsid w:val="005A7E31"/>
    <w:rsid w:val="005B0081"/>
    <w:rsid w:val="005B0CD8"/>
    <w:rsid w:val="005B103C"/>
    <w:rsid w:val="005B1C70"/>
    <w:rsid w:val="005B1ECF"/>
    <w:rsid w:val="005B2B3E"/>
    <w:rsid w:val="005B2FA8"/>
    <w:rsid w:val="005B304F"/>
    <w:rsid w:val="005B3D4A"/>
    <w:rsid w:val="005B40EE"/>
    <w:rsid w:val="005B426A"/>
    <w:rsid w:val="005B4618"/>
    <w:rsid w:val="005B49B9"/>
    <w:rsid w:val="005B5F8B"/>
    <w:rsid w:val="005B6116"/>
    <w:rsid w:val="005B628B"/>
    <w:rsid w:val="005B6B6C"/>
    <w:rsid w:val="005B7810"/>
    <w:rsid w:val="005B7917"/>
    <w:rsid w:val="005B7FA4"/>
    <w:rsid w:val="005C01F3"/>
    <w:rsid w:val="005C0446"/>
    <w:rsid w:val="005C053D"/>
    <w:rsid w:val="005C08D9"/>
    <w:rsid w:val="005C0EB2"/>
    <w:rsid w:val="005C1644"/>
    <w:rsid w:val="005C1873"/>
    <w:rsid w:val="005C195D"/>
    <w:rsid w:val="005C1B93"/>
    <w:rsid w:val="005C203F"/>
    <w:rsid w:val="005C218E"/>
    <w:rsid w:val="005C22E6"/>
    <w:rsid w:val="005C245C"/>
    <w:rsid w:val="005C3046"/>
    <w:rsid w:val="005C32D4"/>
    <w:rsid w:val="005C3A5D"/>
    <w:rsid w:val="005C417B"/>
    <w:rsid w:val="005C4CB6"/>
    <w:rsid w:val="005C5297"/>
    <w:rsid w:val="005C5999"/>
    <w:rsid w:val="005C5A32"/>
    <w:rsid w:val="005C6794"/>
    <w:rsid w:val="005C7069"/>
    <w:rsid w:val="005C72C7"/>
    <w:rsid w:val="005C73E6"/>
    <w:rsid w:val="005C7762"/>
    <w:rsid w:val="005C7850"/>
    <w:rsid w:val="005C7AC3"/>
    <w:rsid w:val="005C7E5E"/>
    <w:rsid w:val="005D028D"/>
    <w:rsid w:val="005D0852"/>
    <w:rsid w:val="005D1983"/>
    <w:rsid w:val="005D1D34"/>
    <w:rsid w:val="005D2387"/>
    <w:rsid w:val="005D2F78"/>
    <w:rsid w:val="005D3673"/>
    <w:rsid w:val="005D36BD"/>
    <w:rsid w:val="005D3914"/>
    <w:rsid w:val="005D3C8B"/>
    <w:rsid w:val="005D3D28"/>
    <w:rsid w:val="005D5711"/>
    <w:rsid w:val="005D578D"/>
    <w:rsid w:val="005D5A75"/>
    <w:rsid w:val="005D64F2"/>
    <w:rsid w:val="005D772F"/>
    <w:rsid w:val="005D78A2"/>
    <w:rsid w:val="005D78AC"/>
    <w:rsid w:val="005E02BA"/>
    <w:rsid w:val="005E02F3"/>
    <w:rsid w:val="005E09B0"/>
    <w:rsid w:val="005E0B68"/>
    <w:rsid w:val="005E0E08"/>
    <w:rsid w:val="005E1A96"/>
    <w:rsid w:val="005E234F"/>
    <w:rsid w:val="005E28F0"/>
    <w:rsid w:val="005E33B7"/>
    <w:rsid w:val="005E33D4"/>
    <w:rsid w:val="005E3C8E"/>
    <w:rsid w:val="005E3E44"/>
    <w:rsid w:val="005E41D4"/>
    <w:rsid w:val="005E4635"/>
    <w:rsid w:val="005E49B3"/>
    <w:rsid w:val="005E4D5C"/>
    <w:rsid w:val="005E4D65"/>
    <w:rsid w:val="005E5EA3"/>
    <w:rsid w:val="005E5EB8"/>
    <w:rsid w:val="005E612B"/>
    <w:rsid w:val="005E642D"/>
    <w:rsid w:val="005E6A33"/>
    <w:rsid w:val="005E6C15"/>
    <w:rsid w:val="005E711B"/>
    <w:rsid w:val="005E7A22"/>
    <w:rsid w:val="005F00F6"/>
    <w:rsid w:val="005F0664"/>
    <w:rsid w:val="005F0A60"/>
    <w:rsid w:val="005F0E20"/>
    <w:rsid w:val="005F14CB"/>
    <w:rsid w:val="005F15F9"/>
    <w:rsid w:val="005F1721"/>
    <w:rsid w:val="005F1C5F"/>
    <w:rsid w:val="005F2046"/>
    <w:rsid w:val="005F29E0"/>
    <w:rsid w:val="005F2D1B"/>
    <w:rsid w:val="005F2F7B"/>
    <w:rsid w:val="005F301A"/>
    <w:rsid w:val="005F3494"/>
    <w:rsid w:val="005F3D12"/>
    <w:rsid w:val="005F3D51"/>
    <w:rsid w:val="005F403F"/>
    <w:rsid w:val="005F4462"/>
    <w:rsid w:val="005F5527"/>
    <w:rsid w:val="005F55A8"/>
    <w:rsid w:val="005F62D4"/>
    <w:rsid w:val="005F64CF"/>
    <w:rsid w:val="005F7210"/>
    <w:rsid w:val="005F7400"/>
    <w:rsid w:val="005F7526"/>
    <w:rsid w:val="00600085"/>
    <w:rsid w:val="0060017F"/>
    <w:rsid w:val="0060076C"/>
    <w:rsid w:val="00600B60"/>
    <w:rsid w:val="0060163F"/>
    <w:rsid w:val="0060175E"/>
    <w:rsid w:val="00602276"/>
    <w:rsid w:val="006022D8"/>
    <w:rsid w:val="006024F1"/>
    <w:rsid w:val="0060267B"/>
    <w:rsid w:val="00602C02"/>
    <w:rsid w:val="00603386"/>
    <w:rsid w:val="0060347D"/>
    <w:rsid w:val="0060349E"/>
    <w:rsid w:val="006037C7"/>
    <w:rsid w:val="0060391D"/>
    <w:rsid w:val="00603A7B"/>
    <w:rsid w:val="00604C9E"/>
    <w:rsid w:val="00604E2E"/>
    <w:rsid w:val="0060583F"/>
    <w:rsid w:val="00606520"/>
    <w:rsid w:val="0060658E"/>
    <w:rsid w:val="00606736"/>
    <w:rsid w:val="00607245"/>
    <w:rsid w:val="0060736C"/>
    <w:rsid w:val="00607384"/>
    <w:rsid w:val="006073B0"/>
    <w:rsid w:val="00607504"/>
    <w:rsid w:val="006106FC"/>
    <w:rsid w:val="00610BA3"/>
    <w:rsid w:val="0061110F"/>
    <w:rsid w:val="0061170C"/>
    <w:rsid w:val="006119C9"/>
    <w:rsid w:val="00611D15"/>
    <w:rsid w:val="0061203C"/>
    <w:rsid w:val="006121D9"/>
    <w:rsid w:val="006127A0"/>
    <w:rsid w:val="00612A9C"/>
    <w:rsid w:val="00612C1C"/>
    <w:rsid w:val="00613716"/>
    <w:rsid w:val="00613827"/>
    <w:rsid w:val="006139AB"/>
    <w:rsid w:val="006139CD"/>
    <w:rsid w:val="00614706"/>
    <w:rsid w:val="00614A31"/>
    <w:rsid w:val="00614FA1"/>
    <w:rsid w:val="0061506D"/>
    <w:rsid w:val="006150AA"/>
    <w:rsid w:val="00616085"/>
    <w:rsid w:val="006163CC"/>
    <w:rsid w:val="00616425"/>
    <w:rsid w:val="00616722"/>
    <w:rsid w:val="00617864"/>
    <w:rsid w:val="00617E22"/>
    <w:rsid w:val="00617EBD"/>
    <w:rsid w:val="006205D8"/>
    <w:rsid w:val="006209F7"/>
    <w:rsid w:val="00621256"/>
    <w:rsid w:val="0062155A"/>
    <w:rsid w:val="00621748"/>
    <w:rsid w:val="006227FA"/>
    <w:rsid w:val="0062339C"/>
    <w:rsid w:val="00623713"/>
    <w:rsid w:val="006243EA"/>
    <w:rsid w:val="00624626"/>
    <w:rsid w:val="00624F32"/>
    <w:rsid w:val="00625501"/>
    <w:rsid w:val="006259E1"/>
    <w:rsid w:val="006266B5"/>
    <w:rsid w:val="00626760"/>
    <w:rsid w:val="00626CFD"/>
    <w:rsid w:val="00627605"/>
    <w:rsid w:val="00630403"/>
    <w:rsid w:val="00630778"/>
    <w:rsid w:val="00630EF7"/>
    <w:rsid w:val="006312A7"/>
    <w:rsid w:val="00631872"/>
    <w:rsid w:val="00632025"/>
    <w:rsid w:val="006326D6"/>
    <w:rsid w:val="00633718"/>
    <w:rsid w:val="006340FE"/>
    <w:rsid w:val="006344A8"/>
    <w:rsid w:val="00634AF9"/>
    <w:rsid w:val="00634E4F"/>
    <w:rsid w:val="006350DF"/>
    <w:rsid w:val="00636295"/>
    <w:rsid w:val="006362BF"/>
    <w:rsid w:val="00636551"/>
    <w:rsid w:val="0063772A"/>
    <w:rsid w:val="00637A5B"/>
    <w:rsid w:val="00637C9D"/>
    <w:rsid w:val="00637EAE"/>
    <w:rsid w:val="006418A1"/>
    <w:rsid w:val="006419B4"/>
    <w:rsid w:val="006419E7"/>
    <w:rsid w:val="00641A24"/>
    <w:rsid w:val="00641E79"/>
    <w:rsid w:val="00642DED"/>
    <w:rsid w:val="006433AB"/>
    <w:rsid w:val="00643916"/>
    <w:rsid w:val="00643B84"/>
    <w:rsid w:val="00643B9E"/>
    <w:rsid w:val="00643EA5"/>
    <w:rsid w:val="0064458D"/>
    <w:rsid w:val="006445A9"/>
    <w:rsid w:val="00644605"/>
    <w:rsid w:val="00644685"/>
    <w:rsid w:val="00644D18"/>
    <w:rsid w:val="00645930"/>
    <w:rsid w:val="00646088"/>
    <w:rsid w:val="006460AE"/>
    <w:rsid w:val="00646B4A"/>
    <w:rsid w:val="006472CA"/>
    <w:rsid w:val="006475B3"/>
    <w:rsid w:val="006475BC"/>
    <w:rsid w:val="0064770F"/>
    <w:rsid w:val="00647769"/>
    <w:rsid w:val="00647F6F"/>
    <w:rsid w:val="006502DB"/>
    <w:rsid w:val="006509DD"/>
    <w:rsid w:val="00650BB8"/>
    <w:rsid w:val="00651702"/>
    <w:rsid w:val="006517E1"/>
    <w:rsid w:val="00651EBD"/>
    <w:rsid w:val="00651F4C"/>
    <w:rsid w:val="00651FE4"/>
    <w:rsid w:val="006522D5"/>
    <w:rsid w:val="00652310"/>
    <w:rsid w:val="006523FD"/>
    <w:rsid w:val="00652828"/>
    <w:rsid w:val="006540B5"/>
    <w:rsid w:val="0065487E"/>
    <w:rsid w:val="00654999"/>
    <w:rsid w:val="0065593E"/>
    <w:rsid w:val="00655BD2"/>
    <w:rsid w:val="00656311"/>
    <w:rsid w:val="006569E0"/>
    <w:rsid w:val="00657950"/>
    <w:rsid w:val="00657EAA"/>
    <w:rsid w:val="006604F7"/>
    <w:rsid w:val="00660E59"/>
    <w:rsid w:val="00661553"/>
    <w:rsid w:val="0066246E"/>
    <w:rsid w:val="00662A3D"/>
    <w:rsid w:val="00662EAA"/>
    <w:rsid w:val="00663316"/>
    <w:rsid w:val="00663707"/>
    <w:rsid w:val="00663969"/>
    <w:rsid w:val="0066471A"/>
    <w:rsid w:val="00664B26"/>
    <w:rsid w:val="006652C9"/>
    <w:rsid w:val="006654AE"/>
    <w:rsid w:val="0066574F"/>
    <w:rsid w:val="0066641B"/>
    <w:rsid w:val="0066676E"/>
    <w:rsid w:val="0066686C"/>
    <w:rsid w:val="00666EDB"/>
    <w:rsid w:val="006671ED"/>
    <w:rsid w:val="00667837"/>
    <w:rsid w:val="00667A2C"/>
    <w:rsid w:val="00670191"/>
    <w:rsid w:val="006701FF"/>
    <w:rsid w:val="00670328"/>
    <w:rsid w:val="00670A27"/>
    <w:rsid w:val="00670EA7"/>
    <w:rsid w:val="0067117E"/>
    <w:rsid w:val="006714D0"/>
    <w:rsid w:val="00673A99"/>
    <w:rsid w:val="00673EE3"/>
    <w:rsid w:val="00674CD6"/>
    <w:rsid w:val="00674DFC"/>
    <w:rsid w:val="00675608"/>
    <w:rsid w:val="006757F9"/>
    <w:rsid w:val="006759F5"/>
    <w:rsid w:val="006761DF"/>
    <w:rsid w:val="00676229"/>
    <w:rsid w:val="0067658E"/>
    <w:rsid w:val="006769B3"/>
    <w:rsid w:val="00676D57"/>
    <w:rsid w:val="00676E06"/>
    <w:rsid w:val="00677119"/>
    <w:rsid w:val="00677246"/>
    <w:rsid w:val="00677725"/>
    <w:rsid w:val="00677745"/>
    <w:rsid w:val="00677910"/>
    <w:rsid w:val="00677CFC"/>
    <w:rsid w:val="00677D93"/>
    <w:rsid w:val="00680839"/>
    <w:rsid w:val="00681A65"/>
    <w:rsid w:val="00681C37"/>
    <w:rsid w:val="00681D10"/>
    <w:rsid w:val="00682802"/>
    <w:rsid w:val="00682A92"/>
    <w:rsid w:val="00682BF6"/>
    <w:rsid w:val="00682CE2"/>
    <w:rsid w:val="00683032"/>
    <w:rsid w:val="0068383B"/>
    <w:rsid w:val="00683C57"/>
    <w:rsid w:val="00683C5D"/>
    <w:rsid w:val="0068451E"/>
    <w:rsid w:val="006847D9"/>
    <w:rsid w:val="006848AD"/>
    <w:rsid w:val="00684E42"/>
    <w:rsid w:val="00685032"/>
    <w:rsid w:val="00685257"/>
    <w:rsid w:val="00685269"/>
    <w:rsid w:val="00685A08"/>
    <w:rsid w:val="00685A2A"/>
    <w:rsid w:val="00686211"/>
    <w:rsid w:val="0068707B"/>
    <w:rsid w:val="006878F0"/>
    <w:rsid w:val="006902E2"/>
    <w:rsid w:val="006903F9"/>
    <w:rsid w:val="00690B0D"/>
    <w:rsid w:val="00691231"/>
    <w:rsid w:val="006912BB"/>
    <w:rsid w:val="00691A3D"/>
    <w:rsid w:val="00691CB2"/>
    <w:rsid w:val="006921F4"/>
    <w:rsid w:val="00692211"/>
    <w:rsid w:val="006933BE"/>
    <w:rsid w:val="006933E0"/>
    <w:rsid w:val="006935A2"/>
    <w:rsid w:val="00693668"/>
    <w:rsid w:val="00693A93"/>
    <w:rsid w:val="00693BCB"/>
    <w:rsid w:val="0069476E"/>
    <w:rsid w:val="006949B8"/>
    <w:rsid w:val="00695BEE"/>
    <w:rsid w:val="006960A1"/>
    <w:rsid w:val="0069621B"/>
    <w:rsid w:val="00697212"/>
    <w:rsid w:val="00697D80"/>
    <w:rsid w:val="006A01C0"/>
    <w:rsid w:val="006A092D"/>
    <w:rsid w:val="006A09DC"/>
    <w:rsid w:val="006A0D2C"/>
    <w:rsid w:val="006A0F5C"/>
    <w:rsid w:val="006A1D4F"/>
    <w:rsid w:val="006A1ECA"/>
    <w:rsid w:val="006A23BE"/>
    <w:rsid w:val="006A2405"/>
    <w:rsid w:val="006A2880"/>
    <w:rsid w:val="006A290F"/>
    <w:rsid w:val="006A32CB"/>
    <w:rsid w:val="006A37B3"/>
    <w:rsid w:val="006A38B5"/>
    <w:rsid w:val="006A3BC3"/>
    <w:rsid w:val="006A466C"/>
    <w:rsid w:val="006A48DB"/>
    <w:rsid w:val="006A4E3A"/>
    <w:rsid w:val="006A4F75"/>
    <w:rsid w:val="006A59AD"/>
    <w:rsid w:val="006A5C0F"/>
    <w:rsid w:val="006A6142"/>
    <w:rsid w:val="006A619D"/>
    <w:rsid w:val="006A6552"/>
    <w:rsid w:val="006A6AB7"/>
    <w:rsid w:val="006A75BE"/>
    <w:rsid w:val="006A76E6"/>
    <w:rsid w:val="006B005F"/>
    <w:rsid w:val="006B04E5"/>
    <w:rsid w:val="006B11E1"/>
    <w:rsid w:val="006B23AB"/>
    <w:rsid w:val="006B27E0"/>
    <w:rsid w:val="006B2BD8"/>
    <w:rsid w:val="006B2C26"/>
    <w:rsid w:val="006B2CD4"/>
    <w:rsid w:val="006B3193"/>
    <w:rsid w:val="006B324C"/>
    <w:rsid w:val="006B3DBA"/>
    <w:rsid w:val="006B4384"/>
    <w:rsid w:val="006B4D27"/>
    <w:rsid w:val="006B4EE4"/>
    <w:rsid w:val="006B5077"/>
    <w:rsid w:val="006B5B81"/>
    <w:rsid w:val="006B66B2"/>
    <w:rsid w:val="006B7919"/>
    <w:rsid w:val="006B7DED"/>
    <w:rsid w:val="006C02BF"/>
    <w:rsid w:val="006C0F49"/>
    <w:rsid w:val="006C1A11"/>
    <w:rsid w:val="006C2118"/>
    <w:rsid w:val="006C25F7"/>
    <w:rsid w:val="006C2841"/>
    <w:rsid w:val="006C2957"/>
    <w:rsid w:val="006C2DC3"/>
    <w:rsid w:val="006C3033"/>
    <w:rsid w:val="006C3370"/>
    <w:rsid w:val="006C394D"/>
    <w:rsid w:val="006C39D7"/>
    <w:rsid w:val="006C3D1A"/>
    <w:rsid w:val="006C4468"/>
    <w:rsid w:val="006C485F"/>
    <w:rsid w:val="006C6467"/>
    <w:rsid w:val="006C6797"/>
    <w:rsid w:val="006C6804"/>
    <w:rsid w:val="006C6CD5"/>
    <w:rsid w:val="006C6CF6"/>
    <w:rsid w:val="006C7860"/>
    <w:rsid w:val="006C786D"/>
    <w:rsid w:val="006C7EB5"/>
    <w:rsid w:val="006C7F4E"/>
    <w:rsid w:val="006D0690"/>
    <w:rsid w:val="006D07A0"/>
    <w:rsid w:val="006D0815"/>
    <w:rsid w:val="006D0E7C"/>
    <w:rsid w:val="006D1BB0"/>
    <w:rsid w:val="006D1F3C"/>
    <w:rsid w:val="006D23EC"/>
    <w:rsid w:val="006D24DB"/>
    <w:rsid w:val="006D2579"/>
    <w:rsid w:val="006D2DB8"/>
    <w:rsid w:val="006D3AA7"/>
    <w:rsid w:val="006D40CD"/>
    <w:rsid w:val="006D4B6B"/>
    <w:rsid w:val="006D4F36"/>
    <w:rsid w:val="006D5165"/>
    <w:rsid w:val="006D5C21"/>
    <w:rsid w:val="006D605B"/>
    <w:rsid w:val="006D70C8"/>
    <w:rsid w:val="006D70EA"/>
    <w:rsid w:val="006D7251"/>
    <w:rsid w:val="006D78A9"/>
    <w:rsid w:val="006D7C4A"/>
    <w:rsid w:val="006E06A5"/>
    <w:rsid w:val="006E0B73"/>
    <w:rsid w:val="006E0CEE"/>
    <w:rsid w:val="006E0DB2"/>
    <w:rsid w:val="006E0DF9"/>
    <w:rsid w:val="006E13CD"/>
    <w:rsid w:val="006E14CA"/>
    <w:rsid w:val="006E19FE"/>
    <w:rsid w:val="006E215D"/>
    <w:rsid w:val="006E21AA"/>
    <w:rsid w:val="006E2536"/>
    <w:rsid w:val="006E2B5B"/>
    <w:rsid w:val="006E327F"/>
    <w:rsid w:val="006E32DF"/>
    <w:rsid w:val="006E3331"/>
    <w:rsid w:val="006E4283"/>
    <w:rsid w:val="006E4802"/>
    <w:rsid w:val="006E4BA6"/>
    <w:rsid w:val="006E4E3F"/>
    <w:rsid w:val="006E632C"/>
    <w:rsid w:val="006E6407"/>
    <w:rsid w:val="006E643C"/>
    <w:rsid w:val="006F0623"/>
    <w:rsid w:val="006F0BB5"/>
    <w:rsid w:val="006F0CBB"/>
    <w:rsid w:val="006F1855"/>
    <w:rsid w:val="006F1B82"/>
    <w:rsid w:val="006F1BF6"/>
    <w:rsid w:val="006F1DD6"/>
    <w:rsid w:val="006F1FAC"/>
    <w:rsid w:val="006F230F"/>
    <w:rsid w:val="006F2E7A"/>
    <w:rsid w:val="006F38EA"/>
    <w:rsid w:val="006F3C19"/>
    <w:rsid w:val="006F3D77"/>
    <w:rsid w:val="006F3DBE"/>
    <w:rsid w:val="006F4D96"/>
    <w:rsid w:val="006F5730"/>
    <w:rsid w:val="006F596E"/>
    <w:rsid w:val="006F5B35"/>
    <w:rsid w:val="006F5C11"/>
    <w:rsid w:val="006F5D7C"/>
    <w:rsid w:val="006F6336"/>
    <w:rsid w:val="006F6B03"/>
    <w:rsid w:val="006F6F17"/>
    <w:rsid w:val="006F7259"/>
    <w:rsid w:val="006F7362"/>
    <w:rsid w:val="006F76FF"/>
    <w:rsid w:val="006F78AC"/>
    <w:rsid w:val="00700316"/>
    <w:rsid w:val="00700FE4"/>
    <w:rsid w:val="0070160D"/>
    <w:rsid w:val="00701B56"/>
    <w:rsid w:val="00701C63"/>
    <w:rsid w:val="00701F2E"/>
    <w:rsid w:val="007021B9"/>
    <w:rsid w:val="00702606"/>
    <w:rsid w:val="007027C6"/>
    <w:rsid w:val="00702B49"/>
    <w:rsid w:val="00702D57"/>
    <w:rsid w:val="0070300D"/>
    <w:rsid w:val="007033F8"/>
    <w:rsid w:val="00703579"/>
    <w:rsid w:val="00703897"/>
    <w:rsid w:val="00703979"/>
    <w:rsid w:val="00703EB8"/>
    <w:rsid w:val="0070458F"/>
    <w:rsid w:val="0070494E"/>
    <w:rsid w:val="007050BF"/>
    <w:rsid w:val="00705B53"/>
    <w:rsid w:val="00705E61"/>
    <w:rsid w:val="007063EA"/>
    <w:rsid w:val="00706751"/>
    <w:rsid w:val="00706A7C"/>
    <w:rsid w:val="00706B0C"/>
    <w:rsid w:val="00706DA9"/>
    <w:rsid w:val="00706E4B"/>
    <w:rsid w:val="007070B5"/>
    <w:rsid w:val="007076BF"/>
    <w:rsid w:val="007077F6"/>
    <w:rsid w:val="007078A0"/>
    <w:rsid w:val="00707D64"/>
    <w:rsid w:val="007110FA"/>
    <w:rsid w:val="007119DC"/>
    <w:rsid w:val="007124E4"/>
    <w:rsid w:val="007129C0"/>
    <w:rsid w:val="007132B8"/>
    <w:rsid w:val="007134D1"/>
    <w:rsid w:val="00713FD5"/>
    <w:rsid w:val="007143D6"/>
    <w:rsid w:val="00714654"/>
    <w:rsid w:val="007147F2"/>
    <w:rsid w:val="007157D5"/>
    <w:rsid w:val="00715A24"/>
    <w:rsid w:val="0071606D"/>
    <w:rsid w:val="0071792C"/>
    <w:rsid w:val="00717C3C"/>
    <w:rsid w:val="007202E7"/>
    <w:rsid w:val="0072046D"/>
    <w:rsid w:val="007210A5"/>
    <w:rsid w:val="0072123E"/>
    <w:rsid w:val="00721EE9"/>
    <w:rsid w:val="007223C6"/>
    <w:rsid w:val="007228D3"/>
    <w:rsid w:val="00722967"/>
    <w:rsid w:val="00722DDF"/>
    <w:rsid w:val="007238B7"/>
    <w:rsid w:val="00723E66"/>
    <w:rsid w:val="0072409C"/>
    <w:rsid w:val="0072514C"/>
    <w:rsid w:val="007263E0"/>
    <w:rsid w:val="0072687B"/>
    <w:rsid w:val="007268DB"/>
    <w:rsid w:val="00726B1D"/>
    <w:rsid w:val="00726D6E"/>
    <w:rsid w:val="00727A37"/>
    <w:rsid w:val="00730018"/>
    <w:rsid w:val="0073093D"/>
    <w:rsid w:val="00730FDD"/>
    <w:rsid w:val="00731487"/>
    <w:rsid w:val="0073199C"/>
    <w:rsid w:val="00731F70"/>
    <w:rsid w:val="00732188"/>
    <w:rsid w:val="0073313F"/>
    <w:rsid w:val="0073346D"/>
    <w:rsid w:val="0073396E"/>
    <w:rsid w:val="0073431E"/>
    <w:rsid w:val="007345AE"/>
    <w:rsid w:val="007349E5"/>
    <w:rsid w:val="00735939"/>
    <w:rsid w:val="00735ACD"/>
    <w:rsid w:val="0073637B"/>
    <w:rsid w:val="007364BD"/>
    <w:rsid w:val="0073692B"/>
    <w:rsid w:val="00736C69"/>
    <w:rsid w:val="0073764C"/>
    <w:rsid w:val="00737B9E"/>
    <w:rsid w:val="00737E7E"/>
    <w:rsid w:val="00740020"/>
    <w:rsid w:val="00740151"/>
    <w:rsid w:val="00740617"/>
    <w:rsid w:val="00740661"/>
    <w:rsid w:val="00740AE6"/>
    <w:rsid w:val="00740EF5"/>
    <w:rsid w:val="0074124C"/>
    <w:rsid w:val="0074196B"/>
    <w:rsid w:val="00741DA4"/>
    <w:rsid w:val="00741EC2"/>
    <w:rsid w:val="007434F2"/>
    <w:rsid w:val="00743572"/>
    <w:rsid w:val="007436F4"/>
    <w:rsid w:val="00743C3C"/>
    <w:rsid w:val="00743E52"/>
    <w:rsid w:val="00743ED4"/>
    <w:rsid w:val="007442DD"/>
    <w:rsid w:val="007442FF"/>
    <w:rsid w:val="00745622"/>
    <w:rsid w:val="00745B01"/>
    <w:rsid w:val="00745F1F"/>
    <w:rsid w:val="00745FC8"/>
    <w:rsid w:val="007462D5"/>
    <w:rsid w:val="007463B8"/>
    <w:rsid w:val="007465A5"/>
    <w:rsid w:val="00746B3E"/>
    <w:rsid w:val="00747C4C"/>
    <w:rsid w:val="007504A5"/>
    <w:rsid w:val="00750E29"/>
    <w:rsid w:val="007512DD"/>
    <w:rsid w:val="0075154E"/>
    <w:rsid w:val="00751BA2"/>
    <w:rsid w:val="007529DC"/>
    <w:rsid w:val="00752C6D"/>
    <w:rsid w:val="007531B7"/>
    <w:rsid w:val="0075330C"/>
    <w:rsid w:val="007537EC"/>
    <w:rsid w:val="00753B25"/>
    <w:rsid w:val="00753F63"/>
    <w:rsid w:val="00754155"/>
    <w:rsid w:val="00754475"/>
    <w:rsid w:val="00754527"/>
    <w:rsid w:val="00754D60"/>
    <w:rsid w:val="00755C8A"/>
    <w:rsid w:val="007560E6"/>
    <w:rsid w:val="007563D4"/>
    <w:rsid w:val="00756405"/>
    <w:rsid w:val="007564EC"/>
    <w:rsid w:val="007565E5"/>
    <w:rsid w:val="0075661F"/>
    <w:rsid w:val="00756B9E"/>
    <w:rsid w:val="007576FE"/>
    <w:rsid w:val="00757D36"/>
    <w:rsid w:val="007601A2"/>
    <w:rsid w:val="007601E9"/>
    <w:rsid w:val="0076024B"/>
    <w:rsid w:val="00760537"/>
    <w:rsid w:val="00760610"/>
    <w:rsid w:val="00760D51"/>
    <w:rsid w:val="00761311"/>
    <w:rsid w:val="00761F6B"/>
    <w:rsid w:val="007621D7"/>
    <w:rsid w:val="007622EB"/>
    <w:rsid w:val="007623FF"/>
    <w:rsid w:val="0076248F"/>
    <w:rsid w:val="00763648"/>
    <w:rsid w:val="007639B5"/>
    <w:rsid w:val="007642D3"/>
    <w:rsid w:val="007645A8"/>
    <w:rsid w:val="0076461F"/>
    <w:rsid w:val="007647E0"/>
    <w:rsid w:val="00764EE7"/>
    <w:rsid w:val="00765381"/>
    <w:rsid w:val="00765653"/>
    <w:rsid w:val="007662BE"/>
    <w:rsid w:val="0076695C"/>
    <w:rsid w:val="007671D8"/>
    <w:rsid w:val="00767375"/>
    <w:rsid w:val="00767C98"/>
    <w:rsid w:val="00770624"/>
    <w:rsid w:val="0077063B"/>
    <w:rsid w:val="00770B00"/>
    <w:rsid w:val="00770FAB"/>
    <w:rsid w:val="00771369"/>
    <w:rsid w:val="0077143B"/>
    <w:rsid w:val="0077153D"/>
    <w:rsid w:val="00771759"/>
    <w:rsid w:val="00771B6C"/>
    <w:rsid w:val="00771F89"/>
    <w:rsid w:val="00772668"/>
    <w:rsid w:val="007730C5"/>
    <w:rsid w:val="00773A0D"/>
    <w:rsid w:val="00773BAD"/>
    <w:rsid w:val="00773F58"/>
    <w:rsid w:val="007742FA"/>
    <w:rsid w:val="00774560"/>
    <w:rsid w:val="00774B9B"/>
    <w:rsid w:val="00774F01"/>
    <w:rsid w:val="007754A0"/>
    <w:rsid w:val="00775B24"/>
    <w:rsid w:val="00775C65"/>
    <w:rsid w:val="007761E8"/>
    <w:rsid w:val="00776C7A"/>
    <w:rsid w:val="00776D96"/>
    <w:rsid w:val="00777277"/>
    <w:rsid w:val="00777FC4"/>
    <w:rsid w:val="00780161"/>
    <w:rsid w:val="007802EC"/>
    <w:rsid w:val="00780444"/>
    <w:rsid w:val="0078055E"/>
    <w:rsid w:val="0078095B"/>
    <w:rsid w:val="0078098D"/>
    <w:rsid w:val="0078109E"/>
    <w:rsid w:val="007811D5"/>
    <w:rsid w:val="007811F9"/>
    <w:rsid w:val="00781526"/>
    <w:rsid w:val="00781EFC"/>
    <w:rsid w:val="007825A9"/>
    <w:rsid w:val="00782ED1"/>
    <w:rsid w:val="00783855"/>
    <w:rsid w:val="00783B32"/>
    <w:rsid w:val="00783DCF"/>
    <w:rsid w:val="00784A4A"/>
    <w:rsid w:val="00784F00"/>
    <w:rsid w:val="0078535B"/>
    <w:rsid w:val="00785627"/>
    <w:rsid w:val="00785E80"/>
    <w:rsid w:val="007863B5"/>
    <w:rsid w:val="007863DE"/>
    <w:rsid w:val="0078720F"/>
    <w:rsid w:val="00787461"/>
    <w:rsid w:val="00787635"/>
    <w:rsid w:val="007876AD"/>
    <w:rsid w:val="00787A53"/>
    <w:rsid w:val="00787DE0"/>
    <w:rsid w:val="0079056E"/>
    <w:rsid w:val="00790B55"/>
    <w:rsid w:val="00790DB8"/>
    <w:rsid w:val="00791876"/>
    <w:rsid w:val="00791E98"/>
    <w:rsid w:val="00792BE1"/>
    <w:rsid w:val="00792C0B"/>
    <w:rsid w:val="00793189"/>
    <w:rsid w:val="007932CE"/>
    <w:rsid w:val="00793F27"/>
    <w:rsid w:val="0079448B"/>
    <w:rsid w:val="0079477D"/>
    <w:rsid w:val="0079566D"/>
    <w:rsid w:val="007970EB"/>
    <w:rsid w:val="00797171"/>
    <w:rsid w:val="00797450"/>
    <w:rsid w:val="007A081D"/>
    <w:rsid w:val="007A09C4"/>
    <w:rsid w:val="007A0DFC"/>
    <w:rsid w:val="007A1292"/>
    <w:rsid w:val="007A195F"/>
    <w:rsid w:val="007A1C19"/>
    <w:rsid w:val="007A2089"/>
    <w:rsid w:val="007A2B41"/>
    <w:rsid w:val="007A2B7B"/>
    <w:rsid w:val="007A32E4"/>
    <w:rsid w:val="007A32E7"/>
    <w:rsid w:val="007A3767"/>
    <w:rsid w:val="007A3D9F"/>
    <w:rsid w:val="007A4727"/>
    <w:rsid w:val="007A480A"/>
    <w:rsid w:val="007A4D7B"/>
    <w:rsid w:val="007A5174"/>
    <w:rsid w:val="007A5265"/>
    <w:rsid w:val="007A5CCF"/>
    <w:rsid w:val="007A5EDF"/>
    <w:rsid w:val="007A60D8"/>
    <w:rsid w:val="007A617F"/>
    <w:rsid w:val="007A671E"/>
    <w:rsid w:val="007A67E4"/>
    <w:rsid w:val="007A6BFF"/>
    <w:rsid w:val="007A75A8"/>
    <w:rsid w:val="007A76D3"/>
    <w:rsid w:val="007A7BA9"/>
    <w:rsid w:val="007B04A0"/>
    <w:rsid w:val="007B04FC"/>
    <w:rsid w:val="007B0E3C"/>
    <w:rsid w:val="007B0E99"/>
    <w:rsid w:val="007B0F48"/>
    <w:rsid w:val="007B0F81"/>
    <w:rsid w:val="007B1107"/>
    <w:rsid w:val="007B1183"/>
    <w:rsid w:val="007B1306"/>
    <w:rsid w:val="007B1642"/>
    <w:rsid w:val="007B1AB6"/>
    <w:rsid w:val="007B1C76"/>
    <w:rsid w:val="007B1FBB"/>
    <w:rsid w:val="007B2478"/>
    <w:rsid w:val="007B2570"/>
    <w:rsid w:val="007B2EDC"/>
    <w:rsid w:val="007B38A8"/>
    <w:rsid w:val="007B3CB4"/>
    <w:rsid w:val="007B409F"/>
    <w:rsid w:val="007B4385"/>
    <w:rsid w:val="007B4B53"/>
    <w:rsid w:val="007B4D5E"/>
    <w:rsid w:val="007B6176"/>
    <w:rsid w:val="007B66B5"/>
    <w:rsid w:val="007B72E7"/>
    <w:rsid w:val="007B7419"/>
    <w:rsid w:val="007B7D61"/>
    <w:rsid w:val="007C2706"/>
    <w:rsid w:val="007C2B0D"/>
    <w:rsid w:val="007C2B1D"/>
    <w:rsid w:val="007C354E"/>
    <w:rsid w:val="007C4763"/>
    <w:rsid w:val="007C4800"/>
    <w:rsid w:val="007C4E36"/>
    <w:rsid w:val="007C58E2"/>
    <w:rsid w:val="007C5CC2"/>
    <w:rsid w:val="007C5E2D"/>
    <w:rsid w:val="007C6133"/>
    <w:rsid w:val="007C78EE"/>
    <w:rsid w:val="007C7A63"/>
    <w:rsid w:val="007D043D"/>
    <w:rsid w:val="007D04E6"/>
    <w:rsid w:val="007D0756"/>
    <w:rsid w:val="007D0A75"/>
    <w:rsid w:val="007D1805"/>
    <w:rsid w:val="007D1E41"/>
    <w:rsid w:val="007D2A74"/>
    <w:rsid w:val="007D3531"/>
    <w:rsid w:val="007D40DF"/>
    <w:rsid w:val="007D450E"/>
    <w:rsid w:val="007D5103"/>
    <w:rsid w:val="007D5873"/>
    <w:rsid w:val="007D59D4"/>
    <w:rsid w:val="007D6440"/>
    <w:rsid w:val="007D659D"/>
    <w:rsid w:val="007D6B65"/>
    <w:rsid w:val="007D72FE"/>
    <w:rsid w:val="007D74EA"/>
    <w:rsid w:val="007D7DDE"/>
    <w:rsid w:val="007D7FDF"/>
    <w:rsid w:val="007E05AF"/>
    <w:rsid w:val="007E0DF0"/>
    <w:rsid w:val="007E163E"/>
    <w:rsid w:val="007E16A8"/>
    <w:rsid w:val="007E2D07"/>
    <w:rsid w:val="007E2D5F"/>
    <w:rsid w:val="007E2D7E"/>
    <w:rsid w:val="007E2E6D"/>
    <w:rsid w:val="007E3295"/>
    <w:rsid w:val="007E3D29"/>
    <w:rsid w:val="007E4199"/>
    <w:rsid w:val="007E47A6"/>
    <w:rsid w:val="007E47D9"/>
    <w:rsid w:val="007E5237"/>
    <w:rsid w:val="007E5AAE"/>
    <w:rsid w:val="007E67B4"/>
    <w:rsid w:val="007E6D81"/>
    <w:rsid w:val="007E7128"/>
    <w:rsid w:val="007E7285"/>
    <w:rsid w:val="007E72AD"/>
    <w:rsid w:val="007E73C4"/>
    <w:rsid w:val="007E7479"/>
    <w:rsid w:val="007E7B5F"/>
    <w:rsid w:val="007F091B"/>
    <w:rsid w:val="007F0FD6"/>
    <w:rsid w:val="007F2166"/>
    <w:rsid w:val="007F3094"/>
    <w:rsid w:val="007F336D"/>
    <w:rsid w:val="007F3649"/>
    <w:rsid w:val="007F3B1F"/>
    <w:rsid w:val="007F4207"/>
    <w:rsid w:val="007F4DF3"/>
    <w:rsid w:val="007F5E47"/>
    <w:rsid w:val="007F679C"/>
    <w:rsid w:val="007F696A"/>
    <w:rsid w:val="007F696C"/>
    <w:rsid w:val="007F69F8"/>
    <w:rsid w:val="007F7228"/>
    <w:rsid w:val="007F74A2"/>
    <w:rsid w:val="007F7C5E"/>
    <w:rsid w:val="007F7CE5"/>
    <w:rsid w:val="007F7F3D"/>
    <w:rsid w:val="00800269"/>
    <w:rsid w:val="00800B21"/>
    <w:rsid w:val="0080132D"/>
    <w:rsid w:val="00801756"/>
    <w:rsid w:val="00801E7D"/>
    <w:rsid w:val="00801FB6"/>
    <w:rsid w:val="00802B4F"/>
    <w:rsid w:val="00802EC7"/>
    <w:rsid w:val="00802F1C"/>
    <w:rsid w:val="0080376F"/>
    <w:rsid w:val="00803F95"/>
    <w:rsid w:val="00804014"/>
    <w:rsid w:val="00804B6E"/>
    <w:rsid w:val="00804BC1"/>
    <w:rsid w:val="00805093"/>
    <w:rsid w:val="008051F1"/>
    <w:rsid w:val="00805252"/>
    <w:rsid w:val="00805318"/>
    <w:rsid w:val="00805394"/>
    <w:rsid w:val="008055C4"/>
    <w:rsid w:val="00805A4F"/>
    <w:rsid w:val="00806643"/>
    <w:rsid w:val="00806AF3"/>
    <w:rsid w:val="00806F2F"/>
    <w:rsid w:val="00807292"/>
    <w:rsid w:val="00807B2F"/>
    <w:rsid w:val="00807B88"/>
    <w:rsid w:val="00807EBF"/>
    <w:rsid w:val="008100DF"/>
    <w:rsid w:val="00810DC6"/>
    <w:rsid w:val="00810EEA"/>
    <w:rsid w:val="00811258"/>
    <w:rsid w:val="008114FC"/>
    <w:rsid w:val="00811681"/>
    <w:rsid w:val="00811DC9"/>
    <w:rsid w:val="00812DA9"/>
    <w:rsid w:val="00812FA1"/>
    <w:rsid w:val="008133C5"/>
    <w:rsid w:val="00814CE6"/>
    <w:rsid w:val="0081520F"/>
    <w:rsid w:val="00815277"/>
    <w:rsid w:val="008154A2"/>
    <w:rsid w:val="00815CEF"/>
    <w:rsid w:val="00815EFC"/>
    <w:rsid w:val="00816F05"/>
    <w:rsid w:val="00817D42"/>
    <w:rsid w:val="0082018D"/>
    <w:rsid w:val="008206C4"/>
    <w:rsid w:val="00820DFA"/>
    <w:rsid w:val="008210DA"/>
    <w:rsid w:val="0082179C"/>
    <w:rsid w:val="00821937"/>
    <w:rsid w:val="00821E4A"/>
    <w:rsid w:val="008220D7"/>
    <w:rsid w:val="00822454"/>
    <w:rsid w:val="00822873"/>
    <w:rsid w:val="0082379C"/>
    <w:rsid w:val="00823AC8"/>
    <w:rsid w:val="00823C92"/>
    <w:rsid w:val="0082433E"/>
    <w:rsid w:val="00824549"/>
    <w:rsid w:val="00824A27"/>
    <w:rsid w:val="0082527F"/>
    <w:rsid w:val="008252E7"/>
    <w:rsid w:val="00825668"/>
    <w:rsid w:val="008258AD"/>
    <w:rsid w:val="00825C51"/>
    <w:rsid w:val="00826354"/>
    <w:rsid w:val="00826AD7"/>
    <w:rsid w:val="00827B9E"/>
    <w:rsid w:val="00827C79"/>
    <w:rsid w:val="00830D2B"/>
    <w:rsid w:val="00831A2E"/>
    <w:rsid w:val="00831B7F"/>
    <w:rsid w:val="008326D5"/>
    <w:rsid w:val="00833239"/>
    <w:rsid w:val="0083343B"/>
    <w:rsid w:val="008339F1"/>
    <w:rsid w:val="008339F9"/>
    <w:rsid w:val="00833A61"/>
    <w:rsid w:val="00833B96"/>
    <w:rsid w:val="00833F12"/>
    <w:rsid w:val="0083456F"/>
    <w:rsid w:val="0083478F"/>
    <w:rsid w:val="008347DC"/>
    <w:rsid w:val="00835183"/>
    <w:rsid w:val="00835353"/>
    <w:rsid w:val="00835C1F"/>
    <w:rsid w:val="008362DD"/>
    <w:rsid w:val="0083650F"/>
    <w:rsid w:val="00836A03"/>
    <w:rsid w:val="00836C89"/>
    <w:rsid w:val="00836CFD"/>
    <w:rsid w:val="00837358"/>
    <w:rsid w:val="0083771A"/>
    <w:rsid w:val="00837AA1"/>
    <w:rsid w:val="00837E49"/>
    <w:rsid w:val="00840098"/>
    <w:rsid w:val="00840140"/>
    <w:rsid w:val="0084026C"/>
    <w:rsid w:val="00840FA7"/>
    <w:rsid w:val="008418E2"/>
    <w:rsid w:val="0084220A"/>
    <w:rsid w:val="008422A5"/>
    <w:rsid w:val="008423E8"/>
    <w:rsid w:val="008427D6"/>
    <w:rsid w:val="00843095"/>
    <w:rsid w:val="0084339D"/>
    <w:rsid w:val="00843871"/>
    <w:rsid w:val="0084391C"/>
    <w:rsid w:val="00843E93"/>
    <w:rsid w:val="0084485D"/>
    <w:rsid w:val="0084491B"/>
    <w:rsid w:val="008456CA"/>
    <w:rsid w:val="00845CD0"/>
    <w:rsid w:val="00845D4E"/>
    <w:rsid w:val="00846410"/>
    <w:rsid w:val="008465A2"/>
    <w:rsid w:val="00846731"/>
    <w:rsid w:val="008469C6"/>
    <w:rsid w:val="0084751E"/>
    <w:rsid w:val="008476DF"/>
    <w:rsid w:val="008478CF"/>
    <w:rsid w:val="008506DD"/>
    <w:rsid w:val="00850DE7"/>
    <w:rsid w:val="0085104D"/>
    <w:rsid w:val="00852A6B"/>
    <w:rsid w:val="00852CAA"/>
    <w:rsid w:val="0085359D"/>
    <w:rsid w:val="008544D9"/>
    <w:rsid w:val="008548B3"/>
    <w:rsid w:val="00854946"/>
    <w:rsid w:val="0085509D"/>
    <w:rsid w:val="008562DF"/>
    <w:rsid w:val="0085647B"/>
    <w:rsid w:val="00856FE2"/>
    <w:rsid w:val="00857DF0"/>
    <w:rsid w:val="00860666"/>
    <w:rsid w:val="0086087B"/>
    <w:rsid w:val="00860BD0"/>
    <w:rsid w:val="00860C49"/>
    <w:rsid w:val="00861122"/>
    <w:rsid w:val="00861DAA"/>
    <w:rsid w:val="00861E79"/>
    <w:rsid w:val="008622B9"/>
    <w:rsid w:val="00862326"/>
    <w:rsid w:val="00862952"/>
    <w:rsid w:val="008629AB"/>
    <w:rsid w:val="008630F6"/>
    <w:rsid w:val="008633BB"/>
    <w:rsid w:val="008634B1"/>
    <w:rsid w:val="00863D0E"/>
    <w:rsid w:val="00863F5D"/>
    <w:rsid w:val="00864F77"/>
    <w:rsid w:val="00865098"/>
    <w:rsid w:val="008656E0"/>
    <w:rsid w:val="00865703"/>
    <w:rsid w:val="00865945"/>
    <w:rsid w:val="008659A2"/>
    <w:rsid w:val="00865A92"/>
    <w:rsid w:val="00866944"/>
    <w:rsid w:val="008669FB"/>
    <w:rsid w:val="00867521"/>
    <w:rsid w:val="00867722"/>
    <w:rsid w:val="00867B60"/>
    <w:rsid w:val="00867E98"/>
    <w:rsid w:val="0087001F"/>
    <w:rsid w:val="00870389"/>
    <w:rsid w:val="008705EB"/>
    <w:rsid w:val="008709A0"/>
    <w:rsid w:val="00870CC9"/>
    <w:rsid w:val="0087262A"/>
    <w:rsid w:val="00872DE2"/>
    <w:rsid w:val="00872E1D"/>
    <w:rsid w:val="00872E39"/>
    <w:rsid w:val="00872F20"/>
    <w:rsid w:val="008733AD"/>
    <w:rsid w:val="008737C5"/>
    <w:rsid w:val="00874049"/>
    <w:rsid w:val="008744DC"/>
    <w:rsid w:val="00874D2E"/>
    <w:rsid w:val="00874D57"/>
    <w:rsid w:val="00874E85"/>
    <w:rsid w:val="00874FD5"/>
    <w:rsid w:val="00875522"/>
    <w:rsid w:val="008756B3"/>
    <w:rsid w:val="0087612D"/>
    <w:rsid w:val="008764E7"/>
    <w:rsid w:val="0087664F"/>
    <w:rsid w:val="00876BC9"/>
    <w:rsid w:val="00877081"/>
    <w:rsid w:val="00877467"/>
    <w:rsid w:val="00877FBB"/>
    <w:rsid w:val="00880218"/>
    <w:rsid w:val="008803B3"/>
    <w:rsid w:val="008807E4"/>
    <w:rsid w:val="00880E98"/>
    <w:rsid w:val="00881127"/>
    <w:rsid w:val="00881BCB"/>
    <w:rsid w:val="00881E52"/>
    <w:rsid w:val="00882278"/>
    <w:rsid w:val="00882E0B"/>
    <w:rsid w:val="00883653"/>
    <w:rsid w:val="008839D2"/>
    <w:rsid w:val="0088479A"/>
    <w:rsid w:val="00885B5A"/>
    <w:rsid w:val="0088656B"/>
    <w:rsid w:val="00886B23"/>
    <w:rsid w:val="00886D77"/>
    <w:rsid w:val="00887530"/>
    <w:rsid w:val="00887854"/>
    <w:rsid w:val="00887DBF"/>
    <w:rsid w:val="00887F84"/>
    <w:rsid w:val="00890579"/>
    <w:rsid w:val="008906DA"/>
    <w:rsid w:val="00890EC4"/>
    <w:rsid w:val="008910A4"/>
    <w:rsid w:val="00892B79"/>
    <w:rsid w:val="00893193"/>
    <w:rsid w:val="00893B4A"/>
    <w:rsid w:val="008941E1"/>
    <w:rsid w:val="00894F2B"/>
    <w:rsid w:val="00895051"/>
    <w:rsid w:val="00895189"/>
    <w:rsid w:val="00895555"/>
    <w:rsid w:val="00895EC8"/>
    <w:rsid w:val="008979EE"/>
    <w:rsid w:val="00897B82"/>
    <w:rsid w:val="00897EC0"/>
    <w:rsid w:val="008A035E"/>
    <w:rsid w:val="008A12E8"/>
    <w:rsid w:val="008A1CD6"/>
    <w:rsid w:val="008A232D"/>
    <w:rsid w:val="008A25F4"/>
    <w:rsid w:val="008A2A03"/>
    <w:rsid w:val="008A33CA"/>
    <w:rsid w:val="008A3478"/>
    <w:rsid w:val="008A3793"/>
    <w:rsid w:val="008A39A4"/>
    <w:rsid w:val="008A3D4D"/>
    <w:rsid w:val="008A4255"/>
    <w:rsid w:val="008A4382"/>
    <w:rsid w:val="008A4D16"/>
    <w:rsid w:val="008A4E82"/>
    <w:rsid w:val="008A5B48"/>
    <w:rsid w:val="008A6031"/>
    <w:rsid w:val="008A6665"/>
    <w:rsid w:val="008A6EE3"/>
    <w:rsid w:val="008A6FA8"/>
    <w:rsid w:val="008A751B"/>
    <w:rsid w:val="008A78D1"/>
    <w:rsid w:val="008B04DE"/>
    <w:rsid w:val="008B0AF7"/>
    <w:rsid w:val="008B0B88"/>
    <w:rsid w:val="008B11DA"/>
    <w:rsid w:val="008B14DF"/>
    <w:rsid w:val="008B1651"/>
    <w:rsid w:val="008B17FB"/>
    <w:rsid w:val="008B19E2"/>
    <w:rsid w:val="008B1FBA"/>
    <w:rsid w:val="008B2805"/>
    <w:rsid w:val="008B297A"/>
    <w:rsid w:val="008B3242"/>
    <w:rsid w:val="008B3A60"/>
    <w:rsid w:val="008B3B8B"/>
    <w:rsid w:val="008B3FB5"/>
    <w:rsid w:val="008B4477"/>
    <w:rsid w:val="008B4D92"/>
    <w:rsid w:val="008B5323"/>
    <w:rsid w:val="008B53A6"/>
    <w:rsid w:val="008B5433"/>
    <w:rsid w:val="008B574C"/>
    <w:rsid w:val="008B5D1F"/>
    <w:rsid w:val="008B5DAA"/>
    <w:rsid w:val="008B65CF"/>
    <w:rsid w:val="008B6671"/>
    <w:rsid w:val="008B68AC"/>
    <w:rsid w:val="008B6E31"/>
    <w:rsid w:val="008B78FC"/>
    <w:rsid w:val="008B79C4"/>
    <w:rsid w:val="008C09D1"/>
    <w:rsid w:val="008C1467"/>
    <w:rsid w:val="008C1F39"/>
    <w:rsid w:val="008C213F"/>
    <w:rsid w:val="008C24DB"/>
    <w:rsid w:val="008C2F50"/>
    <w:rsid w:val="008C3A07"/>
    <w:rsid w:val="008C4380"/>
    <w:rsid w:val="008C4421"/>
    <w:rsid w:val="008C48EE"/>
    <w:rsid w:val="008C4ACC"/>
    <w:rsid w:val="008C55EA"/>
    <w:rsid w:val="008C602C"/>
    <w:rsid w:val="008C6ED5"/>
    <w:rsid w:val="008C763D"/>
    <w:rsid w:val="008C79BE"/>
    <w:rsid w:val="008C7AC9"/>
    <w:rsid w:val="008C7B47"/>
    <w:rsid w:val="008D0155"/>
    <w:rsid w:val="008D0516"/>
    <w:rsid w:val="008D0573"/>
    <w:rsid w:val="008D0581"/>
    <w:rsid w:val="008D0857"/>
    <w:rsid w:val="008D0CBC"/>
    <w:rsid w:val="008D0F26"/>
    <w:rsid w:val="008D0F41"/>
    <w:rsid w:val="008D14D6"/>
    <w:rsid w:val="008D1706"/>
    <w:rsid w:val="008D182D"/>
    <w:rsid w:val="008D18CC"/>
    <w:rsid w:val="008D1C50"/>
    <w:rsid w:val="008D1DD0"/>
    <w:rsid w:val="008D1F4C"/>
    <w:rsid w:val="008D248B"/>
    <w:rsid w:val="008D2C40"/>
    <w:rsid w:val="008D2E46"/>
    <w:rsid w:val="008D2EF6"/>
    <w:rsid w:val="008D38DD"/>
    <w:rsid w:val="008D4073"/>
    <w:rsid w:val="008D47E9"/>
    <w:rsid w:val="008D4918"/>
    <w:rsid w:val="008D515B"/>
    <w:rsid w:val="008D5559"/>
    <w:rsid w:val="008D5C05"/>
    <w:rsid w:val="008D6393"/>
    <w:rsid w:val="008D6497"/>
    <w:rsid w:val="008D6CF8"/>
    <w:rsid w:val="008D718D"/>
    <w:rsid w:val="008D7314"/>
    <w:rsid w:val="008E0701"/>
    <w:rsid w:val="008E0A41"/>
    <w:rsid w:val="008E0F4A"/>
    <w:rsid w:val="008E128F"/>
    <w:rsid w:val="008E18F3"/>
    <w:rsid w:val="008E1B6A"/>
    <w:rsid w:val="008E1F70"/>
    <w:rsid w:val="008E2B35"/>
    <w:rsid w:val="008E379D"/>
    <w:rsid w:val="008E3DC4"/>
    <w:rsid w:val="008E4230"/>
    <w:rsid w:val="008E449D"/>
    <w:rsid w:val="008E4CB5"/>
    <w:rsid w:val="008E552C"/>
    <w:rsid w:val="008E577F"/>
    <w:rsid w:val="008E57E6"/>
    <w:rsid w:val="008E5D42"/>
    <w:rsid w:val="008E606C"/>
    <w:rsid w:val="008E6D1A"/>
    <w:rsid w:val="008E6E0A"/>
    <w:rsid w:val="008E7110"/>
    <w:rsid w:val="008E716F"/>
    <w:rsid w:val="008E79BC"/>
    <w:rsid w:val="008E7E9B"/>
    <w:rsid w:val="008F0497"/>
    <w:rsid w:val="008F04CA"/>
    <w:rsid w:val="008F059E"/>
    <w:rsid w:val="008F096C"/>
    <w:rsid w:val="008F27D2"/>
    <w:rsid w:val="008F2DEE"/>
    <w:rsid w:val="008F33AF"/>
    <w:rsid w:val="008F356C"/>
    <w:rsid w:val="008F3681"/>
    <w:rsid w:val="008F3C99"/>
    <w:rsid w:val="008F3DD2"/>
    <w:rsid w:val="008F4154"/>
    <w:rsid w:val="008F466C"/>
    <w:rsid w:val="008F49EB"/>
    <w:rsid w:val="008F50A1"/>
    <w:rsid w:val="008F519A"/>
    <w:rsid w:val="008F539C"/>
    <w:rsid w:val="008F5759"/>
    <w:rsid w:val="008F5B62"/>
    <w:rsid w:val="008F5D72"/>
    <w:rsid w:val="008F5DDD"/>
    <w:rsid w:val="008F60B8"/>
    <w:rsid w:val="008F71E2"/>
    <w:rsid w:val="008F7356"/>
    <w:rsid w:val="008F767E"/>
    <w:rsid w:val="008F76A4"/>
    <w:rsid w:val="008F799E"/>
    <w:rsid w:val="008F7F20"/>
    <w:rsid w:val="00900061"/>
    <w:rsid w:val="00900AD4"/>
    <w:rsid w:val="00901166"/>
    <w:rsid w:val="009011F6"/>
    <w:rsid w:val="009014E0"/>
    <w:rsid w:val="00902B93"/>
    <w:rsid w:val="00902E31"/>
    <w:rsid w:val="00902E91"/>
    <w:rsid w:val="00903C0A"/>
    <w:rsid w:val="00903EB5"/>
    <w:rsid w:val="009041BE"/>
    <w:rsid w:val="009044D1"/>
    <w:rsid w:val="009046AF"/>
    <w:rsid w:val="00904FEB"/>
    <w:rsid w:val="00905216"/>
    <w:rsid w:val="00905389"/>
    <w:rsid w:val="0090547A"/>
    <w:rsid w:val="00905648"/>
    <w:rsid w:val="00906270"/>
    <w:rsid w:val="00906666"/>
    <w:rsid w:val="009066E2"/>
    <w:rsid w:val="009068D2"/>
    <w:rsid w:val="00907385"/>
    <w:rsid w:val="009074B7"/>
    <w:rsid w:val="009074D0"/>
    <w:rsid w:val="00907764"/>
    <w:rsid w:val="00907A49"/>
    <w:rsid w:val="00907B58"/>
    <w:rsid w:val="00910F1F"/>
    <w:rsid w:val="00911041"/>
    <w:rsid w:val="0091105A"/>
    <w:rsid w:val="00911944"/>
    <w:rsid w:val="00911D68"/>
    <w:rsid w:val="00912783"/>
    <w:rsid w:val="00913033"/>
    <w:rsid w:val="009133ED"/>
    <w:rsid w:val="0091373D"/>
    <w:rsid w:val="00913F9B"/>
    <w:rsid w:val="00914702"/>
    <w:rsid w:val="00914D3D"/>
    <w:rsid w:val="00914EDC"/>
    <w:rsid w:val="00914F63"/>
    <w:rsid w:val="00914FB0"/>
    <w:rsid w:val="0091515C"/>
    <w:rsid w:val="00915419"/>
    <w:rsid w:val="009157DC"/>
    <w:rsid w:val="00915927"/>
    <w:rsid w:val="00915E67"/>
    <w:rsid w:val="00916674"/>
    <w:rsid w:val="009168CF"/>
    <w:rsid w:val="009202AF"/>
    <w:rsid w:val="0092168F"/>
    <w:rsid w:val="00922068"/>
    <w:rsid w:val="00922775"/>
    <w:rsid w:val="00922FE0"/>
    <w:rsid w:val="00923F86"/>
    <w:rsid w:val="009243A5"/>
    <w:rsid w:val="00924637"/>
    <w:rsid w:val="0092464A"/>
    <w:rsid w:val="00924653"/>
    <w:rsid w:val="009248DF"/>
    <w:rsid w:val="00925560"/>
    <w:rsid w:val="00925784"/>
    <w:rsid w:val="00925E2E"/>
    <w:rsid w:val="00926505"/>
    <w:rsid w:val="009271FC"/>
    <w:rsid w:val="0092751A"/>
    <w:rsid w:val="0092764B"/>
    <w:rsid w:val="00927A8F"/>
    <w:rsid w:val="00927EB1"/>
    <w:rsid w:val="0093118A"/>
    <w:rsid w:val="00931BD2"/>
    <w:rsid w:val="0093268E"/>
    <w:rsid w:val="009328F1"/>
    <w:rsid w:val="00933150"/>
    <w:rsid w:val="00933336"/>
    <w:rsid w:val="00933382"/>
    <w:rsid w:val="0093350C"/>
    <w:rsid w:val="009339F6"/>
    <w:rsid w:val="00934C6E"/>
    <w:rsid w:val="00935662"/>
    <w:rsid w:val="00935E82"/>
    <w:rsid w:val="00935EBD"/>
    <w:rsid w:val="00935F6D"/>
    <w:rsid w:val="00935FDE"/>
    <w:rsid w:val="00936682"/>
    <w:rsid w:val="0093670D"/>
    <w:rsid w:val="00936932"/>
    <w:rsid w:val="00936D96"/>
    <w:rsid w:val="00936DD6"/>
    <w:rsid w:val="00936EE6"/>
    <w:rsid w:val="00937194"/>
    <w:rsid w:val="009376FD"/>
    <w:rsid w:val="0093788A"/>
    <w:rsid w:val="0094013C"/>
    <w:rsid w:val="009409AF"/>
    <w:rsid w:val="009410E3"/>
    <w:rsid w:val="009412F7"/>
    <w:rsid w:val="0094175C"/>
    <w:rsid w:val="00941835"/>
    <w:rsid w:val="00941986"/>
    <w:rsid w:val="00941D09"/>
    <w:rsid w:val="00941F51"/>
    <w:rsid w:val="0094230A"/>
    <w:rsid w:val="00942645"/>
    <w:rsid w:val="00942D6A"/>
    <w:rsid w:val="00943164"/>
    <w:rsid w:val="0094341D"/>
    <w:rsid w:val="009434AE"/>
    <w:rsid w:val="0094377B"/>
    <w:rsid w:val="00943A92"/>
    <w:rsid w:val="00943AED"/>
    <w:rsid w:val="009447A9"/>
    <w:rsid w:val="00945A18"/>
    <w:rsid w:val="009464AE"/>
    <w:rsid w:val="00947783"/>
    <w:rsid w:val="009477E0"/>
    <w:rsid w:val="00947AF7"/>
    <w:rsid w:val="00947D33"/>
    <w:rsid w:val="009500B0"/>
    <w:rsid w:val="009509EF"/>
    <w:rsid w:val="00951296"/>
    <w:rsid w:val="009513D6"/>
    <w:rsid w:val="00951476"/>
    <w:rsid w:val="00952740"/>
    <w:rsid w:val="00952791"/>
    <w:rsid w:val="0095313F"/>
    <w:rsid w:val="009534DC"/>
    <w:rsid w:val="00953F63"/>
    <w:rsid w:val="0095426A"/>
    <w:rsid w:val="0095427C"/>
    <w:rsid w:val="009545F9"/>
    <w:rsid w:val="00955A13"/>
    <w:rsid w:val="00955CE4"/>
    <w:rsid w:val="00956703"/>
    <w:rsid w:val="0095673B"/>
    <w:rsid w:val="00956A73"/>
    <w:rsid w:val="00956EBE"/>
    <w:rsid w:val="00957004"/>
    <w:rsid w:val="00957834"/>
    <w:rsid w:val="00957B68"/>
    <w:rsid w:val="00957BE0"/>
    <w:rsid w:val="00960035"/>
    <w:rsid w:val="009606C6"/>
    <w:rsid w:val="00961644"/>
    <w:rsid w:val="0096165B"/>
    <w:rsid w:val="00961E1D"/>
    <w:rsid w:val="00962361"/>
    <w:rsid w:val="00962FB1"/>
    <w:rsid w:val="00964001"/>
    <w:rsid w:val="0096425C"/>
    <w:rsid w:val="0096442F"/>
    <w:rsid w:val="00964940"/>
    <w:rsid w:val="009657A2"/>
    <w:rsid w:val="00965818"/>
    <w:rsid w:val="00965E80"/>
    <w:rsid w:val="00966C50"/>
    <w:rsid w:val="00966C98"/>
    <w:rsid w:val="00966E2B"/>
    <w:rsid w:val="00966E42"/>
    <w:rsid w:val="00967040"/>
    <w:rsid w:val="00970143"/>
    <w:rsid w:val="00970EB3"/>
    <w:rsid w:val="00971147"/>
    <w:rsid w:val="00971451"/>
    <w:rsid w:val="0097195C"/>
    <w:rsid w:val="00972005"/>
    <w:rsid w:val="00972052"/>
    <w:rsid w:val="00972324"/>
    <w:rsid w:val="00972BEB"/>
    <w:rsid w:val="00972FA9"/>
    <w:rsid w:val="00973048"/>
    <w:rsid w:val="00973455"/>
    <w:rsid w:val="00973584"/>
    <w:rsid w:val="00973768"/>
    <w:rsid w:val="00973FC3"/>
    <w:rsid w:val="009743BA"/>
    <w:rsid w:val="009743F3"/>
    <w:rsid w:val="009746D9"/>
    <w:rsid w:val="009747EA"/>
    <w:rsid w:val="00974A99"/>
    <w:rsid w:val="009751E2"/>
    <w:rsid w:val="0097538D"/>
    <w:rsid w:val="0097568B"/>
    <w:rsid w:val="009757AD"/>
    <w:rsid w:val="00975BCA"/>
    <w:rsid w:val="00975CC8"/>
    <w:rsid w:val="00975D76"/>
    <w:rsid w:val="00975F0E"/>
    <w:rsid w:val="00976363"/>
    <w:rsid w:val="009774C4"/>
    <w:rsid w:val="00977844"/>
    <w:rsid w:val="0098087B"/>
    <w:rsid w:val="0098162B"/>
    <w:rsid w:val="00981BA2"/>
    <w:rsid w:val="00982A6C"/>
    <w:rsid w:val="00982BDC"/>
    <w:rsid w:val="00982CD6"/>
    <w:rsid w:val="009834BD"/>
    <w:rsid w:val="009838BB"/>
    <w:rsid w:val="0098392B"/>
    <w:rsid w:val="00983E4D"/>
    <w:rsid w:val="0098412A"/>
    <w:rsid w:val="009847E7"/>
    <w:rsid w:val="00984947"/>
    <w:rsid w:val="00984E2C"/>
    <w:rsid w:val="009859AA"/>
    <w:rsid w:val="00985E9D"/>
    <w:rsid w:val="009868C3"/>
    <w:rsid w:val="00986D8B"/>
    <w:rsid w:val="00986EAC"/>
    <w:rsid w:val="00986F89"/>
    <w:rsid w:val="00987AB0"/>
    <w:rsid w:val="00987DB4"/>
    <w:rsid w:val="00990507"/>
    <w:rsid w:val="009905BB"/>
    <w:rsid w:val="00990E57"/>
    <w:rsid w:val="009918EF"/>
    <w:rsid w:val="0099195A"/>
    <w:rsid w:val="00991D07"/>
    <w:rsid w:val="00991F8F"/>
    <w:rsid w:val="0099271E"/>
    <w:rsid w:val="009928A4"/>
    <w:rsid w:val="00992B6E"/>
    <w:rsid w:val="00992E3D"/>
    <w:rsid w:val="009930B8"/>
    <w:rsid w:val="009930DF"/>
    <w:rsid w:val="0099349E"/>
    <w:rsid w:val="00993861"/>
    <w:rsid w:val="00993AD1"/>
    <w:rsid w:val="00993BB7"/>
    <w:rsid w:val="00993DE0"/>
    <w:rsid w:val="0099402E"/>
    <w:rsid w:val="0099416B"/>
    <w:rsid w:val="0099495C"/>
    <w:rsid w:val="00994CA7"/>
    <w:rsid w:val="0099536D"/>
    <w:rsid w:val="00995D7E"/>
    <w:rsid w:val="009960EC"/>
    <w:rsid w:val="009961C0"/>
    <w:rsid w:val="009961F3"/>
    <w:rsid w:val="00996396"/>
    <w:rsid w:val="009968EC"/>
    <w:rsid w:val="00996A6F"/>
    <w:rsid w:val="00996B35"/>
    <w:rsid w:val="009976F3"/>
    <w:rsid w:val="00997987"/>
    <w:rsid w:val="009979E8"/>
    <w:rsid w:val="00997AE1"/>
    <w:rsid w:val="00997F22"/>
    <w:rsid w:val="009A0BA9"/>
    <w:rsid w:val="009A0D40"/>
    <w:rsid w:val="009A0F45"/>
    <w:rsid w:val="009A1A73"/>
    <w:rsid w:val="009A26E2"/>
    <w:rsid w:val="009A2A39"/>
    <w:rsid w:val="009A2DF2"/>
    <w:rsid w:val="009A37C4"/>
    <w:rsid w:val="009A3AA2"/>
    <w:rsid w:val="009A3CE2"/>
    <w:rsid w:val="009A3FB7"/>
    <w:rsid w:val="009A5074"/>
    <w:rsid w:val="009A50B3"/>
    <w:rsid w:val="009A527A"/>
    <w:rsid w:val="009A668B"/>
    <w:rsid w:val="009A68F4"/>
    <w:rsid w:val="009A6A05"/>
    <w:rsid w:val="009A7007"/>
    <w:rsid w:val="009B0003"/>
    <w:rsid w:val="009B0299"/>
    <w:rsid w:val="009B0307"/>
    <w:rsid w:val="009B07A9"/>
    <w:rsid w:val="009B0D9D"/>
    <w:rsid w:val="009B146C"/>
    <w:rsid w:val="009B1474"/>
    <w:rsid w:val="009B1B5E"/>
    <w:rsid w:val="009B1C9D"/>
    <w:rsid w:val="009B2582"/>
    <w:rsid w:val="009B2647"/>
    <w:rsid w:val="009B29FE"/>
    <w:rsid w:val="009B2CD0"/>
    <w:rsid w:val="009B3365"/>
    <w:rsid w:val="009B39C6"/>
    <w:rsid w:val="009B3D7C"/>
    <w:rsid w:val="009B512F"/>
    <w:rsid w:val="009B5164"/>
    <w:rsid w:val="009B5A5B"/>
    <w:rsid w:val="009B60FE"/>
    <w:rsid w:val="009B6B70"/>
    <w:rsid w:val="009B7A73"/>
    <w:rsid w:val="009B7C0B"/>
    <w:rsid w:val="009C0714"/>
    <w:rsid w:val="009C09E0"/>
    <w:rsid w:val="009C0B1F"/>
    <w:rsid w:val="009C25F1"/>
    <w:rsid w:val="009C2B22"/>
    <w:rsid w:val="009C2BC2"/>
    <w:rsid w:val="009C45FB"/>
    <w:rsid w:val="009C48E7"/>
    <w:rsid w:val="009C51A7"/>
    <w:rsid w:val="009C5898"/>
    <w:rsid w:val="009C62C0"/>
    <w:rsid w:val="009C6510"/>
    <w:rsid w:val="009C6528"/>
    <w:rsid w:val="009C665E"/>
    <w:rsid w:val="009C6933"/>
    <w:rsid w:val="009D0137"/>
    <w:rsid w:val="009D077B"/>
    <w:rsid w:val="009D1408"/>
    <w:rsid w:val="009D171F"/>
    <w:rsid w:val="009D1AE2"/>
    <w:rsid w:val="009D1D98"/>
    <w:rsid w:val="009D2302"/>
    <w:rsid w:val="009D260A"/>
    <w:rsid w:val="009D3024"/>
    <w:rsid w:val="009D322E"/>
    <w:rsid w:val="009D32E5"/>
    <w:rsid w:val="009D37D6"/>
    <w:rsid w:val="009D401D"/>
    <w:rsid w:val="009D42E2"/>
    <w:rsid w:val="009D49E4"/>
    <w:rsid w:val="009D4C64"/>
    <w:rsid w:val="009D4CCF"/>
    <w:rsid w:val="009D5C1A"/>
    <w:rsid w:val="009D5F58"/>
    <w:rsid w:val="009D604F"/>
    <w:rsid w:val="009D6D18"/>
    <w:rsid w:val="009D7659"/>
    <w:rsid w:val="009D7719"/>
    <w:rsid w:val="009D78E3"/>
    <w:rsid w:val="009D7BFB"/>
    <w:rsid w:val="009D7CC9"/>
    <w:rsid w:val="009E032D"/>
    <w:rsid w:val="009E0C9D"/>
    <w:rsid w:val="009E0D46"/>
    <w:rsid w:val="009E1593"/>
    <w:rsid w:val="009E1A5B"/>
    <w:rsid w:val="009E2036"/>
    <w:rsid w:val="009E2856"/>
    <w:rsid w:val="009E28A8"/>
    <w:rsid w:val="009E2ECE"/>
    <w:rsid w:val="009E376E"/>
    <w:rsid w:val="009E379E"/>
    <w:rsid w:val="009E3A69"/>
    <w:rsid w:val="009E413D"/>
    <w:rsid w:val="009E4215"/>
    <w:rsid w:val="009E4BD6"/>
    <w:rsid w:val="009E52EE"/>
    <w:rsid w:val="009E53DD"/>
    <w:rsid w:val="009E5433"/>
    <w:rsid w:val="009E555D"/>
    <w:rsid w:val="009E5838"/>
    <w:rsid w:val="009E5ABC"/>
    <w:rsid w:val="009E682F"/>
    <w:rsid w:val="009E7275"/>
    <w:rsid w:val="009F00A8"/>
    <w:rsid w:val="009F0BBF"/>
    <w:rsid w:val="009F0C93"/>
    <w:rsid w:val="009F0D64"/>
    <w:rsid w:val="009F0E4C"/>
    <w:rsid w:val="009F113E"/>
    <w:rsid w:val="009F1276"/>
    <w:rsid w:val="009F1317"/>
    <w:rsid w:val="009F1DFF"/>
    <w:rsid w:val="009F2ADB"/>
    <w:rsid w:val="009F2D91"/>
    <w:rsid w:val="009F2E43"/>
    <w:rsid w:val="009F3271"/>
    <w:rsid w:val="009F34BB"/>
    <w:rsid w:val="009F39D9"/>
    <w:rsid w:val="009F3E09"/>
    <w:rsid w:val="009F43E4"/>
    <w:rsid w:val="009F4434"/>
    <w:rsid w:val="009F4C42"/>
    <w:rsid w:val="009F4D0A"/>
    <w:rsid w:val="009F56C2"/>
    <w:rsid w:val="009F5E2D"/>
    <w:rsid w:val="009F666D"/>
    <w:rsid w:val="009F6877"/>
    <w:rsid w:val="009F6E88"/>
    <w:rsid w:val="009F76B3"/>
    <w:rsid w:val="009F7725"/>
    <w:rsid w:val="009F77FD"/>
    <w:rsid w:val="009F7B9A"/>
    <w:rsid w:val="00A0004D"/>
    <w:rsid w:val="00A0074E"/>
    <w:rsid w:val="00A00DA8"/>
    <w:rsid w:val="00A00DDD"/>
    <w:rsid w:val="00A01282"/>
    <w:rsid w:val="00A0176B"/>
    <w:rsid w:val="00A019EB"/>
    <w:rsid w:val="00A01A5B"/>
    <w:rsid w:val="00A01F53"/>
    <w:rsid w:val="00A021FD"/>
    <w:rsid w:val="00A0220B"/>
    <w:rsid w:val="00A0245D"/>
    <w:rsid w:val="00A02802"/>
    <w:rsid w:val="00A02C2B"/>
    <w:rsid w:val="00A04405"/>
    <w:rsid w:val="00A047E0"/>
    <w:rsid w:val="00A04C6B"/>
    <w:rsid w:val="00A05373"/>
    <w:rsid w:val="00A05727"/>
    <w:rsid w:val="00A05B94"/>
    <w:rsid w:val="00A064F1"/>
    <w:rsid w:val="00A06C02"/>
    <w:rsid w:val="00A06FCE"/>
    <w:rsid w:val="00A07193"/>
    <w:rsid w:val="00A07C4F"/>
    <w:rsid w:val="00A1011F"/>
    <w:rsid w:val="00A102F3"/>
    <w:rsid w:val="00A1045F"/>
    <w:rsid w:val="00A10BDE"/>
    <w:rsid w:val="00A10FEE"/>
    <w:rsid w:val="00A111AB"/>
    <w:rsid w:val="00A113F7"/>
    <w:rsid w:val="00A114FD"/>
    <w:rsid w:val="00A11BB1"/>
    <w:rsid w:val="00A11F66"/>
    <w:rsid w:val="00A12000"/>
    <w:rsid w:val="00A12299"/>
    <w:rsid w:val="00A12FE1"/>
    <w:rsid w:val="00A146F4"/>
    <w:rsid w:val="00A14EEC"/>
    <w:rsid w:val="00A154A4"/>
    <w:rsid w:val="00A1608F"/>
    <w:rsid w:val="00A16148"/>
    <w:rsid w:val="00A16285"/>
    <w:rsid w:val="00A1660A"/>
    <w:rsid w:val="00A169CD"/>
    <w:rsid w:val="00A16D22"/>
    <w:rsid w:val="00A16E3C"/>
    <w:rsid w:val="00A1713B"/>
    <w:rsid w:val="00A1776D"/>
    <w:rsid w:val="00A179D7"/>
    <w:rsid w:val="00A20A72"/>
    <w:rsid w:val="00A214BE"/>
    <w:rsid w:val="00A21BFA"/>
    <w:rsid w:val="00A21DA6"/>
    <w:rsid w:val="00A21F48"/>
    <w:rsid w:val="00A2227F"/>
    <w:rsid w:val="00A22285"/>
    <w:rsid w:val="00A22741"/>
    <w:rsid w:val="00A22DBE"/>
    <w:rsid w:val="00A23536"/>
    <w:rsid w:val="00A23807"/>
    <w:rsid w:val="00A23862"/>
    <w:rsid w:val="00A23932"/>
    <w:rsid w:val="00A23BD8"/>
    <w:rsid w:val="00A23C5D"/>
    <w:rsid w:val="00A23F96"/>
    <w:rsid w:val="00A2497C"/>
    <w:rsid w:val="00A24C43"/>
    <w:rsid w:val="00A25001"/>
    <w:rsid w:val="00A25042"/>
    <w:rsid w:val="00A25139"/>
    <w:rsid w:val="00A25184"/>
    <w:rsid w:val="00A2526A"/>
    <w:rsid w:val="00A2537F"/>
    <w:rsid w:val="00A25721"/>
    <w:rsid w:val="00A25D37"/>
    <w:rsid w:val="00A26582"/>
    <w:rsid w:val="00A26738"/>
    <w:rsid w:val="00A26CFD"/>
    <w:rsid w:val="00A275C9"/>
    <w:rsid w:val="00A2781A"/>
    <w:rsid w:val="00A27D67"/>
    <w:rsid w:val="00A3069D"/>
    <w:rsid w:val="00A31124"/>
    <w:rsid w:val="00A31126"/>
    <w:rsid w:val="00A32765"/>
    <w:rsid w:val="00A32826"/>
    <w:rsid w:val="00A32890"/>
    <w:rsid w:val="00A33C66"/>
    <w:rsid w:val="00A33DEC"/>
    <w:rsid w:val="00A348A0"/>
    <w:rsid w:val="00A34D39"/>
    <w:rsid w:val="00A35058"/>
    <w:rsid w:val="00A35F5C"/>
    <w:rsid w:val="00A35FEE"/>
    <w:rsid w:val="00A36162"/>
    <w:rsid w:val="00A36438"/>
    <w:rsid w:val="00A36C91"/>
    <w:rsid w:val="00A36E8A"/>
    <w:rsid w:val="00A37951"/>
    <w:rsid w:val="00A37C31"/>
    <w:rsid w:val="00A37F6E"/>
    <w:rsid w:val="00A400C0"/>
    <w:rsid w:val="00A400F8"/>
    <w:rsid w:val="00A40EE5"/>
    <w:rsid w:val="00A41946"/>
    <w:rsid w:val="00A4260E"/>
    <w:rsid w:val="00A42D51"/>
    <w:rsid w:val="00A42FA0"/>
    <w:rsid w:val="00A432B0"/>
    <w:rsid w:val="00A4369E"/>
    <w:rsid w:val="00A437DA"/>
    <w:rsid w:val="00A43A73"/>
    <w:rsid w:val="00A43D0B"/>
    <w:rsid w:val="00A44015"/>
    <w:rsid w:val="00A441A2"/>
    <w:rsid w:val="00A44369"/>
    <w:rsid w:val="00A444C6"/>
    <w:rsid w:val="00A450EB"/>
    <w:rsid w:val="00A4519B"/>
    <w:rsid w:val="00A453F7"/>
    <w:rsid w:val="00A45735"/>
    <w:rsid w:val="00A459BB"/>
    <w:rsid w:val="00A45A0D"/>
    <w:rsid w:val="00A46268"/>
    <w:rsid w:val="00A476DC"/>
    <w:rsid w:val="00A4770D"/>
    <w:rsid w:val="00A47E57"/>
    <w:rsid w:val="00A50CD0"/>
    <w:rsid w:val="00A50E42"/>
    <w:rsid w:val="00A50F4F"/>
    <w:rsid w:val="00A510F2"/>
    <w:rsid w:val="00A51A9B"/>
    <w:rsid w:val="00A51E0C"/>
    <w:rsid w:val="00A5283D"/>
    <w:rsid w:val="00A534CF"/>
    <w:rsid w:val="00A539FA"/>
    <w:rsid w:val="00A53C33"/>
    <w:rsid w:val="00A545DB"/>
    <w:rsid w:val="00A54D79"/>
    <w:rsid w:val="00A5541D"/>
    <w:rsid w:val="00A5583D"/>
    <w:rsid w:val="00A560DD"/>
    <w:rsid w:val="00A5654B"/>
    <w:rsid w:val="00A5689C"/>
    <w:rsid w:val="00A5695D"/>
    <w:rsid w:val="00A56E45"/>
    <w:rsid w:val="00A56F91"/>
    <w:rsid w:val="00A575FC"/>
    <w:rsid w:val="00A605CE"/>
    <w:rsid w:val="00A60994"/>
    <w:rsid w:val="00A620D2"/>
    <w:rsid w:val="00A621E9"/>
    <w:rsid w:val="00A62654"/>
    <w:rsid w:val="00A628DA"/>
    <w:rsid w:val="00A63201"/>
    <w:rsid w:val="00A634B7"/>
    <w:rsid w:val="00A6350B"/>
    <w:rsid w:val="00A63D5B"/>
    <w:rsid w:val="00A64101"/>
    <w:rsid w:val="00A64A95"/>
    <w:rsid w:val="00A64E78"/>
    <w:rsid w:val="00A65938"/>
    <w:rsid w:val="00A65BC6"/>
    <w:rsid w:val="00A65D2C"/>
    <w:rsid w:val="00A65FF1"/>
    <w:rsid w:val="00A67848"/>
    <w:rsid w:val="00A67B71"/>
    <w:rsid w:val="00A67DC0"/>
    <w:rsid w:val="00A67E0A"/>
    <w:rsid w:val="00A67E78"/>
    <w:rsid w:val="00A70137"/>
    <w:rsid w:val="00A70371"/>
    <w:rsid w:val="00A71736"/>
    <w:rsid w:val="00A72849"/>
    <w:rsid w:val="00A72A19"/>
    <w:rsid w:val="00A72D6A"/>
    <w:rsid w:val="00A731EE"/>
    <w:rsid w:val="00A731F1"/>
    <w:rsid w:val="00A732B9"/>
    <w:rsid w:val="00A73571"/>
    <w:rsid w:val="00A737EE"/>
    <w:rsid w:val="00A73975"/>
    <w:rsid w:val="00A73B5E"/>
    <w:rsid w:val="00A743FE"/>
    <w:rsid w:val="00A74AF2"/>
    <w:rsid w:val="00A74B71"/>
    <w:rsid w:val="00A7554B"/>
    <w:rsid w:val="00A75A49"/>
    <w:rsid w:val="00A75FB6"/>
    <w:rsid w:val="00A762E4"/>
    <w:rsid w:val="00A7692A"/>
    <w:rsid w:val="00A7735A"/>
    <w:rsid w:val="00A779CC"/>
    <w:rsid w:val="00A80207"/>
    <w:rsid w:val="00A80395"/>
    <w:rsid w:val="00A80638"/>
    <w:rsid w:val="00A80B52"/>
    <w:rsid w:val="00A80D7F"/>
    <w:rsid w:val="00A80ED4"/>
    <w:rsid w:val="00A812C4"/>
    <w:rsid w:val="00A81673"/>
    <w:rsid w:val="00A8236D"/>
    <w:rsid w:val="00A82467"/>
    <w:rsid w:val="00A82B58"/>
    <w:rsid w:val="00A83293"/>
    <w:rsid w:val="00A832D9"/>
    <w:rsid w:val="00A83D0D"/>
    <w:rsid w:val="00A83E9C"/>
    <w:rsid w:val="00A85CA1"/>
    <w:rsid w:val="00A86201"/>
    <w:rsid w:val="00A862AD"/>
    <w:rsid w:val="00A8688A"/>
    <w:rsid w:val="00A86938"/>
    <w:rsid w:val="00A86CC2"/>
    <w:rsid w:val="00A86F64"/>
    <w:rsid w:val="00A877D3"/>
    <w:rsid w:val="00A877EE"/>
    <w:rsid w:val="00A878B0"/>
    <w:rsid w:val="00A87D00"/>
    <w:rsid w:val="00A87F32"/>
    <w:rsid w:val="00A90353"/>
    <w:rsid w:val="00A9098B"/>
    <w:rsid w:val="00A90C05"/>
    <w:rsid w:val="00A90C99"/>
    <w:rsid w:val="00A91538"/>
    <w:rsid w:val="00A918C8"/>
    <w:rsid w:val="00A9251D"/>
    <w:rsid w:val="00A926CE"/>
    <w:rsid w:val="00A927A0"/>
    <w:rsid w:val="00A9342C"/>
    <w:rsid w:val="00A93847"/>
    <w:rsid w:val="00A93BBB"/>
    <w:rsid w:val="00A93DAD"/>
    <w:rsid w:val="00A940BB"/>
    <w:rsid w:val="00A94AD0"/>
    <w:rsid w:val="00A94ED2"/>
    <w:rsid w:val="00A95301"/>
    <w:rsid w:val="00A95DA7"/>
    <w:rsid w:val="00A9634B"/>
    <w:rsid w:val="00A96523"/>
    <w:rsid w:val="00A96643"/>
    <w:rsid w:val="00A974BC"/>
    <w:rsid w:val="00A97EF3"/>
    <w:rsid w:val="00AA0529"/>
    <w:rsid w:val="00AA1C86"/>
    <w:rsid w:val="00AA1CBE"/>
    <w:rsid w:val="00AA218F"/>
    <w:rsid w:val="00AA279B"/>
    <w:rsid w:val="00AA3086"/>
    <w:rsid w:val="00AA33B5"/>
    <w:rsid w:val="00AA3EC6"/>
    <w:rsid w:val="00AA47E2"/>
    <w:rsid w:val="00AA4C7A"/>
    <w:rsid w:val="00AA52D3"/>
    <w:rsid w:val="00AA64CB"/>
    <w:rsid w:val="00AA661D"/>
    <w:rsid w:val="00AA6CB3"/>
    <w:rsid w:val="00AA6E15"/>
    <w:rsid w:val="00AA7631"/>
    <w:rsid w:val="00AA772D"/>
    <w:rsid w:val="00AA7758"/>
    <w:rsid w:val="00AA7914"/>
    <w:rsid w:val="00AA7979"/>
    <w:rsid w:val="00AB0696"/>
    <w:rsid w:val="00AB0DB6"/>
    <w:rsid w:val="00AB10C3"/>
    <w:rsid w:val="00AB17F3"/>
    <w:rsid w:val="00AB1AB0"/>
    <w:rsid w:val="00AB2361"/>
    <w:rsid w:val="00AB34EC"/>
    <w:rsid w:val="00AB410D"/>
    <w:rsid w:val="00AB4533"/>
    <w:rsid w:val="00AB49A4"/>
    <w:rsid w:val="00AB49C1"/>
    <w:rsid w:val="00AB4B21"/>
    <w:rsid w:val="00AB4F2E"/>
    <w:rsid w:val="00AB50CA"/>
    <w:rsid w:val="00AB557A"/>
    <w:rsid w:val="00AB57B2"/>
    <w:rsid w:val="00AB5A75"/>
    <w:rsid w:val="00AB600D"/>
    <w:rsid w:val="00AB6971"/>
    <w:rsid w:val="00AB6D8A"/>
    <w:rsid w:val="00AB6E02"/>
    <w:rsid w:val="00AB7013"/>
    <w:rsid w:val="00AC0329"/>
    <w:rsid w:val="00AC040B"/>
    <w:rsid w:val="00AC0808"/>
    <w:rsid w:val="00AC0C30"/>
    <w:rsid w:val="00AC112D"/>
    <w:rsid w:val="00AC210F"/>
    <w:rsid w:val="00AC23BD"/>
    <w:rsid w:val="00AC27DA"/>
    <w:rsid w:val="00AC2838"/>
    <w:rsid w:val="00AC28F6"/>
    <w:rsid w:val="00AC3759"/>
    <w:rsid w:val="00AC38F6"/>
    <w:rsid w:val="00AC444F"/>
    <w:rsid w:val="00AC470C"/>
    <w:rsid w:val="00AC4813"/>
    <w:rsid w:val="00AC4E88"/>
    <w:rsid w:val="00AC56A0"/>
    <w:rsid w:val="00AC5A96"/>
    <w:rsid w:val="00AC5CEB"/>
    <w:rsid w:val="00AC68C0"/>
    <w:rsid w:val="00AC6983"/>
    <w:rsid w:val="00AC7186"/>
    <w:rsid w:val="00AC7280"/>
    <w:rsid w:val="00AC7D8D"/>
    <w:rsid w:val="00AC7FB5"/>
    <w:rsid w:val="00AD0178"/>
    <w:rsid w:val="00AD0325"/>
    <w:rsid w:val="00AD05FC"/>
    <w:rsid w:val="00AD1026"/>
    <w:rsid w:val="00AD1679"/>
    <w:rsid w:val="00AD17A0"/>
    <w:rsid w:val="00AD17C4"/>
    <w:rsid w:val="00AD1989"/>
    <w:rsid w:val="00AD2D25"/>
    <w:rsid w:val="00AD3B42"/>
    <w:rsid w:val="00AD406D"/>
    <w:rsid w:val="00AD4901"/>
    <w:rsid w:val="00AD49BA"/>
    <w:rsid w:val="00AD4A53"/>
    <w:rsid w:val="00AD59A6"/>
    <w:rsid w:val="00AD59E4"/>
    <w:rsid w:val="00AD5A3E"/>
    <w:rsid w:val="00AD5B38"/>
    <w:rsid w:val="00AD5B75"/>
    <w:rsid w:val="00AD6BDD"/>
    <w:rsid w:val="00AD7B81"/>
    <w:rsid w:val="00AD7C4A"/>
    <w:rsid w:val="00AE079A"/>
    <w:rsid w:val="00AE131D"/>
    <w:rsid w:val="00AE14B0"/>
    <w:rsid w:val="00AE1B4C"/>
    <w:rsid w:val="00AE1DAB"/>
    <w:rsid w:val="00AE215E"/>
    <w:rsid w:val="00AE21A0"/>
    <w:rsid w:val="00AE2431"/>
    <w:rsid w:val="00AE24BF"/>
    <w:rsid w:val="00AE2681"/>
    <w:rsid w:val="00AE2757"/>
    <w:rsid w:val="00AE2D1F"/>
    <w:rsid w:val="00AE31E6"/>
    <w:rsid w:val="00AE33BC"/>
    <w:rsid w:val="00AE3564"/>
    <w:rsid w:val="00AE44C7"/>
    <w:rsid w:val="00AE49CB"/>
    <w:rsid w:val="00AE4A27"/>
    <w:rsid w:val="00AE5070"/>
    <w:rsid w:val="00AE511C"/>
    <w:rsid w:val="00AE51D5"/>
    <w:rsid w:val="00AE532A"/>
    <w:rsid w:val="00AE56BB"/>
    <w:rsid w:val="00AE58FA"/>
    <w:rsid w:val="00AE6252"/>
    <w:rsid w:val="00AE6C98"/>
    <w:rsid w:val="00AE6D85"/>
    <w:rsid w:val="00AE702D"/>
    <w:rsid w:val="00AE705B"/>
    <w:rsid w:val="00AE7175"/>
    <w:rsid w:val="00AE7734"/>
    <w:rsid w:val="00AF004E"/>
    <w:rsid w:val="00AF08CD"/>
    <w:rsid w:val="00AF0DD4"/>
    <w:rsid w:val="00AF14F2"/>
    <w:rsid w:val="00AF1599"/>
    <w:rsid w:val="00AF16EB"/>
    <w:rsid w:val="00AF1B14"/>
    <w:rsid w:val="00AF1F5A"/>
    <w:rsid w:val="00AF20DC"/>
    <w:rsid w:val="00AF21F0"/>
    <w:rsid w:val="00AF2208"/>
    <w:rsid w:val="00AF27A4"/>
    <w:rsid w:val="00AF29B8"/>
    <w:rsid w:val="00AF2D1D"/>
    <w:rsid w:val="00AF2FAE"/>
    <w:rsid w:val="00AF3A7E"/>
    <w:rsid w:val="00AF4113"/>
    <w:rsid w:val="00AF457F"/>
    <w:rsid w:val="00AF4C2E"/>
    <w:rsid w:val="00AF4E18"/>
    <w:rsid w:val="00AF50E7"/>
    <w:rsid w:val="00AF51F7"/>
    <w:rsid w:val="00AF534A"/>
    <w:rsid w:val="00AF53B6"/>
    <w:rsid w:val="00AF605E"/>
    <w:rsid w:val="00AF6556"/>
    <w:rsid w:val="00AF7267"/>
    <w:rsid w:val="00AF735A"/>
    <w:rsid w:val="00AF76B8"/>
    <w:rsid w:val="00AF7844"/>
    <w:rsid w:val="00AF78AD"/>
    <w:rsid w:val="00AF7A6D"/>
    <w:rsid w:val="00AF7C19"/>
    <w:rsid w:val="00AF7F34"/>
    <w:rsid w:val="00AF7FB6"/>
    <w:rsid w:val="00B00021"/>
    <w:rsid w:val="00B00CA3"/>
    <w:rsid w:val="00B00CDA"/>
    <w:rsid w:val="00B014D3"/>
    <w:rsid w:val="00B0175B"/>
    <w:rsid w:val="00B01873"/>
    <w:rsid w:val="00B02F34"/>
    <w:rsid w:val="00B02F4A"/>
    <w:rsid w:val="00B03C76"/>
    <w:rsid w:val="00B0489A"/>
    <w:rsid w:val="00B05139"/>
    <w:rsid w:val="00B05989"/>
    <w:rsid w:val="00B059AB"/>
    <w:rsid w:val="00B05BE7"/>
    <w:rsid w:val="00B05CE8"/>
    <w:rsid w:val="00B05FA3"/>
    <w:rsid w:val="00B065B8"/>
    <w:rsid w:val="00B06889"/>
    <w:rsid w:val="00B06CF5"/>
    <w:rsid w:val="00B06F92"/>
    <w:rsid w:val="00B0779F"/>
    <w:rsid w:val="00B077B3"/>
    <w:rsid w:val="00B07CD9"/>
    <w:rsid w:val="00B07F0B"/>
    <w:rsid w:val="00B07FB5"/>
    <w:rsid w:val="00B10690"/>
    <w:rsid w:val="00B11316"/>
    <w:rsid w:val="00B113A6"/>
    <w:rsid w:val="00B1145F"/>
    <w:rsid w:val="00B114F2"/>
    <w:rsid w:val="00B116CE"/>
    <w:rsid w:val="00B11AD1"/>
    <w:rsid w:val="00B11C77"/>
    <w:rsid w:val="00B11E01"/>
    <w:rsid w:val="00B130A9"/>
    <w:rsid w:val="00B13236"/>
    <w:rsid w:val="00B136F1"/>
    <w:rsid w:val="00B13DF0"/>
    <w:rsid w:val="00B14ACC"/>
    <w:rsid w:val="00B154EE"/>
    <w:rsid w:val="00B157ED"/>
    <w:rsid w:val="00B159F2"/>
    <w:rsid w:val="00B1645F"/>
    <w:rsid w:val="00B16765"/>
    <w:rsid w:val="00B170D5"/>
    <w:rsid w:val="00B1748C"/>
    <w:rsid w:val="00B2007C"/>
    <w:rsid w:val="00B20632"/>
    <w:rsid w:val="00B20A88"/>
    <w:rsid w:val="00B20F74"/>
    <w:rsid w:val="00B213D4"/>
    <w:rsid w:val="00B21C3D"/>
    <w:rsid w:val="00B220ED"/>
    <w:rsid w:val="00B22F68"/>
    <w:rsid w:val="00B230DF"/>
    <w:rsid w:val="00B237C4"/>
    <w:rsid w:val="00B239BE"/>
    <w:rsid w:val="00B23B7D"/>
    <w:rsid w:val="00B23F12"/>
    <w:rsid w:val="00B24B50"/>
    <w:rsid w:val="00B24D9E"/>
    <w:rsid w:val="00B24ED1"/>
    <w:rsid w:val="00B25461"/>
    <w:rsid w:val="00B255D9"/>
    <w:rsid w:val="00B257A4"/>
    <w:rsid w:val="00B2594F"/>
    <w:rsid w:val="00B25D43"/>
    <w:rsid w:val="00B26239"/>
    <w:rsid w:val="00B26636"/>
    <w:rsid w:val="00B267E0"/>
    <w:rsid w:val="00B26DF0"/>
    <w:rsid w:val="00B27106"/>
    <w:rsid w:val="00B272F7"/>
    <w:rsid w:val="00B2763C"/>
    <w:rsid w:val="00B27907"/>
    <w:rsid w:val="00B279A9"/>
    <w:rsid w:val="00B27E9B"/>
    <w:rsid w:val="00B30423"/>
    <w:rsid w:val="00B30677"/>
    <w:rsid w:val="00B30986"/>
    <w:rsid w:val="00B310CA"/>
    <w:rsid w:val="00B31150"/>
    <w:rsid w:val="00B32166"/>
    <w:rsid w:val="00B326C5"/>
    <w:rsid w:val="00B32EB2"/>
    <w:rsid w:val="00B32F9E"/>
    <w:rsid w:val="00B33C14"/>
    <w:rsid w:val="00B34275"/>
    <w:rsid w:val="00B34377"/>
    <w:rsid w:val="00B34B32"/>
    <w:rsid w:val="00B34EA0"/>
    <w:rsid w:val="00B350B0"/>
    <w:rsid w:val="00B357D5"/>
    <w:rsid w:val="00B358FC"/>
    <w:rsid w:val="00B35A77"/>
    <w:rsid w:val="00B35F3E"/>
    <w:rsid w:val="00B36102"/>
    <w:rsid w:val="00B362D4"/>
    <w:rsid w:val="00B373DB"/>
    <w:rsid w:val="00B373DE"/>
    <w:rsid w:val="00B3796F"/>
    <w:rsid w:val="00B37991"/>
    <w:rsid w:val="00B37E0C"/>
    <w:rsid w:val="00B4071C"/>
    <w:rsid w:val="00B4107F"/>
    <w:rsid w:val="00B41D19"/>
    <w:rsid w:val="00B4239A"/>
    <w:rsid w:val="00B42F55"/>
    <w:rsid w:val="00B42F6B"/>
    <w:rsid w:val="00B43206"/>
    <w:rsid w:val="00B433FE"/>
    <w:rsid w:val="00B438D3"/>
    <w:rsid w:val="00B43D7A"/>
    <w:rsid w:val="00B4465A"/>
    <w:rsid w:val="00B4535A"/>
    <w:rsid w:val="00B454AD"/>
    <w:rsid w:val="00B47252"/>
    <w:rsid w:val="00B47410"/>
    <w:rsid w:val="00B47D15"/>
    <w:rsid w:val="00B50209"/>
    <w:rsid w:val="00B505AB"/>
    <w:rsid w:val="00B517A2"/>
    <w:rsid w:val="00B5185D"/>
    <w:rsid w:val="00B51964"/>
    <w:rsid w:val="00B519F3"/>
    <w:rsid w:val="00B51EE2"/>
    <w:rsid w:val="00B521A9"/>
    <w:rsid w:val="00B523DB"/>
    <w:rsid w:val="00B52A22"/>
    <w:rsid w:val="00B5313F"/>
    <w:rsid w:val="00B5326C"/>
    <w:rsid w:val="00B53662"/>
    <w:rsid w:val="00B5394E"/>
    <w:rsid w:val="00B54791"/>
    <w:rsid w:val="00B54A05"/>
    <w:rsid w:val="00B54E26"/>
    <w:rsid w:val="00B54FA1"/>
    <w:rsid w:val="00B558F7"/>
    <w:rsid w:val="00B55AAA"/>
    <w:rsid w:val="00B55EFC"/>
    <w:rsid w:val="00B56203"/>
    <w:rsid w:val="00B566A6"/>
    <w:rsid w:val="00B567CD"/>
    <w:rsid w:val="00B56DA5"/>
    <w:rsid w:val="00B56DB0"/>
    <w:rsid w:val="00B575C4"/>
    <w:rsid w:val="00B60051"/>
    <w:rsid w:val="00B6071E"/>
    <w:rsid w:val="00B60CB4"/>
    <w:rsid w:val="00B60F2C"/>
    <w:rsid w:val="00B61404"/>
    <w:rsid w:val="00B618D6"/>
    <w:rsid w:val="00B61956"/>
    <w:rsid w:val="00B61B38"/>
    <w:rsid w:val="00B61F16"/>
    <w:rsid w:val="00B620F2"/>
    <w:rsid w:val="00B6215B"/>
    <w:rsid w:val="00B63292"/>
    <w:rsid w:val="00B63FA7"/>
    <w:rsid w:val="00B644E9"/>
    <w:rsid w:val="00B6456F"/>
    <w:rsid w:val="00B64946"/>
    <w:rsid w:val="00B64A97"/>
    <w:rsid w:val="00B65530"/>
    <w:rsid w:val="00B65605"/>
    <w:rsid w:val="00B65CC6"/>
    <w:rsid w:val="00B65E48"/>
    <w:rsid w:val="00B65F25"/>
    <w:rsid w:val="00B65FC4"/>
    <w:rsid w:val="00B66082"/>
    <w:rsid w:val="00B660C2"/>
    <w:rsid w:val="00B661C8"/>
    <w:rsid w:val="00B66217"/>
    <w:rsid w:val="00B662DF"/>
    <w:rsid w:val="00B665D2"/>
    <w:rsid w:val="00B66625"/>
    <w:rsid w:val="00B666BC"/>
    <w:rsid w:val="00B669DF"/>
    <w:rsid w:val="00B66FA0"/>
    <w:rsid w:val="00B672CA"/>
    <w:rsid w:val="00B67412"/>
    <w:rsid w:val="00B7056F"/>
    <w:rsid w:val="00B70638"/>
    <w:rsid w:val="00B70D20"/>
    <w:rsid w:val="00B7192B"/>
    <w:rsid w:val="00B731B4"/>
    <w:rsid w:val="00B7441F"/>
    <w:rsid w:val="00B74689"/>
    <w:rsid w:val="00B7473B"/>
    <w:rsid w:val="00B747A5"/>
    <w:rsid w:val="00B7485F"/>
    <w:rsid w:val="00B74B73"/>
    <w:rsid w:val="00B750FB"/>
    <w:rsid w:val="00B755DD"/>
    <w:rsid w:val="00B75920"/>
    <w:rsid w:val="00B75DDC"/>
    <w:rsid w:val="00B76DC2"/>
    <w:rsid w:val="00B76F17"/>
    <w:rsid w:val="00B76F7C"/>
    <w:rsid w:val="00B7726C"/>
    <w:rsid w:val="00B7736C"/>
    <w:rsid w:val="00B77BC9"/>
    <w:rsid w:val="00B77BE9"/>
    <w:rsid w:val="00B77C26"/>
    <w:rsid w:val="00B804B5"/>
    <w:rsid w:val="00B80620"/>
    <w:rsid w:val="00B808B9"/>
    <w:rsid w:val="00B808CA"/>
    <w:rsid w:val="00B80F18"/>
    <w:rsid w:val="00B81993"/>
    <w:rsid w:val="00B81FB7"/>
    <w:rsid w:val="00B822B4"/>
    <w:rsid w:val="00B823E9"/>
    <w:rsid w:val="00B826A2"/>
    <w:rsid w:val="00B82E93"/>
    <w:rsid w:val="00B83561"/>
    <w:rsid w:val="00B83863"/>
    <w:rsid w:val="00B83A24"/>
    <w:rsid w:val="00B83DB8"/>
    <w:rsid w:val="00B8413F"/>
    <w:rsid w:val="00B84579"/>
    <w:rsid w:val="00B846FB"/>
    <w:rsid w:val="00B849AF"/>
    <w:rsid w:val="00B84EBE"/>
    <w:rsid w:val="00B85318"/>
    <w:rsid w:val="00B858A9"/>
    <w:rsid w:val="00B85B3A"/>
    <w:rsid w:val="00B85D00"/>
    <w:rsid w:val="00B8652A"/>
    <w:rsid w:val="00B86687"/>
    <w:rsid w:val="00B86770"/>
    <w:rsid w:val="00B86F2B"/>
    <w:rsid w:val="00B87160"/>
    <w:rsid w:val="00B872C0"/>
    <w:rsid w:val="00B876EE"/>
    <w:rsid w:val="00B878C9"/>
    <w:rsid w:val="00B87BE8"/>
    <w:rsid w:val="00B9108D"/>
    <w:rsid w:val="00B913FE"/>
    <w:rsid w:val="00B9209F"/>
    <w:rsid w:val="00B925DA"/>
    <w:rsid w:val="00B92BE2"/>
    <w:rsid w:val="00B92DCC"/>
    <w:rsid w:val="00B93244"/>
    <w:rsid w:val="00B936C2"/>
    <w:rsid w:val="00B938D8"/>
    <w:rsid w:val="00B93991"/>
    <w:rsid w:val="00B94750"/>
    <w:rsid w:val="00B94BDD"/>
    <w:rsid w:val="00B94C19"/>
    <w:rsid w:val="00B94E90"/>
    <w:rsid w:val="00B957ED"/>
    <w:rsid w:val="00B960FD"/>
    <w:rsid w:val="00B9680A"/>
    <w:rsid w:val="00B97960"/>
    <w:rsid w:val="00B97B73"/>
    <w:rsid w:val="00B97EAF"/>
    <w:rsid w:val="00BA0FB9"/>
    <w:rsid w:val="00BA1397"/>
    <w:rsid w:val="00BA154F"/>
    <w:rsid w:val="00BA1725"/>
    <w:rsid w:val="00BA2094"/>
    <w:rsid w:val="00BA3B8D"/>
    <w:rsid w:val="00BA3BF5"/>
    <w:rsid w:val="00BA3E55"/>
    <w:rsid w:val="00BA4283"/>
    <w:rsid w:val="00BA4B0F"/>
    <w:rsid w:val="00BA5672"/>
    <w:rsid w:val="00BA58E7"/>
    <w:rsid w:val="00BA633E"/>
    <w:rsid w:val="00BA65CC"/>
    <w:rsid w:val="00BA6871"/>
    <w:rsid w:val="00BA6ECA"/>
    <w:rsid w:val="00BA71AC"/>
    <w:rsid w:val="00BA7B7E"/>
    <w:rsid w:val="00BB0440"/>
    <w:rsid w:val="00BB0473"/>
    <w:rsid w:val="00BB176B"/>
    <w:rsid w:val="00BB1C34"/>
    <w:rsid w:val="00BB202A"/>
    <w:rsid w:val="00BB27E9"/>
    <w:rsid w:val="00BB2A66"/>
    <w:rsid w:val="00BB38CC"/>
    <w:rsid w:val="00BB3EC1"/>
    <w:rsid w:val="00BB46D1"/>
    <w:rsid w:val="00BB4A9B"/>
    <w:rsid w:val="00BB4B92"/>
    <w:rsid w:val="00BB5C86"/>
    <w:rsid w:val="00BB5EBD"/>
    <w:rsid w:val="00BB6941"/>
    <w:rsid w:val="00BB6E7D"/>
    <w:rsid w:val="00BB7044"/>
    <w:rsid w:val="00BB719F"/>
    <w:rsid w:val="00BB7439"/>
    <w:rsid w:val="00BB751A"/>
    <w:rsid w:val="00BB791E"/>
    <w:rsid w:val="00BB7DBA"/>
    <w:rsid w:val="00BB7E40"/>
    <w:rsid w:val="00BB7FC5"/>
    <w:rsid w:val="00BC0399"/>
    <w:rsid w:val="00BC05A3"/>
    <w:rsid w:val="00BC0AAA"/>
    <w:rsid w:val="00BC0E84"/>
    <w:rsid w:val="00BC0E91"/>
    <w:rsid w:val="00BC0E98"/>
    <w:rsid w:val="00BC13F7"/>
    <w:rsid w:val="00BC1EFC"/>
    <w:rsid w:val="00BC2053"/>
    <w:rsid w:val="00BC2B26"/>
    <w:rsid w:val="00BC2F4F"/>
    <w:rsid w:val="00BC30B2"/>
    <w:rsid w:val="00BC3140"/>
    <w:rsid w:val="00BC3414"/>
    <w:rsid w:val="00BC3795"/>
    <w:rsid w:val="00BC3A51"/>
    <w:rsid w:val="00BC3AE2"/>
    <w:rsid w:val="00BC499D"/>
    <w:rsid w:val="00BC55A3"/>
    <w:rsid w:val="00BC55BF"/>
    <w:rsid w:val="00BC57E5"/>
    <w:rsid w:val="00BC5DCD"/>
    <w:rsid w:val="00BC602D"/>
    <w:rsid w:val="00BC6631"/>
    <w:rsid w:val="00BC666B"/>
    <w:rsid w:val="00BC6BF4"/>
    <w:rsid w:val="00BC6D20"/>
    <w:rsid w:val="00BC70E4"/>
    <w:rsid w:val="00BC788A"/>
    <w:rsid w:val="00BC7F72"/>
    <w:rsid w:val="00BD08F4"/>
    <w:rsid w:val="00BD1235"/>
    <w:rsid w:val="00BD182C"/>
    <w:rsid w:val="00BD189B"/>
    <w:rsid w:val="00BD1E17"/>
    <w:rsid w:val="00BD1EAE"/>
    <w:rsid w:val="00BD20A6"/>
    <w:rsid w:val="00BD21D8"/>
    <w:rsid w:val="00BD27D1"/>
    <w:rsid w:val="00BD2D4B"/>
    <w:rsid w:val="00BD2E3A"/>
    <w:rsid w:val="00BD33DF"/>
    <w:rsid w:val="00BD3592"/>
    <w:rsid w:val="00BD35B9"/>
    <w:rsid w:val="00BD4185"/>
    <w:rsid w:val="00BD4B7B"/>
    <w:rsid w:val="00BD4D36"/>
    <w:rsid w:val="00BD524D"/>
    <w:rsid w:val="00BD53A5"/>
    <w:rsid w:val="00BD56BC"/>
    <w:rsid w:val="00BD56E4"/>
    <w:rsid w:val="00BD5C4C"/>
    <w:rsid w:val="00BD6172"/>
    <w:rsid w:val="00BD6F9C"/>
    <w:rsid w:val="00BD7116"/>
    <w:rsid w:val="00BD75BB"/>
    <w:rsid w:val="00BD78DC"/>
    <w:rsid w:val="00BE0699"/>
    <w:rsid w:val="00BE0AA9"/>
    <w:rsid w:val="00BE0D85"/>
    <w:rsid w:val="00BE1B06"/>
    <w:rsid w:val="00BE1E35"/>
    <w:rsid w:val="00BE2150"/>
    <w:rsid w:val="00BE2C3F"/>
    <w:rsid w:val="00BE3282"/>
    <w:rsid w:val="00BE3ED8"/>
    <w:rsid w:val="00BE3FDC"/>
    <w:rsid w:val="00BE4A52"/>
    <w:rsid w:val="00BE5442"/>
    <w:rsid w:val="00BE5980"/>
    <w:rsid w:val="00BE61F0"/>
    <w:rsid w:val="00BE6687"/>
    <w:rsid w:val="00BE66E6"/>
    <w:rsid w:val="00BE6D17"/>
    <w:rsid w:val="00BE7BD1"/>
    <w:rsid w:val="00BE7CAD"/>
    <w:rsid w:val="00BF02F4"/>
    <w:rsid w:val="00BF0475"/>
    <w:rsid w:val="00BF058C"/>
    <w:rsid w:val="00BF0757"/>
    <w:rsid w:val="00BF0FEF"/>
    <w:rsid w:val="00BF18E7"/>
    <w:rsid w:val="00BF23F3"/>
    <w:rsid w:val="00BF2587"/>
    <w:rsid w:val="00BF2943"/>
    <w:rsid w:val="00BF2AB5"/>
    <w:rsid w:val="00BF2C59"/>
    <w:rsid w:val="00BF3351"/>
    <w:rsid w:val="00BF33FE"/>
    <w:rsid w:val="00BF354A"/>
    <w:rsid w:val="00BF3692"/>
    <w:rsid w:val="00BF36C1"/>
    <w:rsid w:val="00BF3A85"/>
    <w:rsid w:val="00BF4356"/>
    <w:rsid w:val="00BF49E5"/>
    <w:rsid w:val="00BF4A2B"/>
    <w:rsid w:val="00BF4B4A"/>
    <w:rsid w:val="00BF5BA6"/>
    <w:rsid w:val="00BF5BAE"/>
    <w:rsid w:val="00BF5C37"/>
    <w:rsid w:val="00BF5E79"/>
    <w:rsid w:val="00BF5E92"/>
    <w:rsid w:val="00BF671E"/>
    <w:rsid w:val="00BF7209"/>
    <w:rsid w:val="00BF781A"/>
    <w:rsid w:val="00BF7824"/>
    <w:rsid w:val="00BF7BB3"/>
    <w:rsid w:val="00BF7DE7"/>
    <w:rsid w:val="00C001E6"/>
    <w:rsid w:val="00C00350"/>
    <w:rsid w:val="00C0090B"/>
    <w:rsid w:val="00C0133D"/>
    <w:rsid w:val="00C019D3"/>
    <w:rsid w:val="00C01D03"/>
    <w:rsid w:val="00C01FA8"/>
    <w:rsid w:val="00C01FBE"/>
    <w:rsid w:val="00C02961"/>
    <w:rsid w:val="00C03A98"/>
    <w:rsid w:val="00C03D1A"/>
    <w:rsid w:val="00C03EA7"/>
    <w:rsid w:val="00C04285"/>
    <w:rsid w:val="00C044A4"/>
    <w:rsid w:val="00C04657"/>
    <w:rsid w:val="00C0485C"/>
    <w:rsid w:val="00C04B5B"/>
    <w:rsid w:val="00C04E91"/>
    <w:rsid w:val="00C059C4"/>
    <w:rsid w:val="00C059D7"/>
    <w:rsid w:val="00C05C32"/>
    <w:rsid w:val="00C0649E"/>
    <w:rsid w:val="00C06520"/>
    <w:rsid w:val="00C06543"/>
    <w:rsid w:val="00C06B5B"/>
    <w:rsid w:val="00C06B6C"/>
    <w:rsid w:val="00C0710A"/>
    <w:rsid w:val="00C0785C"/>
    <w:rsid w:val="00C07E66"/>
    <w:rsid w:val="00C07FB4"/>
    <w:rsid w:val="00C1011A"/>
    <w:rsid w:val="00C10E18"/>
    <w:rsid w:val="00C110FD"/>
    <w:rsid w:val="00C117FB"/>
    <w:rsid w:val="00C118A9"/>
    <w:rsid w:val="00C11AFB"/>
    <w:rsid w:val="00C1265C"/>
    <w:rsid w:val="00C12723"/>
    <w:rsid w:val="00C129D2"/>
    <w:rsid w:val="00C12EB9"/>
    <w:rsid w:val="00C137AF"/>
    <w:rsid w:val="00C140CA"/>
    <w:rsid w:val="00C143D8"/>
    <w:rsid w:val="00C14911"/>
    <w:rsid w:val="00C14B2D"/>
    <w:rsid w:val="00C14C93"/>
    <w:rsid w:val="00C1511A"/>
    <w:rsid w:val="00C159C7"/>
    <w:rsid w:val="00C15C77"/>
    <w:rsid w:val="00C15DDC"/>
    <w:rsid w:val="00C15F6B"/>
    <w:rsid w:val="00C15F83"/>
    <w:rsid w:val="00C1689C"/>
    <w:rsid w:val="00C16AA2"/>
    <w:rsid w:val="00C16D5A"/>
    <w:rsid w:val="00C16F89"/>
    <w:rsid w:val="00C17130"/>
    <w:rsid w:val="00C1763C"/>
    <w:rsid w:val="00C17871"/>
    <w:rsid w:val="00C17F26"/>
    <w:rsid w:val="00C20D37"/>
    <w:rsid w:val="00C21027"/>
    <w:rsid w:val="00C214CB"/>
    <w:rsid w:val="00C21D3E"/>
    <w:rsid w:val="00C21D54"/>
    <w:rsid w:val="00C226E1"/>
    <w:rsid w:val="00C22845"/>
    <w:rsid w:val="00C22F32"/>
    <w:rsid w:val="00C2365F"/>
    <w:rsid w:val="00C23662"/>
    <w:rsid w:val="00C23AAC"/>
    <w:rsid w:val="00C23B38"/>
    <w:rsid w:val="00C24667"/>
    <w:rsid w:val="00C24BCF"/>
    <w:rsid w:val="00C24C63"/>
    <w:rsid w:val="00C254F8"/>
    <w:rsid w:val="00C256FE"/>
    <w:rsid w:val="00C2594E"/>
    <w:rsid w:val="00C25D84"/>
    <w:rsid w:val="00C269F7"/>
    <w:rsid w:val="00C26D84"/>
    <w:rsid w:val="00C26DB0"/>
    <w:rsid w:val="00C26EC4"/>
    <w:rsid w:val="00C26EDB"/>
    <w:rsid w:val="00C272F2"/>
    <w:rsid w:val="00C300CD"/>
    <w:rsid w:val="00C301F6"/>
    <w:rsid w:val="00C31427"/>
    <w:rsid w:val="00C31999"/>
    <w:rsid w:val="00C32683"/>
    <w:rsid w:val="00C32B9A"/>
    <w:rsid w:val="00C32E3D"/>
    <w:rsid w:val="00C331A4"/>
    <w:rsid w:val="00C331F9"/>
    <w:rsid w:val="00C338CE"/>
    <w:rsid w:val="00C3392F"/>
    <w:rsid w:val="00C341B5"/>
    <w:rsid w:val="00C35D46"/>
    <w:rsid w:val="00C3664C"/>
    <w:rsid w:val="00C36B70"/>
    <w:rsid w:val="00C36D84"/>
    <w:rsid w:val="00C371E8"/>
    <w:rsid w:val="00C37288"/>
    <w:rsid w:val="00C37371"/>
    <w:rsid w:val="00C378F5"/>
    <w:rsid w:val="00C406B1"/>
    <w:rsid w:val="00C40A13"/>
    <w:rsid w:val="00C41667"/>
    <w:rsid w:val="00C41839"/>
    <w:rsid w:val="00C418E9"/>
    <w:rsid w:val="00C419CC"/>
    <w:rsid w:val="00C41ABF"/>
    <w:rsid w:val="00C41C06"/>
    <w:rsid w:val="00C423E3"/>
    <w:rsid w:val="00C427C5"/>
    <w:rsid w:val="00C428F4"/>
    <w:rsid w:val="00C42DAF"/>
    <w:rsid w:val="00C44866"/>
    <w:rsid w:val="00C44E24"/>
    <w:rsid w:val="00C45009"/>
    <w:rsid w:val="00C4505E"/>
    <w:rsid w:val="00C45433"/>
    <w:rsid w:val="00C45B39"/>
    <w:rsid w:val="00C46D28"/>
    <w:rsid w:val="00C47732"/>
    <w:rsid w:val="00C501D5"/>
    <w:rsid w:val="00C501DA"/>
    <w:rsid w:val="00C50830"/>
    <w:rsid w:val="00C50856"/>
    <w:rsid w:val="00C50BEF"/>
    <w:rsid w:val="00C50D4E"/>
    <w:rsid w:val="00C50DC2"/>
    <w:rsid w:val="00C50E3C"/>
    <w:rsid w:val="00C5167F"/>
    <w:rsid w:val="00C51FD1"/>
    <w:rsid w:val="00C51FE2"/>
    <w:rsid w:val="00C520A3"/>
    <w:rsid w:val="00C5219D"/>
    <w:rsid w:val="00C522A5"/>
    <w:rsid w:val="00C5235E"/>
    <w:rsid w:val="00C52388"/>
    <w:rsid w:val="00C52C34"/>
    <w:rsid w:val="00C53C0E"/>
    <w:rsid w:val="00C544C5"/>
    <w:rsid w:val="00C54745"/>
    <w:rsid w:val="00C54B83"/>
    <w:rsid w:val="00C55347"/>
    <w:rsid w:val="00C5597B"/>
    <w:rsid w:val="00C55AB6"/>
    <w:rsid w:val="00C55C06"/>
    <w:rsid w:val="00C55F1A"/>
    <w:rsid w:val="00C5630F"/>
    <w:rsid w:val="00C563B5"/>
    <w:rsid w:val="00C56896"/>
    <w:rsid w:val="00C568B7"/>
    <w:rsid w:val="00C56EC3"/>
    <w:rsid w:val="00C5766F"/>
    <w:rsid w:val="00C57AA7"/>
    <w:rsid w:val="00C57E48"/>
    <w:rsid w:val="00C57EB0"/>
    <w:rsid w:val="00C600F5"/>
    <w:rsid w:val="00C60390"/>
    <w:rsid w:val="00C60B42"/>
    <w:rsid w:val="00C61755"/>
    <w:rsid w:val="00C61779"/>
    <w:rsid w:val="00C61A54"/>
    <w:rsid w:val="00C61B7E"/>
    <w:rsid w:val="00C620C2"/>
    <w:rsid w:val="00C62638"/>
    <w:rsid w:val="00C6308B"/>
    <w:rsid w:val="00C632F2"/>
    <w:rsid w:val="00C64628"/>
    <w:rsid w:val="00C646AB"/>
    <w:rsid w:val="00C64916"/>
    <w:rsid w:val="00C653CF"/>
    <w:rsid w:val="00C6653E"/>
    <w:rsid w:val="00C674A4"/>
    <w:rsid w:val="00C678A9"/>
    <w:rsid w:val="00C6795E"/>
    <w:rsid w:val="00C679FB"/>
    <w:rsid w:val="00C700BF"/>
    <w:rsid w:val="00C704BB"/>
    <w:rsid w:val="00C70739"/>
    <w:rsid w:val="00C70856"/>
    <w:rsid w:val="00C70E4B"/>
    <w:rsid w:val="00C70EAF"/>
    <w:rsid w:val="00C7101D"/>
    <w:rsid w:val="00C7128B"/>
    <w:rsid w:val="00C71BF3"/>
    <w:rsid w:val="00C720AE"/>
    <w:rsid w:val="00C73722"/>
    <w:rsid w:val="00C73957"/>
    <w:rsid w:val="00C73CC6"/>
    <w:rsid w:val="00C73DAD"/>
    <w:rsid w:val="00C759A3"/>
    <w:rsid w:val="00C75E9A"/>
    <w:rsid w:val="00C762D3"/>
    <w:rsid w:val="00C769AF"/>
    <w:rsid w:val="00C77EC8"/>
    <w:rsid w:val="00C80341"/>
    <w:rsid w:val="00C80640"/>
    <w:rsid w:val="00C8075B"/>
    <w:rsid w:val="00C8112C"/>
    <w:rsid w:val="00C811CB"/>
    <w:rsid w:val="00C814FD"/>
    <w:rsid w:val="00C8178F"/>
    <w:rsid w:val="00C81CE8"/>
    <w:rsid w:val="00C820EA"/>
    <w:rsid w:val="00C822EE"/>
    <w:rsid w:val="00C8252C"/>
    <w:rsid w:val="00C82D2E"/>
    <w:rsid w:val="00C838B3"/>
    <w:rsid w:val="00C83FFC"/>
    <w:rsid w:val="00C84616"/>
    <w:rsid w:val="00C84733"/>
    <w:rsid w:val="00C847A0"/>
    <w:rsid w:val="00C8487E"/>
    <w:rsid w:val="00C84CB9"/>
    <w:rsid w:val="00C84DC7"/>
    <w:rsid w:val="00C8516D"/>
    <w:rsid w:val="00C854B0"/>
    <w:rsid w:val="00C85C5C"/>
    <w:rsid w:val="00C85C95"/>
    <w:rsid w:val="00C85EBA"/>
    <w:rsid w:val="00C86223"/>
    <w:rsid w:val="00C86FEB"/>
    <w:rsid w:val="00C8710B"/>
    <w:rsid w:val="00C87573"/>
    <w:rsid w:val="00C9044A"/>
    <w:rsid w:val="00C906B4"/>
    <w:rsid w:val="00C90E7D"/>
    <w:rsid w:val="00C90F07"/>
    <w:rsid w:val="00C910C0"/>
    <w:rsid w:val="00C9123B"/>
    <w:rsid w:val="00C912D7"/>
    <w:rsid w:val="00C916B2"/>
    <w:rsid w:val="00C916E6"/>
    <w:rsid w:val="00C92096"/>
    <w:rsid w:val="00C92291"/>
    <w:rsid w:val="00C92402"/>
    <w:rsid w:val="00C92494"/>
    <w:rsid w:val="00C924B9"/>
    <w:rsid w:val="00C92859"/>
    <w:rsid w:val="00C92F2D"/>
    <w:rsid w:val="00C9356A"/>
    <w:rsid w:val="00C93573"/>
    <w:rsid w:val="00C936F8"/>
    <w:rsid w:val="00C93B5A"/>
    <w:rsid w:val="00C93F8D"/>
    <w:rsid w:val="00C944C1"/>
    <w:rsid w:val="00C94743"/>
    <w:rsid w:val="00C94920"/>
    <w:rsid w:val="00C95754"/>
    <w:rsid w:val="00C95C04"/>
    <w:rsid w:val="00C95C5E"/>
    <w:rsid w:val="00C9617E"/>
    <w:rsid w:val="00C962D5"/>
    <w:rsid w:val="00C97127"/>
    <w:rsid w:val="00C9724F"/>
    <w:rsid w:val="00C97C2F"/>
    <w:rsid w:val="00C97FA1"/>
    <w:rsid w:val="00CA0E15"/>
    <w:rsid w:val="00CA108B"/>
    <w:rsid w:val="00CA136E"/>
    <w:rsid w:val="00CA1615"/>
    <w:rsid w:val="00CA1661"/>
    <w:rsid w:val="00CA19E8"/>
    <w:rsid w:val="00CA1F6B"/>
    <w:rsid w:val="00CA1F95"/>
    <w:rsid w:val="00CA2AFC"/>
    <w:rsid w:val="00CA2B75"/>
    <w:rsid w:val="00CA31BE"/>
    <w:rsid w:val="00CA38BD"/>
    <w:rsid w:val="00CA3989"/>
    <w:rsid w:val="00CA3A52"/>
    <w:rsid w:val="00CA3B3C"/>
    <w:rsid w:val="00CA3BE4"/>
    <w:rsid w:val="00CA423C"/>
    <w:rsid w:val="00CA43DD"/>
    <w:rsid w:val="00CA44F0"/>
    <w:rsid w:val="00CA467C"/>
    <w:rsid w:val="00CA49AC"/>
    <w:rsid w:val="00CA5260"/>
    <w:rsid w:val="00CA55B8"/>
    <w:rsid w:val="00CA58D6"/>
    <w:rsid w:val="00CA5EFD"/>
    <w:rsid w:val="00CA66C6"/>
    <w:rsid w:val="00CA6A26"/>
    <w:rsid w:val="00CA6CB7"/>
    <w:rsid w:val="00CA6D9F"/>
    <w:rsid w:val="00CA75F2"/>
    <w:rsid w:val="00CA774F"/>
    <w:rsid w:val="00CA7849"/>
    <w:rsid w:val="00CA7ED8"/>
    <w:rsid w:val="00CB00F5"/>
    <w:rsid w:val="00CB04BA"/>
    <w:rsid w:val="00CB0AC0"/>
    <w:rsid w:val="00CB1082"/>
    <w:rsid w:val="00CB1EDB"/>
    <w:rsid w:val="00CB222C"/>
    <w:rsid w:val="00CB2C45"/>
    <w:rsid w:val="00CB2F0B"/>
    <w:rsid w:val="00CB32EE"/>
    <w:rsid w:val="00CB3E14"/>
    <w:rsid w:val="00CB411C"/>
    <w:rsid w:val="00CB4461"/>
    <w:rsid w:val="00CB46BA"/>
    <w:rsid w:val="00CB4AB0"/>
    <w:rsid w:val="00CB4ED4"/>
    <w:rsid w:val="00CB5FEA"/>
    <w:rsid w:val="00CB612A"/>
    <w:rsid w:val="00CB64D5"/>
    <w:rsid w:val="00CB6AB5"/>
    <w:rsid w:val="00CB73CE"/>
    <w:rsid w:val="00CB754E"/>
    <w:rsid w:val="00CB7B89"/>
    <w:rsid w:val="00CC0269"/>
    <w:rsid w:val="00CC05D4"/>
    <w:rsid w:val="00CC07D0"/>
    <w:rsid w:val="00CC094C"/>
    <w:rsid w:val="00CC0FA3"/>
    <w:rsid w:val="00CC1085"/>
    <w:rsid w:val="00CC16B5"/>
    <w:rsid w:val="00CC1A01"/>
    <w:rsid w:val="00CC1B99"/>
    <w:rsid w:val="00CC20DE"/>
    <w:rsid w:val="00CC227D"/>
    <w:rsid w:val="00CC267C"/>
    <w:rsid w:val="00CC2982"/>
    <w:rsid w:val="00CC2C4E"/>
    <w:rsid w:val="00CC2D79"/>
    <w:rsid w:val="00CC2E5B"/>
    <w:rsid w:val="00CC338B"/>
    <w:rsid w:val="00CC3A42"/>
    <w:rsid w:val="00CC5620"/>
    <w:rsid w:val="00CC593E"/>
    <w:rsid w:val="00CC6323"/>
    <w:rsid w:val="00CC68C7"/>
    <w:rsid w:val="00CC73CD"/>
    <w:rsid w:val="00CC789D"/>
    <w:rsid w:val="00CC79B2"/>
    <w:rsid w:val="00CC79C6"/>
    <w:rsid w:val="00CD0CC5"/>
    <w:rsid w:val="00CD0E5E"/>
    <w:rsid w:val="00CD1139"/>
    <w:rsid w:val="00CD17EB"/>
    <w:rsid w:val="00CD1BB7"/>
    <w:rsid w:val="00CD1C4E"/>
    <w:rsid w:val="00CD2475"/>
    <w:rsid w:val="00CD24CC"/>
    <w:rsid w:val="00CD25A5"/>
    <w:rsid w:val="00CD2F66"/>
    <w:rsid w:val="00CD5031"/>
    <w:rsid w:val="00CD5258"/>
    <w:rsid w:val="00CD554F"/>
    <w:rsid w:val="00CD5D9F"/>
    <w:rsid w:val="00CD5EFA"/>
    <w:rsid w:val="00CD660C"/>
    <w:rsid w:val="00CD74D0"/>
    <w:rsid w:val="00CD75B0"/>
    <w:rsid w:val="00CD75CC"/>
    <w:rsid w:val="00CD7BDC"/>
    <w:rsid w:val="00CD7D24"/>
    <w:rsid w:val="00CE0453"/>
    <w:rsid w:val="00CE0CED"/>
    <w:rsid w:val="00CE1A96"/>
    <w:rsid w:val="00CE1B97"/>
    <w:rsid w:val="00CE1FB2"/>
    <w:rsid w:val="00CE22CE"/>
    <w:rsid w:val="00CE2587"/>
    <w:rsid w:val="00CE25F6"/>
    <w:rsid w:val="00CE262A"/>
    <w:rsid w:val="00CE2712"/>
    <w:rsid w:val="00CE3076"/>
    <w:rsid w:val="00CE315F"/>
    <w:rsid w:val="00CE37C0"/>
    <w:rsid w:val="00CE3C68"/>
    <w:rsid w:val="00CE3CA4"/>
    <w:rsid w:val="00CE3D3B"/>
    <w:rsid w:val="00CE485A"/>
    <w:rsid w:val="00CE4C37"/>
    <w:rsid w:val="00CE4FB0"/>
    <w:rsid w:val="00CE5289"/>
    <w:rsid w:val="00CE5E07"/>
    <w:rsid w:val="00CE6E43"/>
    <w:rsid w:val="00CF003E"/>
    <w:rsid w:val="00CF0143"/>
    <w:rsid w:val="00CF0B23"/>
    <w:rsid w:val="00CF13E8"/>
    <w:rsid w:val="00CF1775"/>
    <w:rsid w:val="00CF19DC"/>
    <w:rsid w:val="00CF1A41"/>
    <w:rsid w:val="00CF1CB8"/>
    <w:rsid w:val="00CF1DA2"/>
    <w:rsid w:val="00CF1E8C"/>
    <w:rsid w:val="00CF291C"/>
    <w:rsid w:val="00CF2FF5"/>
    <w:rsid w:val="00CF319C"/>
    <w:rsid w:val="00CF335F"/>
    <w:rsid w:val="00CF33C7"/>
    <w:rsid w:val="00CF3414"/>
    <w:rsid w:val="00CF3826"/>
    <w:rsid w:val="00CF4110"/>
    <w:rsid w:val="00CF4A87"/>
    <w:rsid w:val="00CF5BC0"/>
    <w:rsid w:val="00CF5DF5"/>
    <w:rsid w:val="00CF6679"/>
    <w:rsid w:val="00CF692E"/>
    <w:rsid w:val="00CF7392"/>
    <w:rsid w:val="00CF76FD"/>
    <w:rsid w:val="00CF7B26"/>
    <w:rsid w:val="00CF7E4E"/>
    <w:rsid w:val="00D00592"/>
    <w:rsid w:val="00D00ECC"/>
    <w:rsid w:val="00D01064"/>
    <w:rsid w:val="00D0180A"/>
    <w:rsid w:val="00D02302"/>
    <w:rsid w:val="00D02BC2"/>
    <w:rsid w:val="00D02F97"/>
    <w:rsid w:val="00D03180"/>
    <w:rsid w:val="00D03345"/>
    <w:rsid w:val="00D03382"/>
    <w:rsid w:val="00D034C2"/>
    <w:rsid w:val="00D034CA"/>
    <w:rsid w:val="00D0389A"/>
    <w:rsid w:val="00D03997"/>
    <w:rsid w:val="00D03A07"/>
    <w:rsid w:val="00D0436D"/>
    <w:rsid w:val="00D04686"/>
    <w:rsid w:val="00D04B9E"/>
    <w:rsid w:val="00D053AB"/>
    <w:rsid w:val="00D05C4E"/>
    <w:rsid w:val="00D0641E"/>
    <w:rsid w:val="00D06D73"/>
    <w:rsid w:val="00D0741A"/>
    <w:rsid w:val="00D07B0F"/>
    <w:rsid w:val="00D07FAF"/>
    <w:rsid w:val="00D10307"/>
    <w:rsid w:val="00D10C2E"/>
    <w:rsid w:val="00D10EB9"/>
    <w:rsid w:val="00D11375"/>
    <w:rsid w:val="00D12238"/>
    <w:rsid w:val="00D1313D"/>
    <w:rsid w:val="00D13661"/>
    <w:rsid w:val="00D13736"/>
    <w:rsid w:val="00D1374B"/>
    <w:rsid w:val="00D13A2A"/>
    <w:rsid w:val="00D13A91"/>
    <w:rsid w:val="00D140B0"/>
    <w:rsid w:val="00D14E51"/>
    <w:rsid w:val="00D15462"/>
    <w:rsid w:val="00D158EF"/>
    <w:rsid w:val="00D162BC"/>
    <w:rsid w:val="00D162E1"/>
    <w:rsid w:val="00D16CA8"/>
    <w:rsid w:val="00D170F3"/>
    <w:rsid w:val="00D17390"/>
    <w:rsid w:val="00D176BB"/>
    <w:rsid w:val="00D178E0"/>
    <w:rsid w:val="00D20504"/>
    <w:rsid w:val="00D20562"/>
    <w:rsid w:val="00D208D6"/>
    <w:rsid w:val="00D21954"/>
    <w:rsid w:val="00D21A64"/>
    <w:rsid w:val="00D21EC0"/>
    <w:rsid w:val="00D21FBA"/>
    <w:rsid w:val="00D223CB"/>
    <w:rsid w:val="00D22494"/>
    <w:rsid w:val="00D22524"/>
    <w:rsid w:val="00D228D1"/>
    <w:rsid w:val="00D22AC8"/>
    <w:rsid w:val="00D22D6E"/>
    <w:rsid w:val="00D22E0C"/>
    <w:rsid w:val="00D22FA5"/>
    <w:rsid w:val="00D231CB"/>
    <w:rsid w:val="00D2400E"/>
    <w:rsid w:val="00D242BB"/>
    <w:rsid w:val="00D2430B"/>
    <w:rsid w:val="00D2476B"/>
    <w:rsid w:val="00D2495A"/>
    <w:rsid w:val="00D24DA4"/>
    <w:rsid w:val="00D251D8"/>
    <w:rsid w:val="00D25926"/>
    <w:rsid w:val="00D25A9D"/>
    <w:rsid w:val="00D26A17"/>
    <w:rsid w:val="00D26AB7"/>
    <w:rsid w:val="00D26D39"/>
    <w:rsid w:val="00D27471"/>
    <w:rsid w:val="00D27652"/>
    <w:rsid w:val="00D278A4"/>
    <w:rsid w:val="00D27A19"/>
    <w:rsid w:val="00D27B8D"/>
    <w:rsid w:val="00D27FBE"/>
    <w:rsid w:val="00D30D63"/>
    <w:rsid w:val="00D31729"/>
    <w:rsid w:val="00D31AC2"/>
    <w:rsid w:val="00D31FE2"/>
    <w:rsid w:val="00D32358"/>
    <w:rsid w:val="00D32809"/>
    <w:rsid w:val="00D32868"/>
    <w:rsid w:val="00D32B22"/>
    <w:rsid w:val="00D33089"/>
    <w:rsid w:val="00D333C9"/>
    <w:rsid w:val="00D33749"/>
    <w:rsid w:val="00D33EEB"/>
    <w:rsid w:val="00D34187"/>
    <w:rsid w:val="00D34D26"/>
    <w:rsid w:val="00D351C0"/>
    <w:rsid w:val="00D353FF"/>
    <w:rsid w:val="00D35560"/>
    <w:rsid w:val="00D35C62"/>
    <w:rsid w:val="00D36829"/>
    <w:rsid w:val="00D3694A"/>
    <w:rsid w:val="00D36C44"/>
    <w:rsid w:val="00D37CDB"/>
    <w:rsid w:val="00D40124"/>
    <w:rsid w:val="00D401E7"/>
    <w:rsid w:val="00D40460"/>
    <w:rsid w:val="00D405B4"/>
    <w:rsid w:val="00D40A44"/>
    <w:rsid w:val="00D40CC4"/>
    <w:rsid w:val="00D40FE6"/>
    <w:rsid w:val="00D41832"/>
    <w:rsid w:val="00D4248D"/>
    <w:rsid w:val="00D42723"/>
    <w:rsid w:val="00D428A5"/>
    <w:rsid w:val="00D42A92"/>
    <w:rsid w:val="00D42FC5"/>
    <w:rsid w:val="00D43013"/>
    <w:rsid w:val="00D43275"/>
    <w:rsid w:val="00D434D8"/>
    <w:rsid w:val="00D4473D"/>
    <w:rsid w:val="00D44AF2"/>
    <w:rsid w:val="00D4511B"/>
    <w:rsid w:val="00D45EEC"/>
    <w:rsid w:val="00D46644"/>
    <w:rsid w:val="00D47B79"/>
    <w:rsid w:val="00D504C5"/>
    <w:rsid w:val="00D50571"/>
    <w:rsid w:val="00D5150C"/>
    <w:rsid w:val="00D515D5"/>
    <w:rsid w:val="00D516DE"/>
    <w:rsid w:val="00D51B0B"/>
    <w:rsid w:val="00D51BDA"/>
    <w:rsid w:val="00D51DA8"/>
    <w:rsid w:val="00D51F1C"/>
    <w:rsid w:val="00D51F9B"/>
    <w:rsid w:val="00D521ED"/>
    <w:rsid w:val="00D52BA3"/>
    <w:rsid w:val="00D52C05"/>
    <w:rsid w:val="00D5313F"/>
    <w:rsid w:val="00D53B8B"/>
    <w:rsid w:val="00D53D3C"/>
    <w:rsid w:val="00D54285"/>
    <w:rsid w:val="00D558D1"/>
    <w:rsid w:val="00D56B9E"/>
    <w:rsid w:val="00D56CBE"/>
    <w:rsid w:val="00D57155"/>
    <w:rsid w:val="00D57C38"/>
    <w:rsid w:val="00D57E41"/>
    <w:rsid w:val="00D606A9"/>
    <w:rsid w:val="00D6112B"/>
    <w:rsid w:val="00D611C0"/>
    <w:rsid w:val="00D61A8C"/>
    <w:rsid w:val="00D61B79"/>
    <w:rsid w:val="00D63031"/>
    <w:rsid w:val="00D642C6"/>
    <w:rsid w:val="00D642CD"/>
    <w:rsid w:val="00D6466B"/>
    <w:rsid w:val="00D6480D"/>
    <w:rsid w:val="00D64B76"/>
    <w:rsid w:val="00D64BE3"/>
    <w:rsid w:val="00D64DEB"/>
    <w:rsid w:val="00D64F72"/>
    <w:rsid w:val="00D6580C"/>
    <w:rsid w:val="00D6634E"/>
    <w:rsid w:val="00D6665A"/>
    <w:rsid w:val="00D666A2"/>
    <w:rsid w:val="00D669F0"/>
    <w:rsid w:val="00D66E9B"/>
    <w:rsid w:val="00D677AA"/>
    <w:rsid w:val="00D67C75"/>
    <w:rsid w:val="00D67C7A"/>
    <w:rsid w:val="00D7033D"/>
    <w:rsid w:val="00D70390"/>
    <w:rsid w:val="00D706C4"/>
    <w:rsid w:val="00D70B07"/>
    <w:rsid w:val="00D7105A"/>
    <w:rsid w:val="00D7111C"/>
    <w:rsid w:val="00D71939"/>
    <w:rsid w:val="00D72709"/>
    <w:rsid w:val="00D727DC"/>
    <w:rsid w:val="00D73100"/>
    <w:rsid w:val="00D73338"/>
    <w:rsid w:val="00D73CC2"/>
    <w:rsid w:val="00D73F60"/>
    <w:rsid w:val="00D73FAB"/>
    <w:rsid w:val="00D744A6"/>
    <w:rsid w:val="00D748BF"/>
    <w:rsid w:val="00D74977"/>
    <w:rsid w:val="00D74AE3"/>
    <w:rsid w:val="00D74C98"/>
    <w:rsid w:val="00D750DB"/>
    <w:rsid w:val="00D75684"/>
    <w:rsid w:val="00D75BC7"/>
    <w:rsid w:val="00D75EA3"/>
    <w:rsid w:val="00D76848"/>
    <w:rsid w:val="00D76C9D"/>
    <w:rsid w:val="00D771AA"/>
    <w:rsid w:val="00D77618"/>
    <w:rsid w:val="00D801C8"/>
    <w:rsid w:val="00D80260"/>
    <w:rsid w:val="00D811C8"/>
    <w:rsid w:val="00D818B8"/>
    <w:rsid w:val="00D82173"/>
    <w:rsid w:val="00D8220D"/>
    <w:rsid w:val="00D83808"/>
    <w:rsid w:val="00D83D62"/>
    <w:rsid w:val="00D84521"/>
    <w:rsid w:val="00D84E89"/>
    <w:rsid w:val="00D85C57"/>
    <w:rsid w:val="00D85F3F"/>
    <w:rsid w:val="00D86176"/>
    <w:rsid w:val="00D861A2"/>
    <w:rsid w:val="00D86E8E"/>
    <w:rsid w:val="00D87B8F"/>
    <w:rsid w:val="00D87E06"/>
    <w:rsid w:val="00D87E74"/>
    <w:rsid w:val="00D9027C"/>
    <w:rsid w:val="00D902B0"/>
    <w:rsid w:val="00D90D57"/>
    <w:rsid w:val="00D91CC3"/>
    <w:rsid w:val="00D92158"/>
    <w:rsid w:val="00D9237D"/>
    <w:rsid w:val="00D927B0"/>
    <w:rsid w:val="00D92D59"/>
    <w:rsid w:val="00D93AFF"/>
    <w:rsid w:val="00D93B63"/>
    <w:rsid w:val="00D93EE2"/>
    <w:rsid w:val="00D941F3"/>
    <w:rsid w:val="00D94344"/>
    <w:rsid w:val="00D945D5"/>
    <w:rsid w:val="00D94B40"/>
    <w:rsid w:val="00D95144"/>
    <w:rsid w:val="00D95967"/>
    <w:rsid w:val="00D96830"/>
    <w:rsid w:val="00D96838"/>
    <w:rsid w:val="00D96DF0"/>
    <w:rsid w:val="00D971A1"/>
    <w:rsid w:val="00D978F4"/>
    <w:rsid w:val="00D97962"/>
    <w:rsid w:val="00D979DA"/>
    <w:rsid w:val="00D97D4A"/>
    <w:rsid w:val="00DA04AA"/>
    <w:rsid w:val="00DA0C94"/>
    <w:rsid w:val="00DA0FBC"/>
    <w:rsid w:val="00DA12E8"/>
    <w:rsid w:val="00DA17F7"/>
    <w:rsid w:val="00DA19CD"/>
    <w:rsid w:val="00DA244C"/>
    <w:rsid w:val="00DA2C0E"/>
    <w:rsid w:val="00DA2FCC"/>
    <w:rsid w:val="00DA328B"/>
    <w:rsid w:val="00DA3AAD"/>
    <w:rsid w:val="00DA3EA8"/>
    <w:rsid w:val="00DA409D"/>
    <w:rsid w:val="00DA454A"/>
    <w:rsid w:val="00DA4AD4"/>
    <w:rsid w:val="00DA4D83"/>
    <w:rsid w:val="00DA4F7F"/>
    <w:rsid w:val="00DA52B8"/>
    <w:rsid w:val="00DA55FD"/>
    <w:rsid w:val="00DA57C5"/>
    <w:rsid w:val="00DA61B9"/>
    <w:rsid w:val="00DA62B9"/>
    <w:rsid w:val="00DA660B"/>
    <w:rsid w:val="00DA6659"/>
    <w:rsid w:val="00DA6898"/>
    <w:rsid w:val="00DA7D61"/>
    <w:rsid w:val="00DB089D"/>
    <w:rsid w:val="00DB0C94"/>
    <w:rsid w:val="00DB10FB"/>
    <w:rsid w:val="00DB1422"/>
    <w:rsid w:val="00DB1D74"/>
    <w:rsid w:val="00DB1FDE"/>
    <w:rsid w:val="00DB2398"/>
    <w:rsid w:val="00DB28F9"/>
    <w:rsid w:val="00DB2F67"/>
    <w:rsid w:val="00DB3727"/>
    <w:rsid w:val="00DB39F2"/>
    <w:rsid w:val="00DB3C06"/>
    <w:rsid w:val="00DB518A"/>
    <w:rsid w:val="00DB622A"/>
    <w:rsid w:val="00DB62C8"/>
    <w:rsid w:val="00DB6827"/>
    <w:rsid w:val="00DB7686"/>
    <w:rsid w:val="00DB7A16"/>
    <w:rsid w:val="00DB7A94"/>
    <w:rsid w:val="00DB7B9B"/>
    <w:rsid w:val="00DC0714"/>
    <w:rsid w:val="00DC08BC"/>
    <w:rsid w:val="00DC0BCB"/>
    <w:rsid w:val="00DC1029"/>
    <w:rsid w:val="00DC11A8"/>
    <w:rsid w:val="00DC1595"/>
    <w:rsid w:val="00DC16AB"/>
    <w:rsid w:val="00DC1972"/>
    <w:rsid w:val="00DC1EEE"/>
    <w:rsid w:val="00DC35A5"/>
    <w:rsid w:val="00DC3B9A"/>
    <w:rsid w:val="00DC4ED6"/>
    <w:rsid w:val="00DC50FC"/>
    <w:rsid w:val="00DC556E"/>
    <w:rsid w:val="00DC55E1"/>
    <w:rsid w:val="00DC6226"/>
    <w:rsid w:val="00DC63AE"/>
    <w:rsid w:val="00DC6F9D"/>
    <w:rsid w:val="00DC7985"/>
    <w:rsid w:val="00DC7BDC"/>
    <w:rsid w:val="00DD0FF9"/>
    <w:rsid w:val="00DD1883"/>
    <w:rsid w:val="00DD1FEC"/>
    <w:rsid w:val="00DD20F3"/>
    <w:rsid w:val="00DD23FF"/>
    <w:rsid w:val="00DD2AA3"/>
    <w:rsid w:val="00DD2CE4"/>
    <w:rsid w:val="00DD3126"/>
    <w:rsid w:val="00DD3161"/>
    <w:rsid w:val="00DD31BC"/>
    <w:rsid w:val="00DD36CC"/>
    <w:rsid w:val="00DD3710"/>
    <w:rsid w:val="00DD4556"/>
    <w:rsid w:val="00DD464F"/>
    <w:rsid w:val="00DD5622"/>
    <w:rsid w:val="00DD5723"/>
    <w:rsid w:val="00DD57BA"/>
    <w:rsid w:val="00DD614D"/>
    <w:rsid w:val="00DD61B4"/>
    <w:rsid w:val="00DD6332"/>
    <w:rsid w:val="00DD6C60"/>
    <w:rsid w:val="00DD6E63"/>
    <w:rsid w:val="00DD6E8A"/>
    <w:rsid w:val="00DD6EEA"/>
    <w:rsid w:val="00DD73D2"/>
    <w:rsid w:val="00DE078A"/>
    <w:rsid w:val="00DE0C53"/>
    <w:rsid w:val="00DE0F31"/>
    <w:rsid w:val="00DE107A"/>
    <w:rsid w:val="00DE1869"/>
    <w:rsid w:val="00DE187D"/>
    <w:rsid w:val="00DE28FC"/>
    <w:rsid w:val="00DE2D9D"/>
    <w:rsid w:val="00DE3DE0"/>
    <w:rsid w:val="00DE4240"/>
    <w:rsid w:val="00DE4DF2"/>
    <w:rsid w:val="00DE5648"/>
    <w:rsid w:val="00DE564F"/>
    <w:rsid w:val="00DE5673"/>
    <w:rsid w:val="00DE56DD"/>
    <w:rsid w:val="00DE574F"/>
    <w:rsid w:val="00DE57FB"/>
    <w:rsid w:val="00DE5D2A"/>
    <w:rsid w:val="00DE5EDC"/>
    <w:rsid w:val="00DE5F22"/>
    <w:rsid w:val="00DE61F3"/>
    <w:rsid w:val="00DE631C"/>
    <w:rsid w:val="00DE68BC"/>
    <w:rsid w:val="00DE6A60"/>
    <w:rsid w:val="00DE6ACD"/>
    <w:rsid w:val="00DE6CA8"/>
    <w:rsid w:val="00DE71A4"/>
    <w:rsid w:val="00DE7275"/>
    <w:rsid w:val="00DE7B3A"/>
    <w:rsid w:val="00DE7CE1"/>
    <w:rsid w:val="00DE7F0E"/>
    <w:rsid w:val="00DF082E"/>
    <w:rsid w:val="00DF1943"/>
    <w:rsid w:val="00DF1B93"/>
    <w:rsid w:val="00DF2321"/>
    <w:rsid w:val="00DF2897"/>
    <w:rsid w:val="00DF2D39"/>
    <w:rsid w:val="00DF379B"/>
    <w:rsid w:val="00DF3BAA"/>
    <w:rsid w:val="00DF465A"/>
    <w:rsid w:val="00DF4839"/>
    <w:rsid w:val="00DF4F66"/>
    <w:rsid w:val="00DF587D"/>
    <w:rsid w:val="00DF5A6A"/>
    <w:rsid w:val="00DF5D60"/>
    <w:rsid w:val="00DF683E"/>
    <w:rsid w:val="00DF6B8A"/>
    <w:rsid w:val="00DF6E30"/>
    <w:rsid w:val="00DF73E1"/>
    <w:rsid w:val="00DF765F"/>
    <w:rsid w:val="00DF7A2E"/>
    <w:rsid w:val="00DF7F45"/>
    <w:rsid w:val="00E0033A"/>
    <w:rsid w:val="00E00A40"/>
    <w:rsid w:val="00E00F74"/>
    <w:rsid w:val="00E0122A"/>
    <w:rsid w:val="00E016D2"/>
    <w:rsid w:val="00E02B8D"/>
    <w:rsid w:val="00E02B8E"/>
    <w:rsid w:val="00E02D0B"/>
    <w:rsid w:val="00E03472"/>
    <w:rsid w:val="00E03790"/>
    <w:rsid w:val="00E038CD"/>
    <w:rsid w:val="00E03B9B"/>
    <w:rsid w:val="00E03C4A"/>
    <w:rsid w:val="00E03E5D"/>
    <w:rsid w:val="00E03FC4"/>
    <w:rsid w:val="00E0410E"/>
    <w:rsid w:val="00E04BB4"/>
    <w:rsid w:val="00E04EB0"/>
    <w:rsid w:val="00E04EC3"/>
    <w:rsid w:val="00E05371"/>
    <w:rsid w:val="00E05811"/>
    <w:rsid w:val="00E0581C"/>
    <w:rsid w:val="00E05871"/>
    <w:rsid w:val="00E058DD"/>
    <w:rsid w:val="00E05EC7"/>
    <w:rsid w:val="00E0680B"/>
    <w:rsid w:val="00E06D4E"/>
    <w:rsid w:val="00E0779C"/>
    <w:rsid w:val="00E07D4C"/>
    <w:rsid w:val="00E10F14"/>
    <w:rsid w:val="00E1140F"/>
    <w:rsid w:val="00E1152C"/>
    <w:rsid w:val="00E11B3D"/>
    <w:rsid w:val="00E11F28"/>
    <w:rsid w:val="00E12BC1"/>
    <w:rsid w:val="00E12DF0"/>
    <w:rsid w:val="00E134B3"/>
    <w:rsid w:val="00E137D8"/>
    <w:rsid w:val="00E14699"/>
    <w:rsid w:val="00E1474B"/>
    <w:rsid w:val="00E14772"/>
    <w:rsid w:val="00E14D22"/>
    <w:rsid w:val="00E15422"/>
    <w:rsid w:val="00E15676"/>
    <w:rsid w:val="00E15BEF"/>
    <w:rsid w:val="00E16D97"/>
    <w:rsid w:val="00E173FD"/>
    <w:rsid w:val="00E17A3E"/>
    <w:rsid w:val="00E17C17"/>
    <w:rsid w:val="00E17D84"/>
    <w:rsid w:val="00E17E2F"/>
    <w:rsid w:val="00E20403"/>
    <w:rsid w:val="00E2095D"/>
    <w:rsid w:val="00E20F82"/>
    <w:rsid w:val="00E2109E"/>
    <w:rsid w:val="00E21DFF"/>
    <w:rsid w:val="00E21FC1"/>
    <w:rsid w:val="00E22656"/>
    <w:rsid w:val="00E22BDC"/>
    <w:rsid w:val="00E231CC"/>
    <w:rsid w:val="00E249BC"/>
    <w:rsid w:val="00E24ADC"/>
    <w:rsid w:val="00E25549"/>
    <w:rsid w:val="00E255DA"/>
    <w:rsid w:val="00E2572B"/>
    <w:rsid w:val="00E257AC"/>
    <w:rsid w:val="00E2694F"/>
    <w:rsid w:val="00E26F81"/>
    <w:rsid w:val="00E2742A"/>
    <w:rsid w:val="00E277C2"/>
    <w:rsid w:val="00E27B97"/>
    <w:rsid w:val="00E30111"/>
    <w:rsid w:val="00E3060D"/>
    <w:rsid w:val="00E308DE"/>
    <w:rsid w:val="00E31164"/>
    <w:rsid w:val="00E312D6"/>
    <w:rsid w:val="00E31387"/>
    <w:rsid w:val="00E31937"/>
    <w:rsid w:val="00E31982"/>
    <w:rsid w:val="00E31B55"/>
    <w:rsid w:val="00E31BA7"/>
    <w:rsid w:val="00E31CDE"/>
    <w:rsid w:val="00E32181"/>
    <w:rsid w:val="00E327D7"/>
    <w:rsid w:val="00E334E7"/>
    <w:rsid w:val="00E33602"/>
    <w:rsid w:val="00E337D4"/>
    <w:rsid w:val="00E33A33"/>
    <w:rsid w:val="00E33D24"/>
    <w:rsid w:val="00E35361"/>
    <w:rsid w:val="00E353A2"/>
    <w:rsid w:val="00E35701"/>
    <w:rsid w:val="00E35CD8"/>
    <w:rsid w:val="00E3687B"/>
    <w:rsid w:val="00E36965"/>
    <w:rsid w:val="00E369E1"/>
    <w:rsid w:val="00E375B5"/>
    <w:rsid w:val="00E40138"/>
    <w:rsid w:val="00E401A1"/>
    <w:rsid w:val="00E4081D"/>
    <w:rsid w:val="00E40B44"/>
    <w:rsid w:val="00E40C4B"/>
    <w:rsid w:val="00E418A2"/>
    <w:rsid w:val="00E41A7C"/>
    <w:rsid w:val="00E42299"/>
    <w:rsid w:val="00E4248C"/>
    <w:rsid w:val="00E425AD"/>
    <w:rsid w:val="00E42A79"/>
    <w:rsid w:val="00E42D41"/>
    <w:rsid w:val="00E42D4D"/>
    <w:rsid w:val="00E42ECD"/>
    <w:rsid w:val="00E42F84"/>
    <w:rsid w:val="00E435CE"/>
    <w:rsid w:val="00E43756"/>
    <w:rsid w:val="00E43AB0"/>
    <w:rsid w:val="00E43AD4"/>
    <w:rsid w:val="00E43F18"/>
    <w:rsid w:val="00E4456A"/>
    <w:rsid w:val="00E44BC4"/>
    <w:rsid w:val="00E44C83"/>
    <w:rsid w:val="00E44F7C"/>
    <w:rsid w:val="00E45364"/>
    <w:rsid w:val="00E453B9"/>
    <w:rsid w:val="00E455B7"/>
    <w:rsid w:val="00E459AC"/>
    <w:rsid w:val="00E45E11"/>
    <w:rsid w:val="00E460DF"/>
    <w:rsid w:val="00E4628B"/>
    <w:rsid w:val="00E4692F"/>
    <w:rsid w:val="00E46F75"/>
    <w:rsid w:val="00E470C8"/>
    <w:rsid w:val="00E47139"/>
    <w:rsid w:val="00E475BE"/>
    <w:rsid w:val="00E47DFF"/>
    <w:rsid w:val="00E50E6B"/>
    <w:rsid w:val="00E51DE4"/>
    <w:rsid w:val="00E51FED"/>
    <w:rsid w:val="00E52EEE"/>
    <w:rsid w:val="00E53167"/>
    <w:rsid w:val="00E5340A"/>
    <w:rsid w:val="00E53B05"/>
    <w:rsid w:val="00E53F71"/>
    <w:rsid w:val="00E54293"/>
    <w:rsid w:val="00E544FF"/>
    <w:rsid w:val="00E54C63"/>
    <w:rsid w:val="00E555F6"/>
    <w:rsid w:val="00E5583D"/>
    <w:rsid w:val="00E558C7"/>
    <w:rsid w:val="00E55B57"/>
    <w:rsid w:val="00E56148"/>
    <w:rsid w:val="00E56ADE"/>
    <w:rsid w:val="00E57079"/>
    <w:rsid w:val="00E5747D"/>
    <w:rsid w:val="00E57F18"/>
    <w:rsid w:val="00E60CB7"/>
    <w:rsid w:val="00E60DE0"/>
    <w:rsid w:val="00E60EB8"/>
    <w:rsid w:val="00E613B6"/>
    <w:rsid w:val="00E613DB"/>
    <w:rsid w:val="00E61540"/>
    <w:rsid w:val="00E62F5F"/>
    <w:rsid w:val="00E6310A"/>
    <w:rsid w:val="00E63472"/>
    <w:rsid w:val="00E639A6"/>
    <w:rsid w:val="00E63A48"/>
    <w:rsid w:val="00E64226"/>
    <w:rsid w:val="00E6453D"/>
    <w:rsid w:val="00E649EA"/>
    <w:rsid w:val="00E6502E"/>
    <w:rsid w:val="00E65506"/>
    <w:rsid w:val="00E65C44"/>
    <w:rsid w:val="00E65E92"/>
    <w:rsid w:val="00E665E0"/>
    <w:rsid w:val="00E670E7"/>
    <w:rsid w:val="00E701E8"/>
    <w:rsid w:val="00E70238"/>
    <w:rsid w:val="00E70F08"/>
    <w:rsid w:val="00E715DB"/>
    <w:rsid w:val="00E715F5"/>
    <w:rsid w:val="00E71842"/>
    <w:rsid w:val="00E71F83"/>
    <w:rsid w:val="00E7254F"/>
    <w:rsid w:val="00E72EFA"/>
    <w:rsid w:val="00E730C0"/>
    <w:rsid w:val="00E730DF"/>
    <w:rsid w:val="00E7334D"/>
    <w:rsid w:val="00E7360F"/>
    <w:rsid w:val="00E73BF6"/>
    <w:rsid w:val="00E73C62"/>
    <w:rsid w:val="00E73CD2"/>
    <w:rsid w:val="00E73EE9"/>
    <w:rsid w:val="00E74075"/>
    <w:rsid w:val="00E7509D"/>
    <w:rsid w:val="00E75424"/>
    <w:rsid w:val="00E75BA8"/>
    <w:rsid w:val="00E761E2"/>
    <w:rsid w:val="00E76381"/>
    <w:rsid w:val="00E77E6C"/>
    <w:rsid w:val="00E80050"/>
    <w:rsid w:val="00E800E4"/>
    <w:rsid w:val="00E80378"/>
    <w:rsid w:val="00E804CE"/>
    <w:rsid w:val="00E8055D"/>
    <w:rsid w:val="00E805AC"/>
    <w:rsid w:val="00E80A4D"/>
    <w:rsid w:val="00E81068"/>
    <w:rsid w:val="00E81796"/>
    <w:rsid w:val="00E81C99"/>
    <w:rsid w:val="00E81DB0"/>
    <w:rsid w:val="00E8261E"/>
    <w:rsid w:val="00E82A3A"/>
    <w:rsid w:val="00E82BFE"/>
    <w:rsid w:val="00E857E0"/>
    <w:rsid w:val="00E86081"/>
    <w:rsid w:val="00E860AD"/>
    <w:rsid w:val="00E86742"/>
    <w:rsid w:val="00E86E7B"/>
    <w:rsid w:val="00E87586"/>
    <w:rsid w:val="00E87716"/>
    <w:rsid w:val="00E87FFE"/>
    <w:rsid w:val="00E904DE"/>
    <w:rsid w:val="00E90683"/>
    <w:rsid w:val="00E916C2"/>
    <w:rsid w:val="00E916C4"/>
    <w:rsid w:val="00E917AC"/>
    <w:rsid w:val="00E91FEE"/>
    <w:rsid w:val="00E92B2D"/>
    <w:rsid w:val="00E92F3A"/>
    <w:rsid w:val="00E93191"/>
    <w:rsid w:val="00E936FA"/>
    <w:rsid w:val="00E93720"/>
    <w:rsid w:val="00E93BF7"/>
    <w:rsid w:val="00E93F8E"/>
    <w:rsid w:val="00E94CC4"/>
    <w:rsid w:val="00E95898"/>
    <w:rsid w:val="00E95917"/>
    <w:rsid w:val="00E95ED8"/>
    <w:rsid w:val="00E963EB"/>
    <w:rsid w:val="00E96AD5"/>
    <w:rsid w:val="00E96BA8"/>
    <w:rsid w:val="00E970CE"/>
    <w:rsid w:val="00E97105"/>
    <w:rsid w:val="00E9756D"/>
    <w:rsid w:val="00E97CFA"/>
    <w:rsid w:val="00EA031C"/>
    <w:rsid w:val="00EA0C78"/>
    <w:rsid w:val="00EA11F2"/>
    <w:rsid w:val="00EA126E"/>
    <w:rsid w:val="00EA12AC"/>
    <w:rsid w:val="00EA1F21"/>
    <w:rsid w:val="00EA2740"/>
    <w:rsid w:val="00EA361E"/>
    <w:rsid w:val="00EA3627"/>
    <w:rsid w:val="00EA3869"/>
    <w:rsid w:val="00EA3934"/>
    <w:rsid w:val="00EA4498"/>
    <w:rsid w:val="00EA4A9C"/>
    <w:rsid w:val="00EA5500"/>
    <w:rsid w:val="00EA56B0"/>
    <w:rsid w:val="00EA57C6"/>
    <w:rsid w:val="00EA64A4"/>
    <w:rsid w:val="00EA67AE"/>
    <w:rsid w:val="00EA6B60"/>
    <w:rsid w:val="00EA6FBB"/>
    <w:rsid w:val="00EA7336"/>
    <w:rsid w:val="00EA79F5"/>
    <w:rsid w:val="00EB004D"/>
    <w:rsid w:val="00EB015B"/>
    <w:rsid w:val="00EB02C2"/>
    <w:rsid w:val="00EB0C32"/>
    <w:rsid w:val="00EB0D45"/>
    <w:rsid w:val="00EB156D"/>
    <w:rsid w:val="00EB230A"/>
    <w:rsid w:val="00EB2D33"/>
    <w:rsid w:val="00EB3654"/>
    <w:rsid w:val="00EB4EC9"/>
    <w:rsid w:val="00EB4F9A"/>
    <w:rsid w:val="00EB50AF"/>
    <w:rsid w:val="00EB55CB"/>
    <w:rsid w:val="00EB688C"/>
    <w:rsid w:val="00EB7601"/>
    <w:rsid w:val="00EB76D1"/>
    <w:rsid w:val="00EB79FD"/>
    <w:rsid w:val="00EC0AFD"/>
    <w:rsid w:val="00EC1624"/>
    <w:rsid w:val="00EC17B2"/>
    <w:rsid w:val="00EC1A93"/>
    <w:rsid w:val="00EC1B8B"/>
    <w:rsid w:val="00EC1D50"/>
    <w:rsid w:val="00EC1F77"/>
    <w:rsid w:val="00EC229E"/>
    <w:rsid w:val="00EC2332"/>
    <w:rsid w:val="00EC283A"/>
    <w:rsid w:val="00EC2FEB"/>
    <w:rsid w:val="00EC37BF"/>
    <w:rsid w:val="00EC3841"/>
    <w:rsid w:val="00EC3EBE"/>
    <w:rsid w:val="00EC4BC5"/>
    <w:rsid w:val="00EC4BC8"/>
    <w:rsid w:val="00EC4CFF"/>
    <w:rsid w:val="00EC4FC5"/>
    <w:rsid w:val="00EC5C85"/>
    <w:rsid w:val="00EC5EC0"/>
    <w:rsid w:val="00EC6C5D"/>
    <w:rsid w:val="00EC6E90"/>
    <w:rsid w:val="00EC705E"/>
    <w:rsid w:val="00EC73FC"/>
    <w:rsid w:val="00EC77DB"/>
    <w:rsid w:val="00EC7AC3"/>
    <w:rsid w:val="00ED0A37"/>
    <w:rsid w:val="00ED1061"/>
    <w:rsid w:val="00ED126C"/>
    <w:rsid w:val="00ED1C6A"/>
    <w:rsid w:val="00ED2E19"/>
    <w:rsid w:val="00ED32BD"/>
    <w:rsid w:val="00ED35BD"/>
    <w:rsid w:val="00ED3948"/>
    <w:rsid w:val="00ED431B"/>
    <w:rsid w:val="00ED468A"/>
    <w:rsid w:val="00ED4D76"/>
    <w:rsid w:val="00ED585E"/>
    <w:rsid w:val="00ED58E2"/>
    <w:rsid w:val="00ED5D70"/>
    <w:rsid w:val="00ED6FD2"/>
    <w:rsid w:val="00ED73EC"/>
    <w:rsid w:val="00ED7514"/>
    <w:rsid w:val="00ED7DAF"/>
    <w:rsid w:val="00EE07B1"/>
    <w:rsid w:val="00EE11D5"/>
    <w:rsid w:val="00EE1E16"/>
    <w:rsid w:val="00EE251C"/>
    <w:rsid w:val="00EE2747"/>
    <w:rsid w:val="00EE2AB4"/>
    <w:rsid w:val="00EE3033"/>
    <w:rsid w:val="00EE3689"/>
    <w:rsid w:val="00EE36B8"/>
    <w:rsid w:val="00EE3CD8"/>
    <w:rsid w:val="00EE44CE"/>
    <w:rsid w:val="00EE481A"/>
    <w:rsid w:val="00EE5540"/>
    <w:rsid w:val="00EE5D5D"/>
    <w:rsid w:val="00EE5D73"/>
    <w:rsid w:val="00EE62AC"/>
    <w:rsid w:val="00EE64F7"/>
    <w:rsid w:val="00EE69C4"/>
    <w:rsid w:val="00EE69F4"/>
    <w:rsid w:val="00EE7F93"/>
    <w:rsid w:val="00EF045D"/>
    <w:rsid w:val="00EF0709"/>
    <w:rsid w:val="00EF0D7B"/>
    <w:rsid w:val="00EF0EFF"/>
    <w:rsid w:val="00EF1181"/>
    <w:rsid w:val="00EF2012"/>
    <w:rsid w:val="00EF21CC"/>
    <w:rsid w:val="00EF3BAD"/>
    <w:rsid w:val="00EF3EAA"/>
    <w:rsid w:val="00EF44DD"/>
    <w:rsid w:val="00EF46B8"/>
    <w:rsid w:val="00EF4B76"/>
    <w:rsid w:val="00EF4E48"/>
    <w:rsid w:val="00EF5066"/>
    <w:rsid w:val="00EF5BF4"/>
    <w:rsid w:val="00EF6258"/>
    <w:rsid w:val="00EF698D"/>
    <w:rsid w:val="00EF6C87"/>
    <w:rsid w:val="00EF72A2"/>
    <w:rsid w:val="00EF768E"/>
    <w:rsid w:val="00EF76F1"/>
    <w:rsid w:val="00EF7A84"/>
    <w:rsid w:val="00EF7AF8"/>
    <w:rsid w:val="00EF7CB6"/>
    <w:rsid w:val="00F00E67"/>
    <w:rsid w:val="00F00EF3"/>
    <w:rsid w:val="00F015A0"/>
    <w:rsid w:val="00F015CC"/>
    <w:rsid w:val="00F01B38"/>
    <w:rsid w:val="00F01BA5"/>
    <w:rsid w:val="00F01D35"/>
    <w:rsid w:val="00F023A9"/>
    <w:rsid w:val="00F028EE"/>
    <w:rsid w:val="00F0299D"/>
    <w:rsid w:val="00F02F43"/>
    <w:rsid w:val="00F031A6"/>
    <w:rsid w:val="00F03386"/>
    <w:rsid w:val="00F03468"/>
    <w:rsid w:val="00F0406E"/>
    <w:rsid w:val="00F04EB9"/>
    <w:rsid w:val="00F058E7"/>
    <w:rsid w:val="00F05F41"/>
    <w:rsid w:val="00F05FA4"/>
    <w:rsid w:val="00F06444"/>
    <w:rsid w:val="00F065A6"/>
    <w:rsid w:val="00F06E12"/>
    <w:rsid w:val="00F07492"/>
    <w:rsid w:val="00F07BB5"/>
    <w:rsid w:val="00F07C99"/>
    <w:rsid w:val="00F10E08"/>
    <w:rsid w:val="00F11219"/>
    <w:rsid w:val="00F1180A"/>
    <w:rsid w:val="00F11A4B"/>
    <w:rsid w:val="00F11F61"/>
    <w:rsid w:val="00F12328"/>
    <w:rsid w:val="00F1235A"/>
    <w:rsid w:val="00F1243D"/>
    <w:rsid w:val="00F12478"/>
    <w:rsid w:val="00F1260E"/>
    <w:rsid w:val="00F12782"/>
    <w:rsid w:val="00F13961"/>
    <w:rsid w:val="00F139E3"/>
    <w:rsid w:val="00F13C0B"/>
    <w:rsid w:val="00F1438B"/>
    <w:rsid w:val="00F143FB"/>
    <w:rsid w:val="00F145D2"/>
    <w:rsid w:val="00F1469F"/>
    <w:rsid w:val="00F1471A"/>
    <w:rsid w:val="00F148AC"/>
    <w:rsid w:val="00F159C4"/>
    <w:rsid w:val="00F1642B"/>
    <w:rsid w:val="00F16951"/>
    <w:rsid w:val="00F16975"/>
    <w:rsid w:val="00F17F16"/>
    <w:rsid w:val="00F17F22"/>
    <w:rsid w:val="00F204A0"/>
    <w:rsid w:val="00F205DA"/>
    <w:rsid w:val="00F207A2"/>
    <w:rsid w:val="00F2083E"/>
    <w:rsid w:val="00F226E1"/>
    <w:rsid w:val="00F22A66"/>
    <w:rsid w:val="00F22AD5"/>
    <w:rsid w:val="00F23237"/>
    <w:rsid w:val="00F2339A"/>
    <w:rsid w:val="00F23B3A"/>
    <w:rsid w:val="00F23D09"/>
    <w:rsid w:val="00F2406F"/>
    <w:rsid w:val="00F24444"/>
    <w:rsid w:val="00F24FA5"/>
    <w:rsid w:val="00F2532D"/>
    <w:rsid w:val="00F257A4"/>
    <w:rsid w:val="00F25BE7"/>
    <w:rsid w:val="00F25E00"/>
    <w:rsid w:val="00F263E9"/>
    <w:rsid w:val="00F278E6"/>
    <w:rsid w:val="00F27C35"/>
    <w:rsid w:val="00F27D08"/>
    <w:rsid w:val="00F3013D"/>
    <w:rsid w:val="00F3046A"/>
    <w:rsid w:val="00F31EFE"/>
    <w:rsid w:val="00F32624"/>
    <w:rsid w:val="00F328C3"/>
    <w:rsid w:val="00F33AA6"/>
    <w:rsid w:val="00F348A9"/>
    <w:rsid w:val="00F34CA7"/>
    <w:rsid w:val="00F34F79"/>
    <w:rsid w:val="00F35912"/>
    <w:rsid w:val="00F359D0"/>
    <w:rsid w:val="00F35C61"/>
    <w:rsid w:val="00F35CB3"/>
    <w:rsid w:val="00F361BD"/>
    <w:rsid w:val="00F36852"/>
    <w:rsid w:val="00F37229"/>
    <w:rsid w:val="00F37440"/>
    <w:rsid w:val="00F375CF"/>
    <w:rsid w:val="00F37B0D"/>
    <w:rsid w:val="00F37CD8"/>
    <w:rsid w:val="00F4030C"/>
    <w:rsid w:val="00F405AE"/>
    <w:rsid w:val="00F40B43"/>
    <w:rsid w:val="00F40BDE"/>
    <w:rsid w:val="00F40DC3"/>
    <w:rsid w:val="00F411EB"/>
    <w:rsid w:val="00F4176D"/>
    <w:rsid w:val="00F41795"/>
    <w:rsid w:val="00F41841"/>
    <w:rsid w:val="00F41D2C"/>
    <w:rsid w:val="00F41F75"/>
    <w:rsid w:val="00F426A7"/>
    <w:rsid w:val="00F42755"/>
    <w:rsid w:val="00F42ABA"/>
    <w:rsid w:val="00F42DF4"/>
    <w:rsid w:val="00F431F0"/>
    <w:rsid w:val="00F43DC8"/>
    <w:rsid w:val="00F44316"/>
    <w:rsid w:val="00F449D1"/>
    <w:rsid w:val="00F45047"/>
    <w:rsid w:val="00F45155"/>
    <w:rsid w:val="00F452F8"/>
    <w:rsid w:val="00F453B7"/>
    <w:rsid w:val="00F4573B"/>
    <w:rsid w:val="00F45C3B"/>
    <w:rsid w:val="00F45DAA"/>
    <w:rsid w:val="00F45E18"/>
    <w:rsid w:val="00F466F1"/>
    <w:rsid w:val="00F469AA"/>
    <w:rsid w:val="00F46BF8"/>
    <w:rsid w:val="00F4700E"/>
    <w:rsid w:val="00F47180"/>
    <w:rsid w:val="00F47861"/>
    <w:rsid w:val="00F47D81"/>
    <w:rsid w:val="00F47F44"/>
    <w:rsid w:val="00F50C08"/>
    <w:rsid w:val="00F50FBD"/>
    <w:rsid w:val="00F515AF"/>
    <w:rsid w:val="00F524C1"/>
    <w:rsid w:val="00F5296A"/>
    <w:rsid w:val="00F52C21"/>
    <w:rsid w:val="00F52F64"/>
    <w:rsid w:val="00F53402"/>
    <w:rsid w:val="00F53A94"/>
    <w:rsid w:val="00F548D6"/>
    <w:rsid w:val="00F55176"/>
    <w:rsid w:val="00F56510"/>
    <w:rsid w:val="00F56793"/>
    <w:rsid w:val="00F56A3F"/>
    <w:rsid w:val="00F570C9"/>
    <w:rsid w:val="00F57657"/>
    <w:rsid w:val="00F5772D"/>
    <w:rsid w:val="00F57995"/>
    <w:rsid w:val="00F579E4"/>
    <w:rsid w:val="00F57A86"/>
    <w:rsid w:val="00F6089B"/>
    <w:rsid w:val="00F60912"/>
    <w:rsid w:val="00F617E8"/>
    <w:rsid w:val="00F61A9D"/>
    <w:rsid w:val="00F61FF1"/>
    <w:rsid w:val="00F621DC"/>
    <w:rsid w:val="00F62643"/>
    <w:rsid w:val="00F62B98"/>
    <w:rsid w:val="00F62C96"/>
    <w:rsid w:val="00F6306A"/>
    <w:rsid w:val="00F63A31"/>
    <w:rsid w:val="00F63BA2"/>
    <w:rsid w:val="00F63FF1"/>
    <w:rsid w:val="00F64329"/>
    <w:rsid w:val="00F6482B"/>
    <w:rsid w:val="00F649D7"/>
    <w:rsid w:val="00F64B57"/>
    <w:rsid w:val="00F64D32"/>
    <w:rsid w:val="00F64FB4"/>
    <w:rsid w:val="00F663C6"/>
    <w:rsid w:val="00F66477"/>
    <w:rsid w:val="00F66479"/>
    <w:rsid w:val="00F66C21"/>
    <w:rsid w:val="00F6722D"/>
    <w:rsid w:val="00F67AAE"/>
    <w:rsid w:val="00F706B4"/>
    <w:rsid w:val="00F70C7F"/>
    <w:rsid w:val="00F712FB"/>
    <w:rsid w:val="00F718FC"/>
    <w:rsid w:val="00F71925"/>
    <w:rsid w:val="00F72047"/>
    <w:rsid w:val="00F72239"/>
    <w:rsid w:val="00F722BC"/>
    <w:rsid w:val="00F72C3E"/>
    <w:rsid w:val="00F72F13"/>
    <w:rsid w:val="00F7315E"/>
    <w:rsid w:val="00F731E1"/>
    <w:rsid w:val="00F73A6D"/>
    <w:rsid w:val="00F7419E"/>
    <w:rsid w:val="00F7433A"/>
    <w:rsid w:val="00F75A27"/>
    <w:rsid w:val="00F75BCD"/>
    <w:rsid w:val="00F76563"/>
    <w:rsid w:val="00F777E4"/>
    <w:rsid w:val="00F77989"/>
    <w:rsid w:val="00F77A9C"/>
    <w:rsid w:val="00F77DDB"/>
    <w:rsid w:val="00F77E5A"/>
    <w:rsid w:val="00F77E8F"/>
    <w:rsid w:val="00F80A72"/>
    <w:rsid w:val="00F826A9"/>
    <w:rsid w:val="00F82902"/>
    <w:rsid w:val="00F82B46"/>
    <w:rsid w:val="00F82D84"/>
    <w:rsid w:val="00F83262"/>
    <w:rsid w:val="00F83DB9"/>
    <w:rsid w:val="00F83EE7"/>
    <w:rsid w:val="00F8450E"/>
    <w:rsid w:val="00F84950"/>
    <w:rsid w:val="00F86257"/>
    <w:rsid w:val="00F8667A"/>
    <w:rsid w:val="00F8679F"/>
    <w:rsid w:val="00F868DF"/>
    <w:rsid w:val="00F87091"/>
    <w:rsid w:val="00F87C99"/>
    <w:rsid w:val="00F87EBB"/>
    <w:rsid w:val="00F9001D"/>
    <w:rsid w:val="00F90ED5"/>
    <w:rsid w:val="00F90EEB"/>
    <w:rsid w:val="00F912F3"/>
    <w:rsid w:val="00F913B9"/>
    <w:rsid w:val="00F91783"/>
    <w:rsid w:val="00F919BA"/>
    <w:rsid w:val="00F91F6D"/>
    <w:rsid w:val="00F92890"/>
    <w:rsid w:val="00F929D8"/>
    <w:rsid w:val="00F932AE"/>
    <w:rsid w:val="00F94143"/>
    <w:rsid w:val="00F944C5"/>
    <w:rsid w:val="00F946E0"/>
    <w:rsid w:val="00F94E49"/>
    <w:rsid w:val="00F9591E"/>
    <w:rsid w:val="00F9668C"/>
    <w:rsid w:val="00F9681A"/>
    <w:rsid w:val="00F97765"/>
    <w:rsid w:val="00F979E9"/>
    <w:rsid w:val="00FA02F1"/>
    <w:rsid w:val="00FA0325"/>
    <w:rsid w:val="00FA0AC9"/>
    <w:rsid w:val="00FA0D14"/>
    <w:rsid w:val="00FA14D8"/>
    <w:rsid w:val="00FA20C5"/>
    <w:rsid w:val="00FA230F"/>
    <w:rsid w:val="00FA231B"/>
    <w:rsid w:val="00FA2403"/>
    <w:rsid w:val="00FA2422"/>
    <w:rsid w:val="00FA2633"/>
    <w:rsid w:val="00FA3C1A"/>
    <w:rsid w:val="00FA5174"/>
    <w:rsid w:val="00FA5271"/>
    <w:rsid w:val="00FA5816"/>
    <w:rsid w:val="00FA5A1C"/>
    <w:rsid w:val="00FA6524"/>
    <w:rsid w:val="00FA67A2"/>
    <w:rsid w:val="00FA6A11"/>
    <w:rsid w:val="00FA76A5"/>
    <w:rsid w:val="00FA76ED"/>
    <w:rsid w:val="00FA7B09"/>
    <w:rsid w:val="00FA7C3B"/>
    <w:rsid w:val="00FB0581"/>
    <w:rsid w:val="00FB06EC"/>
    <w:rsid w:val="00FB07B9"/>
    <w:rsid w:val="00FB15A5"/>
    <w:rsid w:val="00FB17BA"/>
    <w:rsid w:val="00FB1D41"/>
    <w:rsid w:val="00FB250C"/>
    <w:rsid w:val="00FB270E"/>
    <w:rsid w:val="00FB2A67"/>
    <w:rsid w:val="00FB3038"/>
    <w:rsid w:val="00FB336B"/>
    <w:rsid w:val="00FB3A19"/>
    <w:rsid w:val="00FB50BC"/>
    <w:rsid w:val="00FB5204"/>
    <w:rsid w:val="00FB5730"/>
    <w:rsid w:val="00FB5B2B"/>
    <w:rsid w:val="00FB6287"/>
    <w:rsid w:val="00FB65B2"/>
    <w:rsid w:val="00FB67AC"/>
    <w:rsid w:val="00FB6D5D"/>
    <w:rsid w:val="00FC0111"/>
    <w:rsid w:val="00FC08D0"/>
    <w:rsid w:val="00FC0921"/>
    <w:rsid w:val="00FC15A2"/>
    <w:rsid w:val="00FC16FE"/>
    <w:rsid w:val="00FC184B"/>
    <w:rsid w:val="00FC2205"/>
    <w:rsid w:val="00FC2321"/>
    <w:rsid w:val="00FC2598"/>
    <w:rsid w:val="00FC2814"/>
    <w:rsid w:val="00FC2865"/>
    <w:rsid w:val="00FC2DC7"/>
    <w:rsid w:val="00FC32DC"/>
    <w:rsid w:val="00FC37C5"/>
    <w:rsid w:val="00FC3BCE"/>
    <w:rsid w:val="00FC42B5"/>
    <w:rsid w:val="00FC45CF"/>
    <w:rsid w:val="00FC4738"/>
    <w:rsid w:val="00FC4DBD"/>
    <w:rsid w:val="00FC5269"/>
    <w:rsid w:val="00FC5560"/>
    <w:rsid w:val="00FC5D2F"/>
    <w:rsid w:val="00FC5D74"/>
    <w:rsid w:val="00FC6A7D"/>
    <w:rsid w:val="00FC703C"/>
    <w:rsid w:val="00FC712D"/>
    <w:rsid w:val="00FC77BF"/>
    <w:rsid w:val="00FC7C1D"/>
    <w:rsid w:val="00FD06FA"/>
    <w:rsid w:val="00FD10A7"/>
    <w:rsid w:val="00FD15CC"/>
    <w:rsid w:val="00FD1954"/>
    <w:rsid w:val="00FD1E8E"/>
    <w:rsid w:val="00FD2CE5"/>
    <w:rsid w:val="00FD34DE"/>
    <w:rsid w:val="00FD3669"/>
    <w:rsid w:val="00FD3FA3"/>
    <w:rsid w:val="00FD4026"/>
    <w:rsid w:val="00FD4474"/>
    <w:rsid w:val="00FD44EF"/>
    <w:rsid w:val="00FD4BB9"/>
    <w:rsid w:val="00FD534A"/>
    <w:rsid w:val="00FD55B5"/>
    <w:rsid w:val="00FD56AB"/>
    <w:rsid w:val="00FD5B21"/>
    <w:rsid w:val="00FD5C69"/>
    <w:rsid w:val="00FD5E1B"/>
    <w:rsid w:val="00FD67FD"/>
    <w:rsid w:val="00FD6C59"/>
    <w:rsid w:val="00FD7238"/>
    <w:rsid w:val="00FD72C9"/>
    <w:rsid w:val="00FD7FC8"/>
    <w:rsid w:val="00FE04E8"/>
    <w:rsid w:val="00FE159B"/>
    <w:rsid w:val="00FE19B1"/>
    <w:rsid w:val="00FE2BF7"/>
    <w:rsid w:val="00FE3094"/>
    <w:rsid w:val="00FE3249"/>
    <w:rsid w:val="00FE3A6F"/>
    <w:rsid w:val="00FE3CC8"/>
    <w:rsid w:val="00FE50F7"/>
    <w:rsid w:val="00FE5122"/>
    <w:rsid w:val="00FE5139"/>
    <w:rsid w:val="00FE557C"/>
    <w:rsid w:val="00FE5627"/>
    <w:rsid w:val="00FE56FD"/>
    <w:rsid w:val="00FE5D6A"/>
    <w:rsid w:val="00FE628C"/>
    <w:rsid w:val="00FE6438"/>
    <w:rsid w:val="00FE666F"/>
    <w:rsid w:val="00FE6F09"/>
    <w:rsid w:val="00FE7768"/>
    <w:rsid w:val="00FE7867"/>
    <w:rsid w:val="00FE7BAB"/>
    <w:rsid w:val="00FF0294"/>
    <w:rsid w:val="00FF06D1"/>
    <w:rsid w:val="00FF06D5"/>
    <w:rsid w:val="00FF06E9"/>
    <w:rsid w:val="00FF070A"/>
    <w:rsid w:val="00FF0FA1"/>
    <w:rsid w:val="00FF14EC"/>
    <w:rsid w:val="00FF18DA"/>
    <w:rsid w:val="00FF1A0E"/>
    <w:rsid w:val="00FF1AF0"/>
    <w:rsid w:val="00FF2099"/>
    <w:rsid w:val="00FF28D7"/>
    <w:rsid w:val="00FF294A"/>
    <w:rsid w:val="00FF2ADE"/>
    <w:rsid w:val="00FF3006"/>
    <w:rsid w:val="00FF36D1"/>
    <w:rsid w:val="00FF3831"/>
    <w:rsid w:val="00FF3EF1"/>
    <w:rsid w:val="00FF45BB"/>
    <w:rsid w:val="00FF53D1"/>
    <w:rsid w:val="00FF59FB"/>
    <w:rsid w:val="00FF689C"/>
    <w:rsid w:val="00FF7163"/>
    <w:rsid w:val="00FF7C53"/>
    <w:rsid w:val="00FF7E44"/>
    <w:rsid w:val="10424198"/>
    <w:rsid w:val="38705823"/>
    <w:rsid w:val="4041331F"/>
    <w:rsid w:val="5AE65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4,5"/>
      <o:rules v:ext="edit">
        <o:r id="V:Rule1" type="connector" idref="#_x0000_s545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qFormat="1" w:unhideWhenUsed="0" w:uiPriority="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1"/>
    <w:qFormat/>
    <w:uiPriority w:val="0"/>
    <w:pPr>
      <w:keepNext/>
      <w:keepLines/>
      <w:spacing w:before="10" w:after="10" w:line="360" w:lineRule="auto"/>
      <w:jc w:val="left"/>
      <w:outlineLvl w:val="1"/>
    </w:pPr>
    <w:rPr>
      <w:rFonts w:ascii="Arial" w:hAnsi="Arial" w:eastAsia="黑体"/>
      <w:b/>
      <w:bCs/>
      <w:sz w:val="28"/>
      <w:szCs w:val="32"/>
    </w:rPr>
  </w:style>
  <w:style w:type="paragraph" w:styleId="4">
    <w:name w:val="heading 3"/>
    <w:basedOn w:val="1"/>
    <w:next w:val="1"/>
    <w:qFormat/>
    <w:uiPriority w:val="0"/>
    <w:pPr>
      <w:keepNext/>
      <w:keepLines/>
      <w:spacing w:before="260" w:after="260" w:line="416" w:lineRule="auto"/>
      <w:jc w:val="center"/>
      <w:outlineLvl w:val="2"/>
    </w:pPr>
    <w:rPr>
      <w:rFonts w:eastAsia="黑体"/>
      <w:b/>
      <w:bCs/>
      <w:sz w:val="36"/>
      <w:szCs w:val="32"/>
    </w:rPr>
  </w:style>
  <w:style w:type="paragraph" w:styleId="5">
    <w:name w:val="heading 4"/>
    <w:basedOn w:val="1"/>
    <w:next w:val="1"/>
    <w:qFormat/>
    <w:uiPriority w:val="0"/>
    <w:pPr>
      <w:keepNext/>
      <w:keepLines/>
      <w:spacing w:line="360" w:lineRule="auto"/>
      <w:outlineLvl w:val="3"/>
    </w:pPr>
    <w:rPr>
      <w:rFonts w:ascii="Arial" w:hAnsi="Arial" w:eastAsia="仿宋"/>
      <w:b/>
      <w:bCs/>
      <w:sz w:val="24"/>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148"/>
    <w:qFormat/>
    <w:uiPriority w:val="0"/>
    <w:pPr>
      <w:keepNext/>
      <w:keepLines/>
      <w:tabs>
        <w:tab w:val="left" w:pos="1296"/>
      </w:tabs>
      <w:spacing w:before="240" w:after="64" w:line="320" w:lineRule="auto"/>
      <w:ind w:left="1296" w:hanging="1296"/>
      <w:outlineLvl w:val="6"/>
    </w:pPr>
    <w:rPr>
      <w:rFonts w:ascii="Courier New" w:hAnsi="Courier New" w:eastAsia="仿宋_GB2312" w:cs="Courier New"/>
      <w:b/>
      <w:bCs/>
      <w:sz w:val="24"/>
    </w:rPr>
  </w:style>
  <w:style w:type="paragraph" w:styleId="9">
    <w:name w:val="heading 8"/>
    <w:basedOn w:val="1"/>
    <w:next w:val="1"/>
    <w:link w:val="149"/>
    <w:qFormat/>
    <w:uiPriority w:val="0"/>
    <w:pPr>
      <w:keepNext/>
      <w:keepLines/>
      <w:tabs>
        <w:tab w:val="left" w:pos="1440"/>
      </w:tabs>
      <w:spacing w:before="240" w:after="64" w:line="320" w:lineRule="auto"/>
      <w:ind w:left="1440" w:hanging="1440"/>
      <w:outlineLvl w:val="7"/>
    </w:pPr>
    <w:rPr>
      <w:rFonts w:ascii="@仿宋_GB2312" w:hAnsi="@仿宋_GB2312" w:eastAsia="Wingdings" w:cs="Courier New"/>
      <w:sz w:val="24"/>
    </w:rPr>
  </w:style>
  <w:style w:type="paragraph" w:styleId="10">
    <w:name w:val="heading 9"/>
    <w:basedOn w:val="1"/>
    <w:next w:val="1"/>
    <w:link w:val="72"/>
    <w:qFormat/>
    <w:uiPriority w:val="0"/>
    <w:pPr>
      <w:keepNext/>
      <w:keepLines/>
      <w:spacing w:line="319" w:lineRule="auto"/>
      <w:outlineLvl w:val="8"/>
    </w:pPr>
    <w:rPr>
      <w:rFonts w:ascii="Arial" w:hAnsi="Arial" w:eastAsia="楷体"/>
      <w:b/>
      <w:sz w:val="24"/>
      <w:szCs w:val="21"/>
    </w:rPr>
  </w:style>
  <w:style w:type="character" w:default="1" w:styleId="48">
    <w:name w:val="Default Paragraph Font"/>
    <w:unhideWhenUsed/>
    <w:qFormat/>
    <w:uiPriority w:val="1"/>
  </w:style>
  <w:style w:type="table" w:default="1" w:styleId="54">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117"/>
    <w:qFormat/>
    <w:uiPriority w:val="0"/>
    <w:rPr>
      <w:b/>
      <w:bCs/>
    </w:rPr>
  </w:style>
  <w:style w:type="paragraph" w:styleId="12">
    <w:name w:val="annotation text"/>
    <w:basedOn w:val="1"/>
    <w:link w:val="116"/>
    <w:qFormat/>
    <w:uiPriority w:val="0"/>
    <w:pPr>
      <w:jc w:val="left"/>
    </w:pPr>
  </w:style>
  <w:style w:type="paragraph" w:styleId="13">
    <w:name w:val="toc 7"/>
    <w:basedOn w:val="1"/>
    <w:next w:val="1"/>
    <w:qFormat/>
    <w:uiPriority w:val="39"/>
    <w:pPr>
      <w:ind w:left="1260"/>
      <w:jc w:val="left"/>
    </w:pPr>
    <w:rPr>
      <w:rFonts w:asciiTheme="minorHAnsi" w:hAnsiTheme="minorHAnsi" w:cstheme="minorHAnsi"/>
      <w:sz w:val="18"/>
      <w:szCs w:val="18"/>
    </w:rPr>
  </w:style>
  <w:style w:type="paragraph" w:styleId="14">
    <w:name w:val="index 8"/>
    <w:basedOn w:val="1"/>
    <w:next w:val="1"/>
    <w:semiHidden/>
    <w:qFormat/>
    <w:uiPriority w:val="0"/>
    <w:pPr>
      <w:ind w:left="1680" w:hanging="210"/>
      <w:jc w:val="left"/>
    </w:pPr>
    <w:rPr>
      <w:sz w:val="20"/>
      <w:szCs w:val="20"/>
    </w:rPr>
  </w:style>
  <w:style w:type="paragraph" w:styleId="15">
    <w:name w:val="Normal Indent"/>
    <w:basedOn w:val="1"/>
    <w:link w:val="75"/>
    <w:qFormat/>
    <w:uiPriority w:val="0"/>
    <w:rPr>
      <w:sz w:val="28"/>
      <w:szCs w:val="20"/>
    </w:rPr>
  </w:style>
  <w:style w:type="paragraph" w:styleId="16">
    <w:name w:val="index 5"/>
    <w:basedOn w:val="1"/>
    <w:next w:val="1"/>
    <w:semiHidden/>
    <w:qFormat/>
    <w:uiPriority w:val="0"/>
    <w:pPr>
      <w:ind w:left="1050" w:hanging="210"/>
      <w:jc w:val="left"/>
    </w:pPr>
    <w:rPr>
      <w:sz w:val="20"/>
      <w:szCs w:val="20"/>
    </w:rPr>
  </w:style>
  <w:style w:type="paragraph" w:styleId="17">
    <w:name w:val="Document Map"/>
    <w:basedOn w:val="1"/>
    <w:semiHidden/>
    <w:qFormat/>
    <w:uiPriority w:val="0"/>
    <w:pPr>
      <w:shd w:val="clear" w:color="auto" w:fill="000080"/>
    </w:pPr>
  </w:style>
  <w:style w:type="paragraph" w:styleId="18">
    <w:name w:val="toa heading"/>
    <w:basedOn w:val="1"/>
    <w:next w:val="1"/>
    <w:qFormat/>
    <w:uiPriority w:val="0"/>
    <w:pPr>
      <w:spacing w:before="120"/>
    </w:pPr>
    <w:rPr>
      <w:rFonts w:ascii="Arial" w:hAnsi="Arial"/>
      <w:sz w:val="24"/>
      <w:szCs w:val="20"/>
    </w:rPr>
  </w:style>
  <w:style w:type="paragraph" w:styleId="19">
    <w:name w:val="index 6"/>
    <w:basedOn w:val="1"/>
    <w:next w:val="1"/>
    <w:semiHidden/>
    <w:qFormat/>
    <w:uiPriority w:val="0"/>
    <w:pPr>
      <w:ind w:left="1260" w:hanging="210"/>
      <w:jc w:val="left"/>
    </w:pPr>
    <w:rPr>
      <w:sz w:val="20"/>
      <w:szCs w:val="20"/>
    </w:rPr>
  </w:style>
  <w:style w:type="paragraph" w:styleId="20">
    <w:name w:val="Body Text"/>
    <w:basedOn w:val="1"/>
    <w:link w:val="118"/>
    <w:qFormat/>
    <w:uiPriority w:val="0"/>
    <w:pPr>
      <w:spacing w:after="120"/>
    </w:pPr>
  </w:style>
  <w:style w:type="paragraph" w:styleId="21">
    <w:name w:val="Body Text Indent"/>
    <w:basedOn w:val="1"/>
    <w:qFormat/>
    <w:uiPriority w:val="0"/>
    <w:pPr>
      <w:spacing w:after="120"/>
      <w:ind w:left="420" w:leftChars="200"/>
    </w:pPr>
  </w:style>
  <w:style w:type="paragraph" w:styleId="22">
    <w:name w:val="Block Text"/>
    <w:basedOn w:val="1"/>
    <w:qFormat/>
    <w:uiPriority w:val="0"/>
    <w:pPr>
      <w:snapToGrid w:val="0"/>
      <w:spacing w:line="408" w:lineRule="auto"/>
      <w:ind w:left="-113" w:right="-510" w:firstLine="510"/>
    </w:pPr>
    <w:rPr>
      <w:sz w:val="24"/>
      <w:szCs w:val="20"/>
    </w:rPr>
  </w:style>
  <w:style w:type="paragraph" w:styleId="23">
    <w:name w:val="index 4"/>
    <w:basedOn w:val="1"/>
    <w:next w:val="1"/>
    <w:semiHidden/>
    <w:qFormat/>
    <w:uiPriority w:val="0"/>
    <w:pPr>
      <w:ind w:left="840" w:hanging="210"/>
      <w:jc w:val="left"/>
    </w:pPr>
    <w:rPr>
      <w:sz w:val="20"/>
      <w:szCs w:val="20"/>
    </w:rPr>
  </w:style>
  <w:style w:type="paragraph" w:styleId="24">
    <w:name w:val="toc 5"/>
    <w:basedOn w:val="1"/>
    <w:next w:val="1"/>
    <w:qFormat/>
    <w:uiPriority w:val="39"/>
    <w:pPr>
      <w:ind w:left="840"/>
      <w:jc w:val="left"/>
    </w:pPr>
    <w:rPr>
      <w:rFonts w:asciiTheme="minorHAnsi" w:hAnsiTheme="minorHAnsi" w:cstheme="minorHAnsi"/>
      <w:sz w:val="18"/>
      <w:szCs w:val="18"/>
    </w:rPr>
  </w:style>
  <w:style w:type="paragraph" w:styleId="25">
    <w:name w:val="toc 3"/>
    <w:basedOn w:val="1"/>
    <w:next w:val="1"/>
    <w:qFormat/>
    <w:uiPriority w:val="39"/>
    <w:pPr>
      <w:ind w:left="420"/>
      <w:jc w:val="left"/>
    </w:pPr>
    <w:rPr>
      <w:rFonts w:asciiTheme="minorHAnsi" w:hAnsiTheme="minorHAnsi" w:cstheme="minorHAnsi"/>
      <w:i/>
      <w:iCs/>
      <w:sz w:val="20"/>
      <w:szCs w:val="20"/>
    </w:rPr>
  </w:style>
  <w:style w:type="paragraph" w:styleId="26">
    <w:name w:val="Plain Text"/>
    <w:basedOn w:val="1"/>
    <w:link w:val="66"/>
    <w:qFormat/>
    <w:uiPriority w:val="0"/>
    <w:rPr>
      <w:rFonts w:ascii="宋体" w:hAnsi="Courier New"/>
      <w:szCs w:val="20"/>
    </w:rPr>
  </w:style>
  <w:style w:type="paragraph" w:styleId="27">
    <w:name w:val="toc 8"/>
    <w:basedOn w:val="1"/>
    <w:next w:val="1"/>
    <w:qFormat/>
    <w:uiPriority w:val="39"/>
    <w:pPr>
      <w:ind w:left="1470"/>
      <w:jc w:val="left"/>
    </w:pPr>
    <w:rPr>
      <w:rFonts w:asciiTheme="minorHAnsi" w:hAnsiTheme="minorHAnsi" w:cstheme="minorHAnsi"/>
      <w:sz w:val="18"/>
      <w:szCs w:val="18"/>
    </w:rPr>
  </w:style>
  <w:style w:type="paragraph" w:styleId="28">
    <w:name w:val="index 3"/>
    <w:basedOn w:val="1"/>
    <w:next w:val="1"/>
    <w:semiHidden/>
    <w:qFormat/>
    <w:uiPriority w:val="0"/>
    <w:pPr>
      <w:ind w:left="630" w:hanging="210"/>
      <w:jc w:val="left"/>
    </w:pPr>
    <w:rPr>
      <w:sz w:val="20"/>
      <w:szCs w:val="20"/>
    </w:rPr>
  </w:style>
  <w:style w:type="paragraph" w:styleId="29">
    <w:name w:val="Date"/>
    <w:basedOn w:val="1"/>
    <w:next w:val="1"/>
    <w:qFormat/>
    <w:uiPriority w:val="0"/>
    <w:pPr>
      <w:ind w:left="100" w:leftChars="2500"/>
    </w:pPr>
    <w:rPr>
      <w:sz w:val="28"/>
    </w:rPr>
  </w:style>
  <w:style w:type="paragraph" w:styleId="30">
    <w:name w:val="Body Text Indent 2"/>
    <w:basedOn w:val="1"/>
    <w:qFormat/>
    <w:uiPriority w:val="0"/>
    <w:pPr>
      <w:spacing w:after="120" w:line="480" w:lineRule="auto"/>
      <w:ind w:left="420" w:leftChars="200"/>
    </w:pPr>
  </w:style>
  <w:style w:type="paragraph" w:styleId="31">
    <w:name w:val="Balloon Text"/>
    <w:basedOn w:val="1"/>
    <w:semiHidden/>
    <w:qFormat/>
    <w:uiPriority w:val="0"/>
    <w:rPr>
      <w:sz w:val="18"/>
      <w:szCs w:val="18"/>
    </w:rPr>
  </w:style>
  <w:style w:type="paragraph" w:styleId="32">
    <w:name w:val="footer"/>
    <w:basedOn w:val="1"/>
    <w:link w:val="80"/>
    <w:qFormat/>
    <w:uiPriority w:val="0"/>
    <w:pPr>
      <w:tabs>
        <w:tab w:val="center" w:pos="4153"/>
        <w:tab w:val="right" w:pos="8306"/>
      </w:tabs>
      <w:snapToGrid w:val="0"/>
      <w:jc w:val="left"/>
    </w:pPr>
    <w:rPr>
      <w:sz w:val="18"/>
      <w:szCs w:val="18"/>
    </w:rPr>
  </w:style>
  <w:style w:type="paragraph" w:styleId="33">
    <w:name w:val="header"/>
    <w:basedOn w:val="1"/>
    <w:link w:val="81"/>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5">
    <w:name w:val="toc 4"/>
    <w:basedOn w:val="1"/>
    <w:next w:val="1"/>
    <w:qFormat/>
    <w:uiPriority w:val="39"/>
    <w:pPr>
      <w:ind w:left="630"/>
      <w:jc w:val="left"/>
    </w:pPr>
    <w:rPr>
      <w:rFonts w:asciiTheme="minorHAnsi" w:hAnsiTheme="minorHAnsi" w:cstheme="minorHAnsi"/>
      <w:sz w:val="18"/>
      <w:szCs w:val="18"/>
    </w:rPr>
  </w:style>
  <w:style w:type="paragraph" w:styleId="36">
    <w:name w:val="index heading"/>
    <w:basedOn w:val="1"/>
    <w:next w:val="37"/>
    <w:semiHidden/>
    <w:qFormat/>
    <w:uiPriority w:val="0"/>
    <w:pPr>
      <w:spacing w:before="120" w:after="120"/>
      <w:jc w:val="left"/>
    </w:pPr>
    <w:rPr>
      <w:b/>
      <w:bCs/>
      <w:i/>
      <w:iCs/>
      <w:sz w:val="20"/>
      <w:szCs w:val="20"/>
    </w:rPr>
  </w:style>
  <w:style w:type="paragraph" w:styleId="37">
    <w:name w:val="index 1"/>
    <w:basedOn w:val="1"/>
    <w:next w:val="1"/>
    <w:semiHidden/>
    <w:qFormat/>
    <w:uiPriority w:val="0"/>
    <w:pPr>
      <w:ind w:left="210" w:hanging="210"/>
      <w:jc w:val="left"/>
    </w:pPr>
    <w:rPr>
      <w:sz w:val="20"/>
      <w:szCs w:val="20"/>
    </w:rPr>
  </w:style>
  <w:style w:type="paragraph" w:styleId="38">
    <w:name w:val="toc 6"/>
    <w:basedOn w:val="1"/>
    <w:next w:val="1"/>
    <w:qFormat/>
    <w:uiPriority w:val="39"/>
    <w:pPr>
      <w:ind w:left="1050"/>
      <w:jc w:val="left"/>
    </w:pPr>
    <w:rPr>
      <w:rFonts w:asciiTheme="minorHAnsi" w:hAnsiTheme="minorHAnsi" w:cstheme="minorHAnsi"/>
      <w:sz w:val="18"/>
      <w:szCs w:val="18"/>
    </w:rPr>
  </w:style>
  <w:style w:type="paragraph" w:styleId="39">
    <w:name w:val="Body Text Indent 3"/>
    <w:basedOn w:val="1"/>
    <w:qFormat/>
    <w:uiPriority w:val="0"/>
    <w:pPr>
      <w:spacing w:line="440" w:lineRule="exact"/>
      <w:ind w:firstLine="567"/>
    </w:pPr>
    <w:rPr>
      <w:sz w:val="28"/>
      <w:szCs w:val="28"/>
    </w:rPr>
  </w:style>
  <w:style w:type="paragraph" w:styleId="40">
    <w:name w:val="index 7"/>
    <w:basedOn w:val="1"/>
    <w:next w:val="1"/>
    <w:semiHidden/>
    <w:qFormat/>
    <w:uiPriority w:val="0"/>
    <w:pPr>
      <w:ind w:left="1470" w:hanging="210"/>
      <w:jc w:val="left"/>
    </w:pPr>
    <w:rPr>
      <w:sz w:val="20"/>
      <w:szCs w:val="20"/>
    </w:rPr>
  </w:style>
  <w:style w:type="paragraph" w:styleId="41">
    <w:name w:val="index 9"/>
    <w:basedOn w:val="1"/>
    <w:next w:val="1"/>
    <w:semiHidden/>
    <w:qFormat/>
    <w:uiPriority w:val="0"/>
    <w:pPr>
      <w:ind w:left="1890" w:hanging="210"/>
      <w:jc w:val="left"/>
    </w:pPr>
    <w:rPr>
      <w:sz w:val="20"/>
      <w:szCs w:val="20"/>
    </w:rPr>
  </w:style>
  <w:style w:type="paragraph" w:styleId="42">
    <w:name w:val="table of figures"/>
    <w:basedOn w:val="1"/>
    <w:next w:val="1"/>
    <w:qFormat/>
    <w:uiPriority w:val="0"/>
    <w:pPr>
      <w:ind w:left="200" w:leftChars="200" w:hanging="200" w:hangingChars="200"/>
    </w:pPr>
  </w:style>
  <w:style w:type="paragraph" w:styleId="43">
    <w:name w:val="toc 2"/>
    <w:basedOn w:val="1"/>
    <w:next w:val="1"/>
    <w:qFormat/>
    <w:uiPriority w:val="39"/>
    <w:pPr>
      <w:ind w:left="210"/>
      <w:jc w:val="left"/>
    </w:pPr>
    <w:rPr>
      <w:rFonts w:asciiTheme="minorHAnsi" w:hAnsiTheme="minorHAnsi" w:cstheme="minorHAnsi"/>
      <w:smallCaps/>
      <w:sz w:val="20"/>
      <w:szCs w:val="20"/>
    </w:rPr>
  </w:style>
  <w:style w:type="paragraph" w:styleId="44">
    <w:name w:val="toc 9"/>
    <w:basedOn w:val="1"/>
    <w:next w:val="1"/>
    <w:qFormat/>
    <w:uiPriority w:val="39"/>
    <w:pPr>
      <w:ind w:left="1680"/>
      <w:jc w:val="left"/>
    </w:pPr>
    <w:rPr>
      <w:rFonts w:asciiTheme="minorHAnsi" w:hAnsiTheme="minorHAnsi" w:cstheme="minorHAnsi"/>
      <w:sz w:val="18"/>
      <w:szCs w:val="18"/>
    </w:rPr>
  </w:style>
  <w:style w:type="paragraph" w:styleId="45">
    <w:name w:val="Body Text 2"/>
    <w:basedOn w:val="1"/>
    <w:link w:val="110"/>
    <w:qFormat/>
    <w:uiPriority w:val="0"/>
    <w:pPr>
      <w:spacing w:after="120" w:line="480" w:lineRule="auto"/>
    </w:pPr>
  </w:style>
  <w:style w:type="paragraph" w:styleId="4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7">
    <w:name w:val="index 2"/>
    <w:basedOn w:val="1"/>
    <w:next w:val="1"/>
    <w:semiHidden/>
    <w:qFormat/>
    <w:uiPriority w:val="0"/>
    <w:pPr>
      <w:ind w:left="420" w:hanging="210"/>
      <w:jc w:val="left"/>
    </w:pPr>
    <w:rPr>
      <w:sz w:val="20"/>
      <w:szCs w:val="20"/>
    </w:rPr>
  </w:style>
  <w:style w:type="character" w:styleId="49">
    <w:name w:val="Strong"/>
    <w:basedOn w:val="48"/>
    <w:qFormat/>
    <w:uiPriority w:val="0"/>
    <w:rPr>
      <w:rFonts w:ascii="Times New Roman" w:eastAsia="宋体"/>
      <w:b/>
      <w:color w:val="000000"/>
      <w:spacing w:val="0"/>
      <w:w w:val="100"/>
      <w:sz w:val="21"/>
      <w:u w:val="none" w:color="000000"/>
      <w:vertAlign w:val="baseline"/>
      <w:lang w:val="en-US" w:eastAsia="zh-CN"/>
    </w:rPr>
  </w:style>
  <w:style w:type="character" w:styleId="50">
    <w:name w:val="page number"/>
    <w:basedOn w:val="48"/>
    <w:qFormat/>
    <w:uiPriority w:val="0"/>
  </w:style>
  <w:style w:type="character" w:styleId="51">
    <w:name w:val="Emphasis"/>
    <w:basedOn w:val="48"/>
    <w:qFormat/>
    <w:uiPriority w:val="0"/>
    <w:rPr>
      <w:color w:val="CC0000"/>
    </w:rPr>
  </w:style>
  <w:style w:type="character" w:styleId="52">
    <w:name w:val="Hyperlink"/>
    <w:basedOn w:val="48"/>
    <w:qFormat/>
    <w:uiPriority w:val="99"/>
    <w:rPr>
      <w:color w:val="0000FF"/>
      <w:u w:val="single"/>
    </w:rPr>
  </w:style>
  <w:style w:type="character" w:styleId="53">
    <w:name w:val="annotation reference"/>
    <w:basedOn w:val="48"/>
    <w:qFormat/>
    <w:uiPriority w:val="0"/>
    <w:rPr>
      <w:sz w:val="21"/>
      <w:szCs w:val="21"/>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6">
    <w:name w:val="Table Grid 5"/>
    <w:basedOn w:val="5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character" w:customStyle="1" w:styleId="57">
    <w:name w:val="neiwen"/>
    <w:basedOn w:val="48"/>
    <w:uiPriority w:val="0"/>
  </w:style>
  <w:style w:type="paragraph" w:customStyle="1" w:styleId="58">
    <w:name w:val="Char Char Char Char1 Char Char"/>
    <w:basedOn w:val="1"/>
    <w:uiPriority w:val="0"/>
  </w:style>
  <w:style w:type="paragraph" w:customStyle="1" w:styleId="59">
    <w:name w:val="Char3"/>
    <w:basedOn w:val="1"/>
    <w:uiPriority w:val="0"/>
  </w:style>
  <w:style w:type="paragraph" w:customStyle="1" w:styleId="60">
    <w:name w:val="style7"/>
    <w:basedOn w:val="1"/>
    <w:uiPriority w:val="0"/>
    <w:pPr>
      <w:widowControl/>
      <w:spacing w:before="100" w:beforeAutospacing="1" w:after="100" w:afterAutospacing="1" w:line="480" w:lineRule="auto"/>
      <w:ind w:firstLine="450"/>
      <w:jc w:val="left"/>
    </w:pPr>
    <w:rPr>
      <w:rFonts w:ascii="宋体" w:hAnsi="宋体" w:cs="宋体"/>
      <w:kern w:val="0"/>
      <w:szCs w:val="21"/>
    </w:rPr>
  </w:style>
  <w:style w:type="paragraph" w:customStyle="1" w:styleId="61">
    <w:name w:val="az"/>
    <w:basedOn w:val="1"/>
    <w:uiPriority w:val="0"/>
    <w:pPr>
      <w:ind w:firstLine="200" w:firstLineChars="200"/>
      <w:outlineLvl w:val="2"/>
    </w:pPr>
    <w:rPr>
      <w:sz w:val="24"/>
    </w:rPr>
  </w:style>
  <w:style w:type="paragraph" w:customStyle="1" w:styleId="62">
    <w:name w:val="样式1"/>
    <w:basedOn w:val="1"/>
    <w:qFormat/>
    <w:uiPriority w:val="0"/>
    <w:pPr>
      <w:adjustRightInd w:val="0"/>
      <w:spacing w:line="480" w:lineRule="atLeast"/>
      <w:ind w:firstLine="539"/>
    </w:pPr>
    <w:rPr>
      <w:rFonts w:eastAsia="仿宋_GB2312"/>
      <w:sz w:val="28"/>
    </w:rPr>
  </w:style>
  <w:style w:type="paragraph" w:customStyle="1" w:styleId="63">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64">
    <w:name w:val="简单回函地址"/>
    <w:basedOn w:val="1"/>
    <w:qFormat/>
    <w:uiPriority w:val="0"/>
    <w:rPr>
      <w:sz w:val="28"/>
      <w:szCs w:val="20"/>
    </w:rPr>
  </w:style>
  <w:style w:type="paragraph" w:customStyle="1" w:styleId="65">
    <w:name w:val="xl22"/>
    <w:basedOn w:val="1"/>
    <w:uiPriority w:val="0"/>
    <w:pPr>
      <w:widowControl/>
      <w:spacing w:before="100" w:beforeAutospacing="1" w:after="100" w:afterAutospacing="1"/>
      <w:jc w:val="center"/>
    </w:pPr>
    <w:rPr>
      <w:rFonts w:ascii="宋体" w:hAnsi="宋体"/>
      <w:kern w:val="0"/>
      <w:sz w:val="24"/>
    </w:rPr>
  </w:style>
  <w:style w:type="character" w:customStyle="1" w:styleId="66">
    <w:name w:val="纯文本 Char"/>
    <w:basedOn w:val="48"/>
    <w:link w:val="26"/>
    <w:qFormat/>
    <w:uiPriority w:val="0"/>
    <w:rPr>
      <w:rFonts w:ascii="宋体" w:hAnsi="Courier New" w:eastAsia="宋体"/>
      <w:kern w:val="2"/>
      <w:sz w:val="21"/>
      <w:lang w:val="en-US" w:eastAsia="zh-CN" w:bidi="ar-SA"/>
    </w:rPr>
  </w:style>
  <w:style w:type="paragraph" w:customStyle="1" w:styleId="67">
    <w:name w:val="Char Char Char Char Char Char Char"/>
    <w:basedOn w:val="1"/>
    <w:uiPriority w:val="0"/>
    <w:pPr>
      <w:spacing w:line="360" w:lineRule="auto"/>
      <w:ind w:firstLine="200" w:firstLineChars="200"/>
    </w:pPr>
    <w:rPr>
      <w:szCs w:val="20"/>
    </w:rPr>
  </w:style>
  <w:style w:type="paragraph" w:customStyle="1" w:styleId="68">
    <w:name w:val="1正文段落"/>
    <w:basedOn w:val="1"/>
    <w:link w:val="69"/>
    <w:qFormat/>
    <w:uiPriority w:val="0"/>
    <w:pPr>
      <w:spacing w:line="520" w:lineRule="exact"/>
      <w:ind w:firstLine="200" w:firstLineChars="200"/>
      <w:jc w:val="left"/>
    </w:pPr>
    <w:rPr>
      <w:snapToGrid w:val="0"/>
      <w:kern w:val="0"/>
      <w:sz w:val="28"/>
      <w:szCs w:val="20"/>
    </w:rPr>
  </w:style>
  <w:style w:type="character" w:customStyle="1" w:styleId="69">
    <w:name w:val="1正文段落 Char"/>
    <w:basedOn w:val="48"/>
    <w:link w:val="68"/>
    <w:qFormat/>
    <w:uiPriority w:val="0"/>
    <w:rPr>
      <w:rFonts w:eastAsia="宋体"/>
      <w:snapToGrid w:val="0"/>
      <w:sz w:val="28"/>
      <w:lang w:val="en-US" w:eastAsia="zh-CN" w:bidi="ar-SA"/>
    </w:rPr>
  </w:style>
  <w:style w:type="paragraph" w:customStyle="1" w:styleId="70">
    <w:name w:val="表格文字"/>
    <w:basedOn w:val="20"/>
    <w:qFormat/>
    <w:uiPriority w:val="0"/>
    <w:pPr>
      <w:tabs>
        <w:tab w:val="left" w:pos="972"/>
      </w:tabs>
      <w:spacing w:after="0" w:line="240" w:lineRule="atLeast"/>
      <w:jc w:val="center"/>
    </w:pPr>
    <w:rPr>
      <w:snapToGrid w:val="0"/>
      <w:color w:val="000000"/>
      <w:kern w:val="0"/>
      <w:szCs w:val="20"/>
    </w:rPr>
  </w:style>
  <w:style w:type="character" w:customStyle="1" w:styleId="71">
    <w:name w:val="标题 2 Char1"/>
    <w:basedOn w:val="48"/>
    <w:link w:val="3"/>
    <w:qFormat/>
    <w:uiPriority w:val="0"/>
    <w:rPr>
      <w:rFonts w:ascii="Arial" w:hAnsi="Arial" w:eastAsia="黑体"/>
      <w:b/>
      <w:bCs/>
      <w:kern w:val="2"/>
      <w:sz w:val="28"/>
      <w:szCs w:val="32"/>
    </w:rPr>
  </w:style>
  <w:style w:type="character" w:customStyle="1" w:styleId="72">
    <w:name w:val="标题 9 Char"/>
    <w:basedOn w:val="48"/>
    <w:link w:val="10"/>
    <w:qFormat/>
    <w:uiPriority w:val="0"/>
    <w:rPr>
      <w:rFonts w:ascii="Arial" w:hAnsi="Arial" w:eastAsia="楷体"/>
      <w:b/>
      <w:kern w:val="2"/>
      <w:sz w:val="24"/>
      <w:szCs w:val="21"/>
    </w:rPr>
  </w:style>
  <w:style w:type="character" w:customStyle="1" w:styleId="73">
    <w:name w:val="3级标题 Char"/>
    <w:basedOn w:val="48"/>
    <w:link w:val="74"/>
    <w:qFormat/>
    <w:uiPriority w:val="0"/>
    <w:rPr>
      <w:rFonts w:ascii="Times New Roman" w:hAnsi="Times New Roman" w:eastAsia="楷体"/>
      <w:b/>
      <w:kern w:val="2"/>
      <w:sz w:val="24"/>
    </w:rPr>
  </w:style>
  <w:style w:type="paragraph" w:customStyle="1" w:styleId="74">
    <w:name w:val="3级标题"/>
    <w:basedOn w:val="1"/>
    <w:link w:val="73"/>
    <w:qFormat/>
    <w:uiPriority w:val="0"/>
    <w:pPr>
      <w:spacing w:line="360" w:lineRule="auto"/>
      <w:outlineLvl w:val="2"/>
    </w:pPr>
    <w:rPr>
      <w:rFonts w:eastAsia="楷体"/>
      <w:b/>
      <w:sz w:val="24"/>
      <w:szCs w:val="20"/>
    </w:rPr>
  </w:style>
  <w:style w:type="character" w:customStyle="1" w:styleId="75">
    <w:name w:val="正文缩进 Char"/>
    <w:basedOn w:val="48"/>
    <w:link w:val="15"/>
    <w:uiPriority w:val="0"/>
    <w:rPr>
      <w:rFonts w:eastAsia="宋体"/>
      <w:kern w:val="2"/>
      <w:sz w:val="28"/>
      <w:lang w:val="en-US" w:eastAsia="zh-CN" w:bidi="ar-SA"/>
    </w:rPr>
  </w:style>
  <w:style w:type="character" w:customStyle="1" w:styleId="76">
    <w:name w:val="2级标题 Char"/>
    <w:basedOn w:val="48"/>
    <w:link w:val="77"/>
    <w:qFormat/>
    <w:uiPriority w:val="0"/>
    <w:rPr>
      <w:rFonts w:ascii="Times New Roman" w:hAnsi="Times New Roman" w:eastAsia="黑体"/>
      <w:b/>
      <w:kern w:val="2"/>
      <w:sz w:val="28"/>
    </w:rPr>
  </w:style>
  <w:style w:type="paragraph" w:customStyle="1" w:styleId="77">
    <w:name w:val="2级标题"/>
    <w:basedOn w:val="1"/>
    <w:next w:val="68"/>
    <w:link w:val="76"/>
    <w:qFormat/>
    <w:uiPriority w:val="0"/>
    <w:pPr>
      <w:tabs>
        <w:tab w:val="left" w:pos="4905"/>
      </w:tabs>
      <w:spacing w:line="360" w:lineRule="auto"/>
      <w:jc w:val="left"/>
      <w:outlineLvl w:val="1"/>
    </w:pPr>
    <w:rPr>
      <w:rFonts w:eastAsia="黑体"/>
      <w:b/>
      <w:sz w:val="28"/>
      <w:szCs w:val="20"/>
    </w:rPr>
  </w:style>
  <w:style w:type="paragraph" w:customStyle="1" w:styleId="78">
    <w:name w:val="表格"/>
    <w:basedOn w:val="1"/>
    <w:next w:val="1"/>
    <w:uiPriority w:val="0"/>
    <w:pPr>
      <w:jc w:val="center"/>
    </w:pPr>
    <w:rPr>
      <w:sz w:val="24"/>
      <w:szCs w:val="20"/>
    </w:rPr>
  </w:style>
  <w:style w:type="paragraph" w:customStyle="1" w:styleId="79">
    <w:name w:val="1级标题"/>
    <w:next w:val="77"/>
    <w:qFormat/>
    <w:uiPriority w:val="0"/>
    <w:pPr>
      <w:spacing w:afterLines="100"/>
      <w:jc w:val="center"/>
      <w:outlineLvl w:val="0"/>
    </w:pPr>
    <w:rPr>
      <w:rFonts w:ascii="Times New Roman" w:hAnsi="Times New Roman" w:eastAsia="黑体" w:cs="Times New Roman"/>
      <w:b/>
      <w:kern w:val="2"/>
      <w:sz w:val="32"/>
      <w:lang w:val="en-US" w:eastAsia="zh-CN" w:bidi="ar-SA"/>
    </w:rPr>
  </w:style>
  <w:style w:type="character" w:customStyle="1" w:styleId="80">
    <w:name w:val="页脚 Char"/>
    <w:basedOn w:val="48"/>
    <w:link w:val="32"/>
    <w:qFormat/>
    <w:uiPriority w:val="0"/>
    <w:rPr>
      <w:rFonts w:eastAsia="宋体"/>
      <w:kern w:val="2"/>
      <w:sz w:val="18"/>
      <w:szCs w:val="18"/>
      <w:lang w:val="en-US" w:eastAsia="zh-CN" w:bidi="ar-SA"/>
    </w:rPr>
  </w:style>
  <w:style w:type="character" w:customStyle="1" w:styleId="81">
    <w:name w:val="页眉 Char"/>
    <w:basedOn w:val="48"/>
    <w:link w:val="33"/>
    <w:qFormat/>
    <w:uiPriority w:val="99"/>
    <w:rPr>
      <w:rFonts w:eastAsia="宋体"/>
      <w:kern w:val="2"/>
      <w:sz w:val="18"/>
      <w:szCs w:val="18"/>
      <w:lang w:val="en-US" w:eastAsia="zh-CN" w:bidi="ar-SA"/>
    </w:rPr>
  </w:style>
  <w:style w:type="paragraph" w:customStyle="1" w:styleId="82">
    <w:name w:val="表格（报告书）"/>
    <w:next w:val="1"/>
    <w:uiPriority w:val="0"/>
    <w:pPr>
      <w:jc w:val="center"/>
    </w:pPr>
    <w:rPr>
      <w:rFonts w:ascii="Times New Roman" w:hAnsi="Times New Roman" w:eastAsia="宋体" w:cs="Times New Roman"/>
      <w:kern w:val="2"/>
      <w:sz w:val="21"/>
      <w:szCs w:val="21"/>
      <w:lang w:val="en-US" w:eastAsia="zh-CN" w:bidi="ar-SA"/>
    </w:rPr>
  </w:style>
  <w:style w:type="paragraph" w:customStyle="1" w:styleId="83">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84">
    <w:name w:val="Char4 Char Char Char Char Char Char1"/>
    <w:basedOn w:val="1"/>
    <w:uiPriority w:val="0"/>
    <w:pPr>
      <w:spacing w:line="360" w:lineRule="auto"/>
      <w:ind w:firstLine="200" w:firstLineChars="200"/>
    </w:pPr>
    <w:rPr>
      <w:rFonts w:ascii="宋体" w:hAnsi="宋体" w:cs="宋体"/>
      <w:sz w:val="24"/>
    </w:rPr>
  </w:style>
  <w:style w:type="paragraph" w:customStyle="1" w:styleId="85">
    <w:name w:val="表文字"/>
    <w:uiPriority w:val="0"/>
    <w:pPr>
      <w:adjustRightInd w:val="0"/>
      <w:spacing w:line="300" w:lineRule="exact"/>
      <w:jc w:val="center"/>
    </w:pPr>
    <w:rPr>
      <w:rFonts w:ascii="Times New Roman" w:hAnsi="Times New Roman" w:eastAsia="宋体" w:cs="Times New Roman"/>
      <w:snapToGrid w:val="0"/>
      <w:kern w:val="2"/>
      <w:sz w:val="21"/>
      <w:szCs w:val="21"/>
      <w:lang w:val="en-US" w:eastAsia="zh-CN" w:bidi="ar-SA"/>
    </w:rPr>
  </w:style>
  <w:style w:type="paragraph" w:customStyle="1" w:styleId="86">
    <w:name w:val="11"/>
    <w:basedOn w:val="20"/>
    <w:link w:val="87"/>
    <w:qFormat/>
    <w:uiPriority w:val="0"/>
    <w:pPr>
      <w:autoSpaceDE w:val="0"/>
      <w:autoSpaceDN w:val="0"/>
      <w:adjustRightInd w:val="0"/>
      <w:spacing w:after="0" w:line="460" w:lineRule="exact"/>
      <w:ind w:firstLine="480" w:firstLineChars="200"/>
      <w:jc w:val="left"/>
      <w:textAlignment w:val="baseline"/>
    </w:pPr>
    <w:rPr>
      <w:kern w:val="0"/>
      <w:sz w:val="24"/>
    </w:rPr>
  </w:style>
  <w:style w:type="character" w:customStyle="1" w:styleId="87">
    <w:name w:val="11 Char"/>
    <w:basedOn w:val="48"/>
    <w:link w:val="86"/>
    <w:qFormat/>
    <w:uiPriority w:val="0"/>
    <w:rPr>
      <w:rFonts w:eastAsia="宋体"/>
      <w:sz w:val="24"/>
      <w:szCs w:val="24"/>
      <w:lang w:val="en-US" w:eastAsia="zh-CN" w:bidi="ar-SA"/>
    </w:rPr>
  </w:style>
  <w:style w:type="paragraph" w:customStyle="1" w:styleId="88">
    <w:name w:val="报告正文"/>
    <w:basedOn w:val="1"/>
    <w:qFormat/>
    <w:uiPriority w:val="0"/>
    <w:pPr>
      <w:spacing w:line="480" w:lineRule="exact"/>
    </w:pPr>
    <w:rPr>
      <w:color w:val="000000"/>
      <w:sz w:val="24"/>
    </w:rPr>
  </w:style>
  <w:style w:type="paragraph" w:customStyle="1" w:styleId="89">
    <w:name w:val="煤炭正文"/>
    <w:basedOn w:val="1"/>
    <w:qFormat/>
    <w:uiPriority w:val="0"/>
    <w:pPr>
      <w:spacing w:line="360" w:lineRule="exact"/>
      <w:ind w:firstLine="200" w:firstLineChars="200"/>
    </w:pPr>
    <w:rPr>
      <w:sz w:val="24"/>
    </w:rPr>
  </w:style>
  <w:style w:type="paragraph" w:customStyle="1" w:styleId="90">
    <w:name w:val="样式 标题 3 + 行距: 1.5 倍行距"/>
    <w:basedOn w:val="26"/>
    <w:semiHidden/>
    <w:qFormat/>
    <w:uiPriority w:val="0"/>
    <w:pPr>
      <w:adjustRightInd w:val="0"/>
      <w:snapToGrid w:val="0"/>
      <w:spacing w:line="360" w:lineRule="auto"/>
      <w:ind w:firstLine="200" w:firstLineChars="200"/>
      <w:jc w:val="left"/>
    </w:pPr>
    <w:rPr>
      <w:rFonts w:cs="宋体"/>
      <w:sz w:val="28"/>
      <w:szCs w:val="28"/>
    </w:rPr>
  </w:style>
  <w:style w:type="character" w:customStyle="1" w:styleId="91">
    <w:name w:val="标题 2 Char"/>
    <w:basedOn w:val="48"/>
    <w:uiPriority w:val="0"/>
    <w:rPr>
      <w:rFonts w:ascii="Arial" w:hAnsi="Arial" w:eastAsia="黑体"/>
      <w:b/>
      <w:kern w:val="2"/>
      <w:sz w:val="32"/>
      <w:lang w:val="en-US" w:eastAsia="zh-CN" w:bidi="ar-SA"/>
    </w:rPr>
  </w:style>
  <w:style w:type="paragraph" w:customStyle="1" w:styleId="92">
    <w:name w:val="样式 样式 样式 首行缩进:  2 字符 + 首行缩进:  2 字符 + 首行缩进:  2 字符 行距: 1.5 倍行距"/>
    <w:basedOn w:val="1"/>
    <w:link w:val="93"/>
    <w:qFormat/>
    <w:uiPriority w:val="0"/>
    <w:pPr>
      <w:spacing w:line="360" w:lineRule="auto"/>
      <w:ind w:firstLine="420" w:firstLineChars="200"/>
    </w:pPr>
    <w:rPr>
      <w:rFonts w:cs="宋体"/>
      <w:szCs w:val="20"/>
    </w:rPr>
  </w:style>
  <w:style w:type="character" w:customStyle="1" w:styleId="93">
    <w:name w:val="样式 样式 样式 首行缩进:  2 字符 + 首行缩进:  2 字符 + 首行缩进:  2 字符 行距: 1.5 倍行距 Char"/>
    <w:basedOn w:val="48"/>
    <w:link w:val="92"/>
    <w:qFormat/>
    <w:uiPriority w:val="0"/>
    <w:rPr>
      <w:rFonts w:eastAsia="宋体" w:cs="宋体"/>
      <w:kern w:val="2"/>
      <w:sz w:val="21"/>
      <w:lang w:val="en-US" w:eastAsia="zh-CN" w:bidi="ar-SA"/>
    </w:rPr>
  </w:style>
  <w:style w:type="paragraph" w:customStyle="1" w:styleId="94">
    <w:name w:val="表格内容"/>
    <w:basedOn w:val="1"/>
    <w:link w:val="95"/>
    <w:qFormat/>
    <w:uiPriority w:val="0"/>
    <w:pPr>
      <w:jc w:val="center"/>
    </w:pPr>
    <w:rPr>
      <w:szCs w:val="21"/>
    </w:rPr>
  </w:style>
  <w:style w:type="character" w:customStyle="1" w:styleId="95">
    <w:name w:val="表格内容 Char"/>
    <w:basedOn w:val="48"/>
    <w:link w:val="94"/>
    <w:qFormat/>
    <w:uiPriority w:val="0"/>
    <w:rPr>
      <w:rFonts w:eastAsia="宋体"/>
      <w:kern w:val="2"/>
      <w:sz w:val="21"/>
      <w:szCs w:val="21"/>
      <w:lang w:val="en-US" w:eastAsia="zh-CN" w:bidi="ar-SA"/>
    </w:rPr>
  </w:style>
  <w:style w:type="character" w:customStyle="1" w:styleId="96">
    <w:name w:val="标题 1 Char"/>
    <w:basedOn w:val="48"/>
    <w:link w:val="2"/>
    <w:qFormat/>
    <w:uiPriority w:val="0"/>
    <w:rPr>
      <w:b/>
      <w:bCs/>
      <w:kern w:val="44"/>
      <w:sz w:val="44"/>
      <w:szCs w:val="44"/>
    </w:rPr>
  </w:style>
  <w:style w:type="paragraph" w:customStyle="1" w:styleId="97">
    <w:name w:val="说明书正文"/>
    <w:basedOn w:val="1"/>
    <w:link w:val="126"/>
    <w:qFormat/>
    <w:uiPriority w:val="0"/>
    <w:pPr>
      <w:spacing w:line="480" w:lineRule="exact"/>
      <w:ind w:firstLine="600" w:firstLineChars="200"/>
    </w:pPr>
    <w:rPr>
      <w:rFonts w:eastAsia="仿宋_GB2312"/>
      <w:color w:val="000000"/>
      <w:sz w:val="30"/>
    </w:rPr>
  </w:style>
  <w:style w:type="paragraph" w:customStyle="1" w:styleId="98">
    <w:name w:val="铝土矿正文"/>
    <w:basedOn w:val="1"/>
    <w:qFormat/>
    <w:uiPriority w:val="0"/>
    <w:pPr>
      <w:spacing w:line="400" w:lineRule="exact"/>
      <w:ind w:firstLine="480" w:firstLineChars="200"/>
    </w:pPr>
    <w:rPr>
      <w:sz w:val="24"/>
    </w:rPr>
  </w:style>
  <w:style w:type="paragraph" w:customStyle="1" w:styleId="99">
    <w:name w:val="text"/>
    <w:basedOn w:val="1"/>
    <w:link w:val="100"/>
    <w:uiPriority w:val="0"/>
    <w:pPr>
      <w:spacing w:line="600" w:lineRule="exact"/>
      <w:ind w:firstLine="200" w:firstLineChars="200"/>
      <w:jc w:val="left"/>
    </w:pPr>
    <w:rPr>
      <w:sz w:val="28"/>
    </w:rPr>
  </w:style>
  <w:style w:type="character" w:customStyle="1" w:styleId="100">
    <w:name w:val="text Char"/>
    <w:basedOn w:val="48"/>
    <w:link w:val="99"/>
    <w:qFormat/>
    <w:uiPriority w:val="0"/>
    <w:rPr>
      <w:rFonts w:eastAsia="宋体"/>
      <w:kern w:val="2"/>
      <w:sz w:val="28"/>
      <w:szCs w:val="24"/>
      <w:lang w:val="en-US" w:eastAsia="zh-CN" w:bidi="ar-SA"/>
    </w:rPr>
  </w:style>
  <w:style w:type="paragraph" w:customStyle="1" w:styleId="101">
    <w:name w:val="Char Char Char Char Char Char Char Char Char Char Char Char Char Char Char Char Char Char Char Char Char Char Char Char Char Char Char Char Char Char Char"/>
    <w:basedOn w:val="1"/>
    <w:uiPriority w:val="0"/>
    <w:pPr>
      <w:spacing w:line="360" w:lineRule="auto"/>
      <w:ind w:firstLine="200" w:firstLineChars="200"/>
    </w:pPr>
    <w:rPr>
      <w:rFonts w:ascii="宋体" w:hAnsi="宋体" w:cs="宋体"/>
      <w:sz w:val="24"/>
    </w:rPr>
  </w:style>
  <w:style w:type="character" w:customStyle="1" w:styleId="102">
    <w:name w:val="特点 Char Char"/>
    <w:basedOn w:val="48"/>
    <w:qFormat/>
    <w:uiPriority w:val="0"/>
    <w:rPr>
      <w:rFonts w:eastAsia="宋体"/>
      <w:kern w:val="2"/>
      <w:sz w:val="28"/>
      <w:lang w:val="en-US" w:eastAsia="zh-CN" w:bidi="ar-SA"/>
    </w:rPr>
  </w:style>
  <w:style w:type="character" w:customStyle="1" w:styleId="103">
    <w:name w:val="标题 1 Char Char"/>
    <w:basedOn w:val="48"/>
    <w:qFormat/>
    <w:uiPriority w:val="0"/>
    <w:rPr>
      <w:rFonts w:eastAsia="宋体"/>
      <w:b/>
      <w:bCs/>
      <w:kern w:val="44"/>
      <w:sz w:val="44"/>
      <w:szCs w:val="44"/>
      <w:lang w:val="en-US" w:eastAsia="zh-CN" w:bidi="ar-SA"/>
    </w:rPr>
  </w:style>
  <w:style w:type="paragraph" w:customStyle="1" w:styleId="104">
    <w:name w:val="规划正文"/>
    <w:basedOn w:val="1"/>
    <w:qFormat/>
    <w:uiPriority w:val="0"/>
    <w:pPr>
      <w:spacing w:line="500" w:lineRule="exact"/>
      <w:ind w:firstLine="200" w:firstLineChars="200"/>
    </w:pPr>
    <w:rPr>
      <w:sz w:val="24"/>
    </w:rPr>
  </w:style>
  <w:style w:type="paragraph" w:customStyle="1" w:styleId="105">
    <w:name w:val="样式2"/>
    <w:basedOn w:val="1"/>
    <w:qFormat/>
    <w:uiPriority w:val="0"/>
    <w:pPr>
      <w:widowControl/>
      <w:spacing w:line="360" w:lineRule="auto"/>
    </w:pPr>
    <w:rPr>
      <w:rFonts w:ascii="宋体"/>
      <w:sz w:val="24"/>
    </w:rPr>
  </w:style>
  <w:style w:type="character" w:customStyle="1" w:styleId="106">
    <w:name w:val="标准正文 Char Char"/>
    <w:basedOn w:val="48"/>
    <w:link w:val="107"/>
    <w:qFormat/>
    <w:uiPriority w:val="0"/>
    <w:rPr>
      <w:rFonts w:ascii="Times New Roman" w:hAnsi="Times New Roman" w:eastAsiaTheme="minorEastAsia"/>
      <w:kern w:val="2"/>
      <w:sz w:val="24"/>
      <w:szCs w:val="24"/>
    </w:rPr>
  </w:style>
  <w:style w:type="paragraph" w:customStyle="1" w:styleId="107">
    <w:name w:val="标准正文"/>
    <w:basedOn w:val="1"/>
    <w:link w:val="106"/>
    <w:qFormat/>
    <w:uiPriority w:val="0"/>
    <w:pPr>
      <w:spacing w:line="360" w:lineRule="auto"/>
      <w:jc w:val="left"/>
    </w:pPr>
    <w:rPr>
      <w:rFonts w:eastAsiaTheme="minorEastAsia"/>
      <w:sz w:val="24"/>
    </w:rPr>
  </w:style>
  <w:style w:type="character" w:customStyle="1" w:styleId="108">
    <w:name w:val="Char Char5"/>
    <w:basedOn w:val="48"/>
    <w:uiPriority w:val="0"/>
    <w:rPr>
      <w:kern w:val="2"/>
      <w:sz w:val="18"/>
      <w:szCs w:val="18"/>
    </w:rPr>
  </w:style>
  <w:style w:type="paragraph" w:customStyle="1" w:styleId="109">
    <w:name w:val="p0"/>
    <w:basedOn w:val="1"/>
    <w:uiPriority w:val="0"/>
    <w:pPr>
      <w:widowControl/>
      <w:jc w:val="left"/>
    </w:pPr>
    <w:rPr>
      <w:kern w:val="0"/>
      <w:sz w:val="20"/>
      <w:szCs w:val="20"/>
    </w:rPr>
  </w:style>
  <w:style w:type="character" w:customStyle="1" w:styleId="110">
    <w:name w:val="正文文本 2 Char"/>
    <w:basedOn w:val="48"/>
    <w:link w:val="45"/>
    <w:qFormat/>
    <w:uiPriority w:val="0"/>
    <w:rPr>
      <w:kern w:val="2"/>
      <w:sz w:val="21"/>
      <w:szCs w:val="24"/>
    </w:rPr>
  </w:style>
  <w:style w:type="paragraph" w:customStyle="1" w:styleId="111">
    <w:name w:val="hb3"/>
    <w:basedOn w:val="4"/>
    <w:link w:val="112"/>
    <w:uiPriority w:val="0"/>
    <w:pPr>
      <w:adjustRightInd w:val="0"/>
      <w:spacing w:before="360" w:after="360" w:line="240" w:lineRule="auto"/>
      <w:jc w:val="left"/>
      <w:textAlignment w:val="baseline"/>
    </w:pPr>
    <w:rPr>
      <w:rFonts w:eastAsia="宋体"/>
      <w:kern w:val="0"/>
      <w:sz w:val="24"/>
      <w:szCs w:val="24"/>
    </w:rPr>
  </w:style>
  <w:style w:type="character" w:customStyle="1" w:styleId="112">
    <w:name w:val="hb3 Char"/>
    <w:link w:val="111"/>
    <w:qFormat/>
    <w:uiPriority w:val="0"/>
    <w:rPr>
      <w:b/>
      <w:bCs/>
      <w:sz w:val="24"/>
      <w:szCs w:val="24"/>
    </w:rPr>
  </w:style>
  <w:style w:type="character" w:customStyle="1" w:styleId="113">
    <w:name w:val="我的样式4正文 Char"/>
    <w:basedOn w:val="48"/>
    <w:link w:val="114"/>
    <w:qFormat/>
    <w:locked/>
    <w:uiPriority w:val="0"/>
    <w:rPr>
      <w:rFonts w:ascii="宋体" w:hAnsi="宋体"/>
      <w:kern w:val="2"/>
      <w:sz w:val="24"/>
      <w:szCs w:val="24"/>
    </w:rPr>
  </w:style>
  <w:style w:type="paragraph" w:customStyle="1" w:styleId="114">
    <w:name w:val="我的样式4正文"/>
    <w:basedOn w:val="1"/>
    <w:link w:val="113"/>
    <w:qFormat/>
    <w:uiPriority w:val="0"/>
    <w:pPr>
      <w:spacing w:line="520" w:lineRule="exact"/>
      <w:ind w:firstLine="492" w:firstLineChars="205"/>
    </w:pPr>
    <w:rPr>
      <w:rFonts w:ascii="宋体" w:hAnsi="宋体"/>
      <w:sz w:val="24"/>
    </w:rPr>
  </w:style>
  <w:style w:type="paragraph" w:customStyle="1" w:styleId="115">
    <w:name w:val="表格样式1"/>
    <w:basedOn w:val="42"/>
    <w:next w:val="20"/>
    <w:qFormat/>
    <w:uiPriority w:val="0"/>
    <w:pPr>
      <w:spacing w:line="520" w:lineRule="exact"/>
      <w:jc w:val="left"/>
    </w:pPr>
    <w:rPr>
      <w:rFonts w:ascii="黑体" w:eastAsia="黑体"/>
      <w:sz w:val="24"/>
    </w:rPr>
  </w:style>
  <w:style w:type="character" w:customStyle="1" w:styleId="116">
    <w:name w:val="批注文字 Char"/>
    <w:basedOn w:val="48"/>
    <w:link w:val="12"/>
    <w:qFormat/>
    <w:uiPriority w:val="0"/>
    <w:rPr>
      <w:kern w:val="2"/>
      <w:sz w:val="21"/>
      <w:szCs w:val="24"/>
    </w:rPr>
  </w:style>
  <w:style w:type="character" w:customStyle="1" w:styleId="117">
    <w:name w:val="批注主题 Char"/>
    <w:basedOn w:val="116"/>
    <w:link w:val="11"/>
    <w:qFormat/>
    <w:uiPriority w:val="0"/>
    <w:rPr>
      <w:b/>
      <w:bCs/>
    </w:rPr>
  </w:style>
  <w:style w:type="character" w:customStyle="1" w:styleId="118">
    <w:name w:val="正文文本 Char"/>
    <w:link w:val="20"/>
    <w:qFormat/>
    <w:uiPriority w:val="0"/>
    <w:rPr>
      <w:kern w:val="2"/>
      <w:sz w:val="21"/>
      <w:szCs w:val="24"/>
    </w:rPr>
  </w:style>
  <w:style w:type="character" w:customStyle="1" w:styleId="119">
    <w:name w:val="纯文本 Char1"/>
    <w:qFormat/>
    <w:uiPriority w:val="0"/>
    <w:rPr>
      <w:rFonts w:ascii="宋体" w:hAnsi="Courier New" w:eastAsia="宋体" w:cs="Courier New"/>
      <w:kern w:val="2"/>
      <w:sz w:val="21"/>
      <w:szCs w:val="21"/>
      <w:lang w:val="en-US" w:eastAsia="zh-CN" w:bidi="ar-SA"/>
    </w:rPr>
  </w:style>
  <w:style w:type="paragraph" w:customStyle="1" w:styleId="120">
    <w:name w:val="样式 小四 左 行距: 固定值 28 磅"/>
    <w:basedOn w:val="1"/>
    <w:qFormat/>
    <w:uiPriority w:val="0"/>
    <w:pPr>
      <w:widowControl/>
      <w:spacing w:line="560" w:lineRule="exact"/>
      <w:ind w:firstLine="480" w:firstLineChars="200"/>
      <w:jc w:val="left"/>
    </w:pPr>
    <w:rPr>
      <w:rFonts w:ascii="宋体" w:hAnsi="宋体" w:cs="宋体"/>
      <w:kern w:val="0"/>
      <w:sz w:val="24"/>
      <w:szCs w:val="20"/>
    </w:rPr>
  </w:style>
  <w:style w:type="character" w:customStyle="1" w:styleId="121">
    <w:name w:val="内容 Char"/>
    <w:link w:val="122"/>
    <w:qFormat/>
    <w:locked/>
    <w:uiPriority w:val="0"/>
    <w:rPr>
      <w:kern w:val="2"/>
      <w:sz w:val="28"/>
      <w:szCs w:val="24"/>
    </w:rPr>
  </w:style>
  <w:style w:type="paragraph" w:customStyle="1" w:styleId="122">
    <w:name w:val="内容"/>
    <w:basedOn w:val="1"/>
    <w:link w:val="121"/>
    <w:qFormat/>
    <w:uiPriority w:val="0"/>
    <w:pPr>
      <w:ind w:firstLine="200" w:firstLineChars="200"/>
      <w:jc w:val="left"/>
    </w:pPr>
    <w:rPr>
      <w:sz w:val="28"/>
    </w:rPr>
  </w:style>
  <w:style w:type="paragraph" w:customStyle="1" w:styleId="123">
    <w:name w:val="正文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p16"/>
    <w:basedOn w:val="1"/>
    <w:uiPriority w:val="0"/>
    <w:pPr>
      <w:widowControl/>
      <w:ind w:firstLine="630"/>
    </w:pPr>
    <w:rPr>
      <w:kern w:val="0"/>
      <w:sz w:val="28"/>
      <w:szCs w:val="28"/>
    </w:rPr>
  </w:style>
  <w:style w:type="paragraph" w:customStyle="1" w:styleId="125">
    <w:name w:val="7表格(治)"/>
    <w:uiPriority w:val="0"/>
    <w:pPr>
      <w:spacing w:line="300" w:lineRule="exact"/>
      <w:ind w:left="-25" w:leftChars="-9"/>
      <w:jc w:val="center"/>
    </w:pPr>
    <w:rPr>
      <w:rFonts w:ascii="Times New Roman" w:hAnsi="Times New Roman" w:eastAsia="宋体" w:cs="Times New Roman"/>
      <w:bCs/>
      <w:color w:val="000000"/>
      <w:sz w:val="21"/>
      <w:szCs w:val="21"/>
      <w:lang w:val="en-US" w:eastAsia="zh-CN" w:bidi="ar-SA"/>
    </w:rPr>
  </w:style>
  <w:style w:type="character" w:customStyle="1" w:styleId="126">
    <w:name w:val="说明书正文 Char"/>
    <w:link w:val="97"/>
    <w:qFormat/>
    <w:uiPriority w:val="0"/>
    <w:rPr>
      <w:rFonts w:eastAsia="仿宋_GB2312"/>
      <w:color w:val="000000"/>
      <w:kern w:val="2"/>
      <w:sz w:val="30"/>
      <w:szCs w:val="24"/>
    </w:rPr>
  </w:style>
  <w:style w:type="paragraph" w:customStyle="1" w:styleId="127">
    <w:name w:val="li-正文(chushe)"/>
    <w:basedOn w:val="1"/>
    <w:uiPriority w:val="0"/>
    <w:pPr>
      <w:spacing w:line="540" w:lineRule="exact"/>
    </w:pPr>
    <w:rPr>
      <w:sz w:val="28"/>
    </w:rPr>
  </w:style>
  <w:style w:type="character" w:customStyle="1" w:styleId="128">
    <w:name w:val="Char Char1"/>
    <w:link w:val="129"/>
    <w:qFormat/>
    <w:uiPriority w:val="0"/>
    <w:rPr>
      <w:rFonts w:ascii="宋体" w:hAnsi="宋体" w:cs="宋体"/>
      <w:kern w:val="2"/>
      <w:sz w:val="24"/>
      <w:szCs w:val="24"/>
    </w:rPr>
  </w:style>
  <w:style w:type="paragraph" w:customStyle="1" w:styleId="129">
    <w:name w:val="Char2"/>
    <w:basedOn w:val="1"/>
    <w:link w:val="128"/>
    <w:uiPriority w:val="0"/>
    <w:pPr>
      <w:spacing w:line="360" w:lineRule="auto"/>
      <w:ind w:firstLine="200" w:firstLineChars="200"/>
    </w:pPr>
    <w:rPr>
      <w:rFonts w:ascii="宋体" w:hAnsi="宋体" w:cs="宋体"/>
      <w:sz w:val="24"/>
    </w:rPr>
  </w:style>
  <w:style w:type="character" w:customStyle="1" w:styleId="130">
    <w:name w:val="报告书正文格式 Char"/>
    <w:link w:val="131"/>
    <w:qFormat/>
    <w:uiPriority w:val="0"/>
    <w:rPr>
      <w:rFonts w:ascii="宋体" w:hAnsi="宋体"/>
      <w:kern w:val="2"/>
      <w:sz w:val="24"/>
      <w:szCs w:val="24"/>
      <w:lang w:val="zh-CN"/>
    </w:rPr>
  </w:style>
  <w:style w:type="paragraph" w:customStyle="1" w:styleId="131">
    <w:name w:val="报告书正文格式"/>
    <w:basedOn w:val="1"/>
    <w:link w:val="130"/>
    <w:semiHidden/>
    <w:qFormat/>
    <w:uiPriority w:val="0"/>
    <w:pPr>
      <w:spacing w:line="360" w:lineRule="auto"/>
      <w:ind w:firstLine="480" w:firstLineChars="200"/>
    </w:pPr>
    <w:rPr>
      <w:rFonts w:ascii="宋体" w:hAnsi="宋体"/>
      <w:sz w:val="24"/>
      <w:lang w:val="zh-CN"/>
    </w:rPr>
  </w:style>
  <w:style w:type="paragraph" w:customStyle="1" w:styleId="132">
    <w:name w:val="样式 样式 宋体 四号 行距: 固定值 27 磅 + 首行缩进:  2 字符"/>
    <w:basedOn w:val="1"/>
    <w:qFormat/>
    <w:uiPriority w:val="0"/>
    <w:pPr>
      <w:spacing w:line="360" w:lineRule="auto"/>
      <w:ind w:firstLine="560" w:firstLineChars="200"/>
    </w:pPr>
    <w:rPr>
      <w:rFonts w:ascii="仿宋_GB2312" w:hAnsi="仿宋_GB2312" w:eastAsia="仿宋_GB2312" w:cs="仿宋_GB2312"/>
      <w:sz w:val="24"/>
      <w:szCs w:val="20"/>
    </w:rPr>
  </w:style>
  <w:style w:type="paragraph" w:customStyle="1" w:styleId="133">
    <w:name w:val="样式 样式 首行缩进:  0.85 厘米 + 首行缩进:  2 字符"/>
    <w:basedOn w:val="1"/>
    <w:qFormat/>
    <w:uiPriority w:val="0"/>
    <w:pPr>
      <w:spacing w:line="360" w:lineRule="auto"/>
      <w:ind w:firstLine="200" w:firstLineChars="200"/>
    </w:pPr>
    <w:rPr>
      <w:rFonts w:ascii="Courier New" w:hAnsi="Courier New" w:eastAsia="仿宋_GB2312" w:cs="仿宋_GB2312"/>
      <w:sz w:val="24"/>
      <w:szCs w:val="20"/>
    </w:rPr>
  </w:style>
  <w:style w:type="character" w:customStyle="1" w:styleId="134">
    <w:name w:val="表格内容居中 Char"/>
    <w:link w:val="135"/>
    <w:qFormat/>
    <w:uiPriority w:val="0"/>
    <w:rPr>
      <w:rFonts w:hAnsi="宋体"/>
    </w:rPr>
  </w:style>
  <w:style w:type="paragraph" w:customStyle="1" w:styleId="135">
    <w:name w:val="表格内容居中"/>
    <w:basedOn w:val="1"/>
    <w:link w:val="134"/>
    <w:semiHidden/>
    <w:qFormat/>
    <w:uiPriority w:val="0"/>
    <w:pPr>
      <w:adjustRightInd w:val="0"/>
      <w:snapToGrid w:val="0"/>
      <w:textAlignment w:val="center"/>
    </w:pPr>
    <w:rPr>
      <w:rFonts w:hAnsi="宋体"/>
      <w:kern w:val="0"/>
      <w:sz w:val="20"/>
      <w:szCs w:val="20"/>
    </w:rPr>
  </w:style>
  <w:style w:type="character" w:customStyle="1" w:styleId="136">
    <w:name w:val="表格内容左对齐 Char"/>
    <w:link w:val="137"/>
    <w:qFormat/>
    <w:uiPriority w:val="0"/>
    <w:rPr>
      <w:kern w:val="2"/>
      <w:sz w:val="21"/>
      <w:szCs w:val="21"/>
    </w:rPr>
  </w:style>
  <w:style w:type="paragraph" w:customStyle="1" w:styleId="137">
    <w:name w:val="表格内容左对齐"/>
    <w:basedOn w:val="1"/>
    <w:link w:val="136"/>
    <w:semiHidden/>
    <w:qFormat/>
    <w:uiPriority w:val="0"/>
    <w:rPr>
      <w:szCs w:val="21"/>
    </w:rPr>
  </w:style>
  <w:style w:type="character" w:customStyle="1" w:styleId="138">
    <w:name w:val="表格标题格式 Char"/>
    <w:link w:val="139"/>
    <w:qFormat/>
    <w:uiPriority w:val="0"/>
    <w:rPr>
      <w:rFonts w:eastAsia="黑体"/>
      <w:kern w:val="2"/>
      <w:sz w:val="22"/>
      <w:szCs w:val="22"/>
    </w:rPr>
  </w:style>
  <w:style w:type="paragraph" w:customStyle="1" w:styleId="139">
    <w:name w:val="表格标题格式"/>
    <w:basedOn w:val="1"/>
    <w:link w:val="138"/>
    <w:qFormat/>
    <w:uiPriority w:val="0"/>
    <w:pPr>
      <w:tabs>
        <w:tab w:val="center" w:pos="4438"/>
      </w:tabs>
      <w:autoSpaceDE w:val="0"/>
      <w:autoSpaceDN w:val="0"/>
      <w:jc w:val="center"/>
    </w:pPr>
    <w:rPr>
      <w:rFonts w:eastAsia="黑体"/>
      <w:sz w:val="22"/>
      <w:szCs w:val="22"/>
    </w:rPr>
  </w:style>
  <w:style w:type="character" w:customStyle="1" w:styleId="140">
    <w:name w:val="Char Char11"/>
    <w:link w:val="141"/>
    <w:qFormat/>
    <w:uiPriority w:val="0"/>
    <w:rPr>
      <w:rFonts w:ascii="宋体" w:hAnsi="宋体" w:cs="宋体"/>
      <w:kern w:val="2"/>
      <w:sz w:val="24"/>
      <w:szCs w:val="24"/>
    </w:rPr>
  </w:style>
  <w:style w:type="paragraph" w:customStyle="1" w:styleId="141">
    <w:name w:val="Char1"/>
    <w:basedOn w:val="1"/>
    <w:link w:val="140"/>
    <w:uiPriority w:val="0"/>
    <w:pPr>
      <w:spacing w:line="360" w:lineRule="auto"/>
      <w:ind w:firstLine="200" w:firstLineChars="200"/>
    </w:pPr>
    <w:rPr>
      <w:rFonts w:ascii="宋体" w:hAnsi="宋体" w:cs="宋体"/>
      <w:sz w:val="24"/>
    </w:rPr>
  </w:style>
  <w:style w:type="paragraph" w:customStyle="1" w:styleId="142">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3">
    <w:name w:val="表格样式"/>
    <w:basedOn w:val="1"/>
    <w:next w:val="1"/>
    <w:qFormat/>
    <w:uiPriority w:val="0"/>
    <w:pPr>
      <w:widowControl/>
      <w:jc w:val="center"/>
    </w:pPr>
    <w:rPr>
      <w:rFonts w:eastAsia="黑体"/>
      <w:kern w:val="0"/>
      <w:sz w:val="22"/>
    </w:rPr>
  </w:style>
  <w:style w:type="paragraph" w:customStyle="1" w:styleId="144">
    <w:name w:val="方案正文"/>
    <w:basedOn w:val="1"/>
    <w:qFormat/>
    <w:uiPriority w:val="0"/>
    <w:pPr>
      <w:ind w:firstLine="200" w:firstLineChars="200"/>
      <w:jc w:val="left"/>
    </w:pPr>
    <w:rPr>
      <w:rFonts w:eastAsia="仿宋_GB2312"/>
      <w:sz w:val="28"/>
    </w:rPr>
  </w:style>
  <w:style w:type="paragraph" w:customStyle="1" w:styleId="145">
    <w:name w:val="表格内容样式"/>
    <w:basedOn w:val="1"/>
    <w:qFormat/>
    <w:uiPriority w:val="0"/>
    <w:pPr>
      <w:jc w:val="center"/>
    </w:pPr>
    <w:rPr>
      <w:sz w:val="20"/>
      <w:szCs w:val="20"/>
    </w:rPr>
  </w:style>
  <w:style w:type="character" w:customStyle="1" w:styleId="146">
    <w:name w:val="正文文本 Char1"/>
    <w:qFormat/>
    <w:uiPriority w:val="0"/>
    <w:rPr>
      <w:rFonts w:eastAsia="宋体"/>
      <w:kern w:val="2"/>
      <w:sz w:val="21"/>
      <w:szCs w:val="24"/>
      <w:lang w:val="en-US" w:eastAsia="zh-CN" w:bidi="ar-SA"/>
    </w:rPr>
  </w:style>
  <w:style w:type="paragraph" w:customStyle="1" w:styleId="147">
    <w:name w:val="正文文本缩进1"/>
    <w:basedOn w:val="1"/>
    <w:uiPriority w:val="0"/>
    <w:pPr>
      <w:spacing w:line="360" w:lineRule="auto"/>
      <w:ind w:firstLine="560" w:firstLineChars="200"/>
    </w:pPr>
    <w:rPr>
      <w:rFonts w:ascii="Courier New" w:hAnsi="Courier New" w:eastAsia="仿宋_GB2312" w:cs="Courier New"/>
      <w:sz w:val="28"/>
      <w:szCs w:val="28"/>
    </w:rPr>
  </w:style>
  <w:style w:type="character" w:customStyle="1" w:styleId="148">
    <w:name w:val="标题 7 Char"/>
    <w:basedOn w:val="48"/>
    <w:link w:val="8"/>
    <w:uiPriority w:val="0"/>
    <w:rPr>
      <w:rFonts w:ascii="Courier New" w:hAnsi="Courier New" w:eastAsia="仿宋_GB2312" w:cs="Courier New"/>
      <w:b/>
      <w:bCs/>
      <w:kern w:val="2"/>
      <w:sz w:val="24"/>
      <w:szCs w:val="24"/>
    </w:rPr>
  </w:style>
  <w:style w:type="character" w:customStyle="1" w:styleId="149">
    <w:name w:val="标题 8 Char"/>
    <w:basedOn w:val="48"/>
    <w:link w:val="9"/>
    <w:uiPriority w:val="0"/>
    <w:rPr>
      <w:rFonts w:ascii="@仿宋_GB2312" w:hAnsi="@仿宋_GB2312" w:eastAsia="Wingdings" w:cs="Courier New"/>
      <w:kern w:val="2"/>
      <w:sz w:val="24"/>
      <w:szCs w:val="24"/>
    </w:rPr>
  </w:style>
  <w:style w:type="paragraph" w:customStyle="1" w:styleId="150">
    <w:name w:val="样式 样式 标题 4标题 4 Char11.1.1.1 Char标题 4.1.1.1.1 Char标题 4 Char Char....2"/>
    <w:basedOn w:val="1"/>
    <w:uiPriority w:val="0"/>
    <w:pPr>
      <w:keepNext/>
      <w:keepLines/>
      <w:numPr>
        <w:ilvl w:val="3"/>
        <w:numId w:val="1"/>
      </w:numPr>
      <w:spacing w:beforeLines="10" w:afterLines="10" w:line="300" w:lineRule="auto"/>
      <w:outlineLvl w:val="3"/>
    </w:pPr>
    <w:rPr>
      <w:rFonts w:cs="宋体"/>
      <w:b/>
      <w:bCs/>
      <w:sz w:val="28"/>
      <w:szCs w:val="20"/>
    </w:rPr>
  </w:style>
  <w:style w:type="paragraph" w:customStyle="1" w:styleId="151">
    <w:name w:val="样式 宋体 四号 行距: 固定值 27 磅1"/>
    <w:basedOn w:val="1"/>
    <w:uiPriority w:val="0"/>
    <w:pPr>
      <w:spacing w:line="360" w:lineRule="auto"/>
      <w:ind w:firstLine="200" w:firstLineChars="200"/>
    </w:pPr>
    <w:rPr>
      <w:rFonts w:ascii="仿宋_GB2312" w:hAnsi="仿宋_GB2312" w:eastAsia="仿宋_GB2312" w:cs="仿宋_GB2312"/>
      <w:sz w:val="24"/>
      <w:szCs w:val="20"/>
    </w:rPr>
  </w:style>
  <w:style w:type="paragraph" w:customStyle="1" w:styleId="152">
    <w:name w:val="样式 样式 样式 标题 4标题 4 Char11.1.1.1 Char标题 4.1.1.1.1 Char标题 4 Char Ch..."/>
    <w:basedOn w:val="1"/>
    <w:uiPriority w:val="0"/>
    <w:pPr>
      <w:keepNext/>
      <w:keepLines/>
      <w:spacing w:beforeLines="20" w:afterLines="20" w:line="300" w:lineRule="auto"/>
      <w:ind w:left="2270" w:hanging="420"/>
      <w:outlineLvl w:val="3"/>
    </w:pPr>
    <w:rPr>
      <w:rFonts w:cs="宋体"/>
      <w:b/>
      <w:bCs/>
      <w:sz w:val="28"/>
      <w:szCs w:val="20"/>
    </w:rPr>
  </w:style>
  <w:style w:type="paragraph" w:customStyle="1" w:styleId="153">
    <w:name w:val="样式 标题 3小标题标题 3 Char四号宋体左齐行距1.5倍1.1.1标题 34号宋体左齐行距1.5倍条标题1.1..."/>
    <w:basedOn w:val="4"/>
    <w:link w:val="154"/>
    <w:uiPriority w:val="0"/>
    <w:pPr>
      <w:spacing w:before="100" w:after="100" w:line="300" w:lineRule="auto"/>
      <w:jc w:val="both"/>
    </w:pPr>
    <w:rPr>
      <w:rFonts w:ascii="Courier New" w:hAnsi="Courier New" w:eastAsia="仿宋_GB2312" w:cs="Courier New"/>
      <w:sz w:val="30"/>
    </w:rPr>
  </w:style>
  <w:style w:type="character" w:customStyle="1" w:styleId="154">
    <w:name w:val="样式 标题 3小标题标题 3 Char四号宋体左齐行距1.5倍1.1.1标题 34号宋体左齐行距1.5倍条标题1.1... Char"/>
    <w:basedOn w:val="48"/>
    <w:link w:val="153"/>
    <w:uiPriority w:val="0"/>
    <w:rPr>
      <w:rFonts w:ascii="Courier New" w:hAnsi="Courier New" w:eastAsia="仿宋_GB2312" w:cs="Courier New"/>
      <w:b/>
      <w:bCs/>
      <w:kern w:val="2"/>
      <w:sz w:val="30"/>
      <w:szCs w:val="32"/>
    </w:rPr>
  </w:style>
  <w:style w:type="paragraph" w:customStyle="1" w:styleId="155">
    <w:name w:val="样式 样式 标题 4标题 4 Char11.1.1.1 Char标题 4.1.1.1.1 Char标题 4 Char Char....1"/>
    <w:basedOn w:val="1"/>
    <w:uiPriority w:val="0"/>
    <w:pPr>
      <w:keepNext/>
      <w:keepLines/>
      <w:spacing w:beforeLines="10" w:afterLines="10" w:line="300" w:lineRule="auto"/>
      <w:ind w:left="2270" w:hanging="420"/>
      <w:outlineLvl w:val="3"/>
    </w:pPr>
    <w:rPr>
      <w:rFonts w:cs="宋体"/>
      <w:b/>
      <w:bCs/>
      <w:sz w:val="28"/>
      <w:szCs w:val="20"/>
    </w:rPr>
  </w:style>
  <w:style w:type="paragraph" w:customStyle="1" w:styleId="156">
    <w:name w:val="正文1 Char"/>
    <w:basedOn w:val="1"/>
    <w:link w:val="157"/>
    <w:uiPriority w:val="0"/>
    <w:pPr>
      <w:topLinePunct/>
      <w:spacing w:line="360" w:lineRule="auto"/>
      <w:ind w:firstLine="464" w:firstLineChars="200"/>
      <w:jc w:val="left"/>
    </w:pPr>
    <w:rPr>
      <w:rFonts w:ascii="Courier New" w:hAnsi="仿宋_GB2312" w:eastAsia="仿宋_GB2312" w:cs="Courier New"/>
      <w:spacing w:val="-4"/>
      <w:sz w:val="24"/>
    </w:rPr>
  </w:style>
  <w:style w:type="character" w:customStyle="1" w:styleId="157">
    <w:name w:val="正文1 Char Char2"/>
    <w:basedOn w:val="48"/>
    <w:link w:val="156"/>
    <w:uiPriority w:val="0"/>
    <w:rPr>
      <w:rFonts w:ascii="Courier New" w:hAnsi="仿宋_GB2312" w:eastAsia="仿宋_GB2312" w:cs="Courier New"/>
      <w:spacing w:val="-4"/>
      <w:kern w:val="2"/>
      <w:sz w:val="24"/>
      <w:szCs w:val="24"/>
    </w:rPr>
  </w:style>
  <w:style w:type="paragraph" w:customStyle="1" w:styleId="158">
    <w:name w:val="样式 宋体 四号 行距: 固定值 27 磅"/>
    <w:basedOn w:val="1"/>
    <w:uiPriority w:val="0"/>
    <w:pPr>
      <w:spacing w:line="360" w:lineRule="auto"/>
      <w:ind w:firstLine="200" w:firstLineChars="200"/>
    </w:pPr>
    <w:rPr>
      <w:rFonts w:ascii="仿宋_GB2312" w:hAnsi="仿宋_GB2312" w:eastAsia="仿宋_GB2312" w:cs="仿宋_GB2312"/>
      <w:sz w:val="28"/>
      <w:szCs w:val="20"/>
    </w:rPr>
  </w:style>
  <w:style w:type="paragraph" w:customStyle="1" w:styleId="159">
    <w:name w:val="A正文"/>
    <w:basedOn w:val="1"/>
    <w:uiPriority w:val="0"/>
    <w:pPr>
      <w:adjustRightInd w:val="0"/>
      <w:snapToGrid w:val="0"/>
      <w:spacing w:line="360" w:lineRule="auto"/>
      <w:ind w:firstLine="480" w:firstLineChars="200"/>
    </w:pPr>
    <w:rPr>
      <w:rFonts w:ascii="Courier New" w:hAnsi="仿宋_GB2312" w:eastAsia="仿宋_GB2312" w:cs="Courier New"/>
      <w:sz w:val="24"/>
    </w:rPr>
  </w:style>
  <w:style w:type="paragraph" w:customStyle="1" w:styleId="160">
    <w:name w:val="2 Char Char Char Char"/>
    <w:basedOn w:val="1"/>
    <w:uiPriority w:val="0"/>
    <w:pPr>
      <w:snapToGrid w:val="0"/>
      <w:spacing w:line="360" w:lineRule="auto"/>
      <w:ind w:firstLine="529" w:firstLineChars="200"/>
    </w:pPr>
    <w:rPr>
      <w:rFonts w:ascii="宋体" w:hAnsi="宋体"/>
      <w:b/>
      <w:szCs w:val="21"/>
    </w:rPr>
  </w:style>
  <w:style w:type="paragraph" w:customStyle="1" w:styleId="161">
    <w:name w:val="样式 标题 3Char小标题标题 3 Char四号宋体左齐行距1.5倍1.1.1标题 34号宋体左齐行距1.5倍条...1"/>
    <w:basedOn w:val="4"/>
    <w:uiPriority w:val="0"/>
    <w:pPr>
      <w:tabs>
        <w:tab w:val="left" w:pos="360"/>
      </w:tabs>
      <w:spacing w:before="100" w:after="100" w:line="300" w:lineRule="auto"/>
      <w:ind w:left="460" w:hanging="100"/>
      <w:jc w:val="both"/>
    </w:pPr>
    <w:rPr>
      <w:rFonts w:ascii="Courier New" w:hAnsi="仿宋_GB2312" w:eastAsia="仿宋_GB2312" w:cs="仿宋_GB2312"/>
      <w:bCs w:val="0"/>
      <w:sz w:val="28"/>
      <w:szCs w:val="20"/>
    </w:rPr>
  </w:style>
  <w:style w:type="paragraph" w:customStyle="1" w:styleId="162">
    <w:name w:val="表格1"/>
    <w:basedOn w:val="1"/>
    <w:link w:val="163"/>
    <w:qFormat/>
    <w:uiPriority w:val="0"/>
    <w:pPr>
      <w:spacing w:line="360" w:lineRule="auto"/>
      <w:jc w:val="center"/>
    </w:pPr>
    <w:rPr>
      <w:rFonts w:ascii="仿宋_GB2312" w:hAnsi="仿宋_GB2312" w:eastAsia="仿宋_GB2312" w:cs="Courier New"/>
      <w:sz w:val="18"/>
      <w:szCs w:val="18"/>
    </w:rPr>
  </w:style>
  <w:style w:type="character" w:customStyle="1" w:styleId="163">
    <w:name w:val="表格1 Char"/>
    <w:basedOn w:val="48"/>
    <w:link w:val="162"/>
    <w:uiPriority w:val="0"/>
    <w:rPr>
      <w:rFonts w:ascii="仿宋_GB2312" w:hAnsi="仿宋_GB2312" w:eastAsia="仿宋_GB2312" w:cs="Courier New"/>
      <w:kern w:val="2"/>
      <w:sz w:val="18"/>
      <w:szCs w:val="18"/>
    </w:rPr>
  </w:style>
  <w:style w:type="character" w:customStyle="1" w:styleId="164">
    <w:name w:val="font21"/>
    <w:basedOn w:val="48"/>
    <w:uiPriority w:val="0"/>
    <w:rPr>
      <w:rFonts w:hint="eastAsia" w:ascii="宋体" w:hAnsi="宋体" w:eastAsia="宋体"/>
      <w:color w:val="000000"/>
      <w:sz w:val="24"/>
      <w:szCs w:val="24"/>
      <w:u w:val="none"/>
    </w:rPr>
  </w:style>
  <w:style w:type="character" w:customStyle="1" w:styleId="165">
    <w:name w:val="font01"/>
    <w:basedOn w:val="48"/>
    <w:uiPriority w:val="0"/>
    <w:rPr>
      <w:rFonts w:hint="eastAsia" w:ascii="宋体" w:hAnsi="宋体" w:eastAsia="宋体"/>
      <w:color w:val="000000"/>
      <w:sz w:val="24"/>
      <w:szCs w:val="24"/>
      <w:u w:val="none"/>
      <w:vertAlign w:val="superscript"/>
    </w:rPr>
  </w:style>
  <w:style w:type="character" w:customStyle="1" w:styleId="166">
    <w:name w:val="font31"/>
    <w:basedOn w:val="48"/>
    <w:uiPriority w:val="0"/>
    <w:rPr>
      <w:rFonts w:hint="eastAsia" w:ascii="宋体" w:hAnsi="宋体" w:eastAsia="宋体"/>
      <w:color w:val="000000"/>
      <w:sz w:val="24"/>
      <w:szCs w:val="24"/>
      <w:u w:val="none"/>
    </w:rPr>
  </w:style>
  <w:style w:type="paragraph" w:customStyle="1" w:styleId="167">
    <w:name w:val="A样式 小四 行距: 1.5 倍行距"/>
    <w:basedOn w:val="1"/>
    <w:uiPriority w:val="0"/>
    <w:pPr>
      <w:spacing w:line="360" w:lineRule="auto"/>
      <w:ind w:firstLine="480" w:firstLineChars="200"/>
    </w:pPr>
    <w:rPr>
      <w:rFonts w:ascii="Courier New" w:hAnsi="Courier New" w:eastAsia="仿宋_GB2312" w:cs="仿宋_GB2312"/>
      <w:sz w:val="24"/>
      <w:szCs w:val="20"/>
    </w:rPr>
  </w:style>
  <w:style w:type="paragraph" w:customStyle="1" w:styleId="168">
    <w:name w:val="样式 标题 3Char小标题标题 3 Char四号宋体左齐行距1.5倍1.1.1标题 34号宋体左齐行距1.5倍条..."/>
    <w:basedOn w:val="4"/>
    <w:uiPriority w:val="0"/>
    <w:pPr>
      <w:tabs>
        <w:tab w:val="left" w:pos="360"/>
      </w:tabs>
      <w:spacing w:before="100" w:after="100" w:line="300" w:lineRule="auto"/>
      <w:ind w:left="460" w:hanging="100"/>
      <w:jc w:val="both"/>
    </w:pPr>
    <w:rPr>
      <w:rFonts w:ascii="Courier New" w:hAnsi="仿宋_GB2312" w:eastAsia="Wingdings" w:cs="仿宋_GB2312"/>
      <w:bCs w:val="0"/>
      <w:sz w:val="28"/>
      <w:szCs w:val="20"/>
    </w:rPr>
  </w:style>
  <w:style w:type="paragraph" w:customStyle="1" w:styleId="169">
    <w:name w:val="样式 报告书正文格式 + (符号) 宋体"/>
    <w:basedOn w:val="131"/>
    <w:uiPriority w:val="0"/>
    <w:pPr>
      <w:wordWrap w:val="0"/>
      <w:ind w:firstLine="200"/>
    </w:pPr>
    <w:rPr>
      <w:rFonts w:ascii="Times New Roman" w:hAnsi="仿宋_GB2312"/>
      <w:lang w:val="en-US"/>
    </w:rPr>
  </w:style>
  <w:style w:type="character" w:customStyle="1" w:styleId="170">
    <w:name w:val="样式 宋体"/>
    <w:basedOn w:val="48"/>
    <w:uiPriority w:val="0"/>
    <w:rPr>
      <w:rFonts w:ascii="宋体" w:hAnsi="宋体" w:eastAsia="宋体"/>
      <w:sz w:val="24"/>
      <w:szCs w:val="24"/>
    </w:rPr>
  </w:style>
  <w:style w:type="paragraph" w:customStyle="1" w:styleId="171">
    <w:name w:val="表格标题"/>
    <w:basedOn w:val="1"/>
    <w:link w:val="172"/>
    <w:uiPriority w:val="0"/>
    <w:pPr>
      <w:wordWrap w:val="0"/>
      <w:overflowPunct w:val="0"/>
      <w:jc w:val="center"/>
      <w:textAlignment w:val="center"/>
    </w:pPr>
    <w:rPr>
      <w:rFonts w:ascii="Courier New" w:hAnsi="仿宋_GB2312" w:eastAsia="仿宋_GB2312" w:cs="Courier New"/>
      <w:b/>
      <w:snapToGrid w:val="0"/>
      <w:color w:val="000000"/>
      <w:spacing w:val="-4"/>
      <w:kern w:val="0"/>
      <w:sz w:val="24"/>
    </w:rPr>
  </w:style>
  <w:style w:type="character" w:customStyle="1" w:styleId="172">
    <w:name w:val="表格标题 Char"/>
    <w:basedOn w:val="48"/>
    <w:link w:val="171"/>
    <w:uiPriority w:val="0"/>
    <w:rPr>
      <w:rFonts w:ascii="Courier New" w:hAnsi="仿宋_GB2312" w:eastAsia="仿宋_GB2312" w:cs="Courier New"/>
      <w:b/>
      <w:snapToGrid w:val="0"/>
      <w:color w:val="000000"/>
      <w:spacing w:val="-4"/>
      <w:sz w:val="24"/>
      <w:szCs w:val="24"/>
    </w:rPr>
  </w:style>
  <w:style w:type="paragraph" w:customStyle="1" w:styleId="173">
    <w:name w:val="Date1"/>
    <w:basedOn w:val="1"/>
    <w:next w:val="1"/>
    <w:semiHidden/>
    <w:uiPriority w:val="0"/>
    <w:pPr>
      <w:adjustRightInd w:val="0"/>
      <w:spacing w:line="360" w:lineRule="auto"/>
      <w:textAlignment w:val="baseline"/>
    </w:pPr>
    <w:rPr>
      <w:rFonts w:ascii="Courier New" w:hAnsi="Courier New" w:eastAsia="仿宋_GB2312" w:cs="Courier New"/>
      <w:sz w:val="24"/>
      <w:szCs w:val="20"/>
    </w:rPr>
  </w:style>
  <w:style w:type="character" w:customStyle="1" w:styleId="174">
    <w:name w:val="Char Char Char Char1"/>
    <w:uiPriority w:val="0"/>
    <w:rPr>
      <w:rFonts w:ascii="宋体" w:hAnsi="宋体" w:eastAsia="宋体" w:cs="宋体"/>
      <w:kern w:val="2"/>
      <w:sz w:val="24"/>
      <w:szCs w:val="24"/>
      <w:lang w:val="en-US" w:eastAsia="zh-CN" w:bidi="ar-SA"/>
    </w:rPr>
  </w:style>
  <w:style w:type="character" w:customStyle="1" w:styleId="175">
    <w:name w:val="fontstyle01"/>
    <w:basedOn w:val="48"/>
    <w:uiPriority w:val="0"/>
    <w:rPr>
      <w:rFonts w:hint="eastAsia" w:ascii="宋体" w:hAnsi="宋体" w:eastAsia="宋体"/>
      <w:color w:val="000000"/>
      <w:sz w:val="28"/>
      <w:szCs w:val="28"/>
    </w:rPr>
  </w:style>
  <w:style w:type="character" w:customStyle="1" w:styleId="176">
    <w:name w:val="fontstyle21"/>
    <w:basedOn w:val="48"/>
    <w:uiPriority w:val="0"/>
    <w:rPr>
      <w:rFonts w:hint="default" w:ascii="Times New Roman" w:hAnsi="Times New Roman" w:cs="Times New Roman"/>
      <w:color w:val="000000"/>
      <w:sz w:val="28"/>
      <w:szCs w:val="28"/>
    </w:rPr>
  </w:style>
  <w:style w:type="paragraph" w:customStyle="1" w:styleId="177">
    <w:name w:val="正文样式"/>
    <w:basedOn w:val="1"/>
    <w:qFormat/>
    <w:uiPriority w:val="0"/>
    <w:pPr>
      <w:spacing w:line="460" w:lineRule="exact"/>
      <w:ind w:firstLine="200" w:firstLineChars="200"/>
    </w:pPr>
    <w:rPr>
      <w:rFonts w:ascii="仿宋_GB2312" w:hAnsi="仿宋_GB2312" w:eastAsia="仿宋_GB2312" w:cs="Courier New"/>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1.e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10.wmf"/><Relationship Id="rId27" Type="http://schemas.openxmlformats.org/officeDocument/2006/relationships/oleObject" Target="embeddings/oleObject3.bin"/><Relationship Id="rId26" Type="http://schemas.openxmlformats.org/officeDocument/2006/relationships/oleObject" Target="embeddings/oleObject2.bin"/><Relationship Id="rId25" Type="http://schemas.openxmlformats.org/officeDocument/2006/relationships/image" Target="media/image9.emf"/><Relationship Id="rId24" Type="http://schemas.openxmlformats.org/officeDocument/2006/relationships/image" Target="media/image8.wmf"/><Relationship Id="rId23" Type="http://schemas.openxmlformats.org/officeDocument/2006/relationships/oleObject" Target="embeddings/oleObject1.bin"/><Relationship Id="rId22" Type="http://schemas.openxmlformats.org/officeDocument/2006/relationships/image" Target="media/image7.jpeg"/><Relationship Id="rId21" Type="http://schemas.openxmlformats.org/officeDocument/2006/relationships/image" Target="media/image6.emf"/><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5356"/>
    <customShpInfo spid="_x0000_s5415"/>
    <customShpInfo spid="_x0000_s5358"/>
    <customShpInfo spid="_x0000_s5359"/>
    <customShpInfo spid="_x0000_s5360"/>
    <customShpInfo spid="_x0000_s5361"/>
    <customShpInfo spid="_x0000_s5362"/>
    <customShpInfo spid="_x0000_s5363"/>
    <customShpInfo spid="_x0000_s5441"/>
    <customShpInfo spid="_x0000_s5443"/>
    <customShpInfo spid="_x0000_s5447"/>
    <customShpInfo spid="_x0000_s5444"/>
    <customShpInfo spid="_x0000_s5445"/>
    <customShpInfo spid="_x0000_s5446"/>
    <customShpInfo spid="_x0000_s5442"/>
    <customShpInfo spid="_x0000_s5448"/>
    <customShpInfo spid="_x0000_s5449"/>
    <customShpInfo spid="_x0000_s5454"/>
    <customShpInfo spid="_x0000_s5455"/>
    <customShpInfo spid="_x0000_s5460"/>
    <customShpInfo spid="_x0000_s5456"/>
    <customShpInfo spid="_x0000_s5461"/>
    <customShpInfo spid="_x0000_s5462"/>
    <customShpInfo spid="_x0000_s5405"/>
    <customShpInfo spid="_x0000_s5406"/>
    <customShpInfo spid="_x0000_s5407"/>
    <customShpInfo spid="_x0000_s5408"/>
    <customShpInfo spid="_x0000_s5343"/>
    <customShpInfo spid="_x0000_s53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9DC395-6063-4BDD-858D-DB7884A867F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143</Pages>
  <Words>80575</Words>
  <Characters>95853</Characters>
  <Lines>787</Lines>
  <Paragraphs>221</Paragraphs>
  <TotalTime>0</TotalTime>
  <ScaleCrop>false</ScaleCrop>
  <LinksUpToDate>false</LinksUpToDate>
  <CharactersWithSpaces>100617</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2014-12-22T10:05:00Z</dcterms:created>
  <dc:creator>User</dc:creator>
  <cp:lastModifiedBy>Administrator</cp:lastModifiedBy>
  <cp:lastPrinted>2017-07-23T11:11:00Z</cp:lastPrinted>
  <dcterms:modified xsi:type="dcterms:W3CDTF">2017-09-04T07:55:19Z</dcterms:modified>
  <dc:title>安阳矿务局龙山煤矿工程竣工</dc:title>
  <cp:revision>289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