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b/>
          <w:sz w:val="44"/>
          <w:szCs w:val="44"/>
        </w:rPr>
      </w:pPr>
      <w:r>
        <w:rPr>
          <w:rFonts w:hint="eastAsia"/>
          <w:b/>
          <w:sz w:val="44"/>
          <w:szCs w:val="44"/>
        </w:rPr>
        <w:t>挥发性有机物走航监测服务采购需求</w:t>
      </w:r>
    </w:p>
    <w:p>
      <w:pPr>
        <w:pStyle w:val="2"/>
        <w:spacing w:before="0" w:after="0"/>
        <w:ind w:left="431" w:hanging="431"/>
      </w:pPr>
      <w:r>
        <w:rPr>
          <w:rFonts w:hint="eastAsia"/>
        </w:rPr>
        <w:t>项目概况</w:t>
      </w:r>
    </w:p>
    <w:p>
      <w:pPr>
        <w:spacing w:line="360" w:lineRule="auto"/>
        <w:ind w:firstLine="560" w:firstLineChars="200"/>
        <w:jc w:val="left"/>
        <w:rPr>
          <w:sz w:val="28"/>
          <w:szCs w:val="28"/>
        </w:rPr>
      </w:pPr>
      <w:bookmarkStart w:id="0" w:name="_Toc14335"/>
      <w:r>
        <w:rPr>
          <w:rFonts w:hint="eastAsia"/>
          <w:sz w:val="28"/>
          <w:szCs w:val="28"/>
        </w:rPr>
        <w:t>根据河南省生态环境厅</w:t>
      </w:r>
      <w:bookmarkStart w:id="3" w:name="_GoBack"/>
      <w:bookmarkEnd w:id="3"/>
      <w:r>
        <w:rPr>
          <w:rFonts w:hint="eastAsia"/>
          <w:sz w:val="28"/>
          <w:szCs w:val="28"/>
        </w:rPr>
        <w:t>《关于开展夏季挥发性有机物走航监测的通知》要求，</w:t>
      </w:r>
      <w:bookmarkEnd w:id="0"/>
      <w:r>
        <w:rPr>
          <w:rFonts w:hint="eastAsia"/>
          <w:sz w:val="28"/>
          <w:szCs w:val="28"/>
        </w:rPr>
        <w:t>综合我市目前的环境空气挥发性有机物现场监测条件，需要采购挥发性有机物走航监测服务。</w:t>
      </w:r>
    </w:p>
    <w:p>
      <w:pPr>
        <w:pStyle w:val="2"/>
        <w:spacing w:before="0" w:after="0"/>
        <w:ind w:left="431" w:hanging="431"/>
      </w:pPr>
      <w:r>
        <w:rPr>
          <w:rFonts w:hint="eastAsia"/>
        </w:rPr>
        <w:t>挥发性有机物走航监测服务需求</w:t>
      </w:r>
    </w:p>
    <w:p>
      <w:pPr>
        <w:pStyle w:val="5"/>
        <w:spacing w:before="0" w:after="0" w:line="415" w:lineRule="auto"/>
        <w:ind w:left="578" w:hanging="578"/>
      </w:pPr>
      <w:bookmarkStart w:id="1" w:name="_Toc47612014"/>
      <w:r>
        <w:rPr>
          <w:rFonts w:hint="eastAsia"/>
        </w:rPr>
        <w:t>走航监测服务工作</w:t>
      </w:r>
      <w:bookmarkEnd w:id="1"/>
      <w:r>
        <w:rPr>
          <w:rFonts w:hint="eastAsia"/>
        </w:rPr>
        <w:t>范围</w:t>
      </w:r>
    </w:p>
    <w:p>
      <w:pPr>
        <w:spacing w:line="360" w:lineRule="auto"/>
        <w:ind w:firstLine="560" w:firstLineChars="200"/>
        <w:jc w:val="left"/>
        <w:rPr>
          <w:sz w:val="28"/>
          <w:szCs w:val="28"/>
        </w:rPr>
      </w:pPr>
      <w:r>
        <w:rPr>
          <w:rFonts w:hint="eastAsia"/>
          <w:sz w:val="28"/>
          <w:szCs w:val="28"/>
        </w:rPr>
        <w:t>（1）走航监测服务：配套齐全的人员、车辆、监测设备、备品备件、耗材、工具等；专职司机1名负责规划线路与安全行驶、车辆安检、保养等。</w:t>
      </w:r>
    </w:p>
    <w:p>
      <w:pPr>
        <w:spacing w:line="360" w:lineRule="auto"/>
        <w:ind w:firstLine="560" w:firstLineChars="200"/>
        <w:jc w:val="left"/>
        <w:rPr>
          <w:sz w:val="28"/>
          <w:szCs w:val="28"/>
        </w:rPr>
      </w:pPr>
      <w:r>
        <w:rPr>
          <w:rFonts w:hint="eastAsia"/>
          <w:sz w:val="28"/>
          <w:szCs w:val="28"/>
        </w:rPr>
        <w:t>（2）走航监测运维服务：运维人员负责跟车保障走航过程每日检查各类监测仪器及辅助设备运行情况；各类监测数据的采集、数据传输、供电保障、GPS定位等方面是否正常运行；各监测设备正常运维，耗材、备件的消耗检查与更换、监测设备数据检查、初步审核；走航过程中重点污染区域的识别；走航线路规划；重点排污企业的重点监测。</w:t>
      </w:r>
    </w:p>
    <w:p>
      <w:pPr>
        <w:spacing w:line="360" w:lineRule="auto"/>
        <w:ind w:firstLine="560" w:firstLineChars="200"/>
        <w:jc w:val="left"/>
        <w:rPr>
          <w:sz w:val="28"/>
          <w:szCs w:val="28"/>
        </w:rPr>
      </w:pPr>
      <w:r>
        <w:rPr>
          <w:rFonts w:hint="eastAsia"/>
          <w:sz w:val="28"/>
          <w:szCs w:val="28"/>
        </w:rPr>
        <w:t>（3）走航监测质量控制服务：每日走航之前进行监测设备的标气校准、零点检查、设备微调等工作；定期进行多点校准、更新标准曲线等。</w:t>
      </w:r>
    </w:p>
    <w:p>
      <w:pPr>
        <w:spacing w:line="360" w:lineRule="auto"/>
        <w:ind w:firstLine="560" w:firstLineChars="200"/>
        <w:jc w:val="left"/>
        <w:rPr>
          <w:sz w:val="28"/>
          <w:szCs w:val="28"/>
        </w:rPr>
      </w:pPr>
      <w:r>
        <w:rPr>
          <w:rFonts w:hint="eastAsia"/>
          <w:sz w:val="28"/>
          <w:szCs w:val="28"/>
        </w:rPr>
        <w:t>（4）走航监测的数据分析服务：每日走航数据的审核、整理、统计分析、比对分析等工作；每次走航形成一个走航检测报告。</w:t>
      </w:r>
    </w:p>
    <w:p>
      <w:pPr>
        <w:spacing w:line="360" w:lineRule="auto"/>
        <w:ind w:firstLine="560" w:firstLineChars="200"/>
        <w:jc w:val="left"/>
        <w:rPr>
          <w:sz w:val="28"/>
          <w:szCs w:val="28"/>
        </w:rPr>
      </w:pPr>
      <w:r>
        <w:rPr>
          <w:rFonts w:hint="eastAsia"/>
          <w:sz w:val="28"/>
          <w:szCs w:val="28"/>
        </w:rPr>
        <w:t>（5）提供14个工作日的走航监测服务。</w:t>
      </w:r>
    </w:p>
    <w:p>
      <w:pPr>
        <w:spacing w:line="360" w:lineRule="auto"/>
        <w:ind w:firstLine="560" w:firstLineChars="200"/>
        <w:jc w:val="left"/>
        <w:rPr>
          <w:sz w:val="28"/>
          <w:szCs w:val="28"/>
        </w:rPr>
      </w:pPr>
      <w:r>
        <w:rPr>
          <w:rFonts w:hint="eastAsia"/>
          <w:sz w:val="28"/>
          <w:szCs w:val="28"/>
        </w:rPr>
        <w:t>（6）VOCs走航监测因子应包括PAMS清单57种挥发性有机物、除甲醛外12种</w:t>
      </w:r>
      <w:r>
        <w:rPr>
          <w:rFonts w:hint="eastAsia"/>
          <w:color w:val="000000"/>
          <w:sz w:val="27"/>
          <w:szCs w:val="27"/>
          <w:shd w:val="clear" w:color="auto" w:fill="FFFFFF"/>
        </w:rPr>
        <w:t>排放量较大或对光化学污染产生重要影响的</w:t>
      </w:r>
      <w:r>
        <w:rPr>
          <w:rFonts w:ascii="Times New Roman" w:hAnsi="Times New Roman" w:cs="Times New Roman"/>
          <w:color w:val="000000"/>
          <w:sz w:val="27"/>
          <w:szCs w:val="27"/>
          <w:shd w:val="clear" w:color="auto" w:fill="FFFFFF"/>
        </w:rPr>
        <w:t>OVOCs（</w:t>
      </w:r>
      <w:r>
        <w:rPr>
          <w:rFonts w:hint="eastAsia"/>
          <w:sz w:val="28"/>
          <w:szCs w:val="28"/>
        </w:rPr>
        <w:t>含氧挥发性有机物</w:t>
      </w:r>
      <w:r>
        <w:rPr>
          <w:rFonts w:ascii="Times New Roman" w:hAnsi="Times New Roman" w:cs="Times New Roman"/>
          <w:color w:val="000000"/>
          <w:sz w:val="27"/>
          <w:szCs w:val="27"/>
          <w:shd w:val="clear" w:color="auto" w:fill="FFFFFF"/>
        </w:rPr>
        <w:t>）</w:t>
      </w:r>
      <w:r>
        <w:rPr>
          <w:rFonts w:hint="eastAsia"/>
          <w:sz w:val="28"/>
          <w:szCs w:val="28"/>
        </w:rPr>
        <w:t>、</w:t>
      </w:r>
      <w:r>
        <w:rPr>
          <w:rFonts w:ascii="Times New Roman" w:hAnsi="Times New Roman" w:cs="Times New Roman"/>
          <w:color w:val="000000"/>
          <w:sz w:val="27"/>
          <w:szCs w:val="27"/>
          <w:shd w:val="clear" w:color="auto" w:fill="FFFFFF"/>
        </w:rPr>
        <w:t>47</w:t>
      </w:r>
      <w:r>
        <w:rPr>
          <w:rFonts w:hint="eastAsia"/>
          <w:color w:val="000000"/>
          <w:sz w:val="27"/>
          <w:szCs w:val="27"/>
          <w:shd w:val="clear" w:color="auto" w:fill="FFFFFF"/>
        </w:rPr>
        <w:t>种原</w:t>
      </w:r>
      <w:r>
        <w:rPr>
          <w:rFonts w:ascii="Times New Roman" w:hAnsi="Times New Roman" w:cs="Times New Roman"/>
          <w:color w:val="000000"/>
          <w:sz w:val="27"/>
          <w:szCs w:val="27"/>
          <w:shd w:val="clear" w:color="auto" w:fill="FFFFFF"/>
        </w:rPr>
        <w:t>PAMS</w:t>
      </w:r>
      <w:r>
        <w:rPr>
          <w:rFonts w:hint="eastAsia"/>
          <w:color w:val="000000"/>
          <w:sz w:val="27"/>
          <w:szCs w:val="27"/>
          <w:shd w:val="clear" w:color="auto" w:fill="FFFFFF"/>
        </w:rPr>
        <w:t>中未涉及的</w:t>
      </w:r>
      <w:r>
        <w:rPr>
          <w:rFonts w:ascii="Times New Roman" w:hAnsi="Times New Roman" w:cs="Times New Roman"/>
          <w:color w:val="000000"/>
          <w:sz w:val="27"/>
          <w:szCs w:val="27"/>
          <w:shd w:val="clear" w:color="auto" w:fill="FFFFFF"/>
        </w:rPr>
        <w:t>T</w:t>
      </w:r>
      <w:r>
        <w:rPr>
          <w:rFonts w:hint="eastAsia" w:ascii="Times New Roman" w:hAnsi="Times New Roman" w:cs="Times New Roman"/>
          <w:color w:val="000000"/>
          <w:sz w:val="27"/>
          <w:szCs w:val="27"/>
          <w:shd w:val="clear" w:color="auto" w:fill="FFFFFF"/>
        </w:rPr>
        <w:t>0-</w:t>
      </w:r>
      <w:r>
        <w:rPr>
          <w:rFonts w:ascii="Times New Roman" w:hAnsi="Times New Roman" w:cs="Times New Roman"/>
          <w:color w:val="000000"/>
          <w:sz w:val="27"/>
          <w:szCs w:val="27"/>
          <w:shd w:val="clear" w:color="auto" w:fill="FFFFFF"/>
        </w:rPr>
        <w:t>15</w:t>
      </w:r>
      <w:r>
        <w:rPr>
          <w:rFonts w:hint="eastAsia"/>
          <w:color w:val="000000"/>
          <w:sz w:val="27"/>
          <w:szCs w:val="27"/>
          <w:shd w:val="clear" w:color="auto" w:fill="FFFFFF"/>
        </w:rPr>
        <w:t>挥发性有机物。</w:t>
      </w:r>
    </w:p>
    <w:p>
      <w:pPr>
        <w:keepNext/>
        <w:keepLines/>
        <w:numPr>
          <w:ilvl w:val="1"/>
          <w:numId w:val="1"/>
        </w:numPr>
        <w:spacing w:before="260" w:after="260" w:line="416" w:lineRule="auto"/>
        <w:jc w:val="left"/>
        <w:outlineLvl w:val="1"/>
        <w:rPr>
          <w:rFonts w:ascii="Cambria" w:hAnsi="Cambria" w:eastAsia="宋体"/>
          <w:b/>
          <w:bCs/>
          <w:sz w:val="32"/>
          <w:szCs w:val="32"/>
        </w:rPr>
      </w:pPr>
      <w:bookmarkStart w:id="2" w:name="_Toc47612020"/>
      <w:r>
        <w:rPr>
          <w:rFonts w:hint="eastAsia" w:ascii="Cambria" w:hAnsi="Cambria" w:eastAsia="宋体"/>
          <w:b/>
          <w:bCs/>
          <w:sz w:val="32"/>
          <w:szCs w:val="32"/>
        </w:rPr>
        <w:t>挥发性有机物走航监测服务项目整体配置</w:t>
      </w:r>
      <w:bookmarkEnd w:id="2"/>
    </w:p>
    <w:tbl>
      <w:tblPr>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2065"/>
        <w:gridCol w:w="851"/>
        <w:gridCol w:w="850"/>
        <w:gridCol w:w="3878"/>
      </w:tblGrid>
      <w:tr>
        <w:tc>
          <w:tcPr>
            <w:tcW w:w="770" w:type="dxa"/>
            <w:vAlign w:val="top"/>
          </w:tcPr>
          <w:p>
            <w:pPr>
              <w:spacing w:line="360" w:lineRule="auto"/>
              <w:jc w:val="center"/>
              <w:rPr>
                <w:b/>
                <w:sz w:val="24"/>
              </w:rPr>
            </w:pPr>
            <w:r>
              <w:rPr>
                <w:rFonts w:hint="eastAsia"/>
                <w:b/>
                <w:sz w:val="24"/>
              </w:rPr>
              <w:t>序号</w:t>
            </w:r>
          </w:p>
        </w:tc>
        <w:tc>
          <w:tcPr>
            <w:tcW w:w="2065" w:type="dxa"/>
            <w:vAlign w:val="top"/>
          </w:tcPr>
          <w:p>
            <w:pPr>
              <w:spacing w:line="360" w:lineRule="auto"/>
              <w:jc w:val="center"/>
              <w:rPr>
                <w:b/>
                <w:sz w:val="24"/>
              </w:rPr>
            </w:pPr>
            <w:r>
              <w:rPr>
                <w:rFonts w:hint="eastAsia"/>
                <w:b/>
                <w:sz w:val="24"/>
              </w:rPr>
              <w:t>系统名称</w:t>
            </w:r>
          </w:p>
        </w:tc>
        <w:tc>
          <w:tcPr>
            <w:tcW w:w="851" w:type="dxa"/>
            <w:vAlign w:val="top"/>
          </w:tcPr>
          <w:p>
            <w:pPr>
              <w:spacing w:line="360" w:lineRule="auto"/>
              <w:jc w:val="center"/>
              <w:rPr>
                <w:b/>
                <w:sz w:val="24"/>
              </w:rPr>
            </w:pPr>
            <w:r>
              <w:rPr>
                <w:rFonts w:hint="eastAsia"/>
                <w:b/>
                <w:sz w:val="24"/>
              </w:rPr>
              <w:t>数量</w:t>
            </w:r>
          </w:p>
        </w:tc>
        <w:tc>
          <w:tcPr>
            <w:tcW w:w="850" w:type="dxa"/>
            <w:vAlign w:val="top"/>
          </w:tcPr>
          <w:p>
            <w:pPr>
              <w:spacing w:line="360" w:lineRule="auto"/>
              <w:jc w:val="center"/>
              <w:rPr>
                <w:b/>
                <w:sz w:val="24"/>
              </w:rPr>
            </w:pPr>
            <w:r>
              <w:rPr>
                <w:rFonts w:hint="eastAsia"/>
                <w:b/>
                <w:sz w:val="24"/>
              </w:rPr>
              <w:t>单位</w:t>
            </w:r>
          </w:p>
        </w:tc>
        <w:tc>
          <w:tcPr>
            <w:tcW w:w="3878" w:type="dxa"/>
            <w:vAlign w:val="top"/>
          </w:tcPr>
          <w:p>
            <w:pPr>
              <w:spacing w:line="360" w:lineRule="auto"/>
              <w:jc w:val="center"/>
              <w:rPr>
                <w:b/>
                <w:sz w:val="24"/>
              </w:rPr>
            </w:pPr>
            <w:r>
              <w:rPr>
                <w:rFonts w:hint="eastAsia"/>
                <w:b/>
                <w:sz w:val="24"/>
              </w:rPr>
              <w:t>说明</w:t>
            </w:r>
          </w:p>
        </w:tc>
      </w:tr>
      <w:tr>
        <w:tc>
          <w:tcPr>
            <w:tcW w:w="770" w:type="dxa"/>
            <w:vAlign w:val="center"/>
          </w:tcPr>
          <w:p>
            <w:pPr>
              <w:spacing w:line="360" w:lineRule="auto"/>
              <w:jc w:val="center"/>
              <w:rPr>
                <w:sz w:val="24"/>
              </w:rPr>
            </w:pPr>
            <w:r>
              <w:rPr>
                <w:rFonts w:hint="eastAsia"/>
                <w:sz w:val="24"/>
              </w:rPr>
              <w:t>1</w:t>
            </w:r>
          </w:p>
        </w:tc>
        <w:tc>
          <w:tcPr>
            <w:tcW w:w="2065" w:type="dxa"/>
            <w:vAlign w:val="center"/>
          </w:tcPr>
          <w:p>
            <w:pPr>
              <w:spacing w:line="360" w:lineRule="auto"/>
              <w:jc w:val="center"/>
              <w:rPr>
                <w:sz w:val="24"/>
              </w:rPr>
            </w:pPr>
            <w:r>
              <w:rPr>
                <w:rFonts w:hint="eastAsia"/>
                <w:sz w:val="24"/>
              </w:rPr>
              <w:t>VOCs走航车系统</w:t>
            </w:r>
          </w:p>
        </w:tc>
        <w:tc>
          <w:tcPr>
            <w:tcW w:w="851" w:type="dxa"/>
            <w:vAlign w:val="center"/>
          </w:tcPr>
          <w:p>
            <w:pPr>
              <w:spacing w:line="360" w:lineRule="auto"/>
              <w:jc w:val="center"/>
              <w:rPr>
                <w:sz w:val="24"/>
              </w:rPr>
            </w:pPr>
            <w:r>
              <w:rPr>
                <w:rFonts w:hint="eastAsia"/>
                <w:sz w:val="24"/>
              </w:rPr>
              <w:t>1</w:t>
            </w:r>
          </w:p>
        </w:tc>
        <w:tc>
          <w:tcPr>
            <w:tcW w:w="850" w:type="dxa"/>
            <w:vAlign w:val="center"/>
          </w:tcPr>
          <w:p>
            <w:pPr>
              <w:spacing w:line="360" w:lineRule="auto"/>
              <w:jc w:val="center"/>
              <w:rPr>
                <w:sz w:val="24"/>
              </w:rPr>
            </w:pPr>
            <w:r>
              <w:rPr>
                <w:rFonts w:hint="eastAsia"/>
                <w:sz w:val="24"/>
              </w:rPr>
              <w:t>套</w:t>
            </w:r>
          </w:p>
        </w:tc>
        <w:tc>
          <w:tcPr>
            <w:tcW w:w="3878" w:type="dxa"/>
            <w:vAlign w:val="center"/>
          </w:tcPr>
          <w:p>
            <w:pPr>
              <w:spacing w:line="360" w:lineRule="auto"/>
              <w:jc w:val="center"/>
              <w:rPr>
                <w:sz w:val="24"/>
              </w:rPr>
            </w:pPr>
            <w:r>
              <w:rPr>
                <w:rFonts w:hint="eastAsia"/>
                <w:sz w:val="24"/>
              </w:rPr>
              <w:t>包含走航车车辆、PTR-TOF监测系统、在线气相色谱质谱联用仪（GC-FID/MS）、气象六参数、质控系统等</w:t>
            </w:r>
          </w:p>
        </w:tc>
      </w:tr>
      <w:tr>
        <w:tc>
          <w:tcPr>
            <w:tcW w:w="770" w:type="dxa"/>
            <w:vAlign w:val="center"/>
          </w:tcPr>
          <w:p>
            <w:pPr>
              <w:spacing w:line="360" w:lineRule="auto"/>
              <w:jc w:val="center"/>
              <w:rPr>
                <w:sz w:val="24"/>
              </w:rPr>
            </w:pPr>
            <w:r>
              <w:rPr>
                <w:rFonts w:hint="eastAsia"/>
                <w:sz w:val="24"/>
              </w:rPr>
              <w:t>2</w:t>
            </w:r>
          </w:p>
        </w:tc>
        <w:tc>
          <w:tcPr>
            <w:tcW w:w="2065" w:type="dxa"/>
            <w:vAlign w:val="center"/>
          </w:tcPr>
          <w:p>
            <w:pPr>
              <w:spacing w:line="360" w:lineRule="auto"/>
              <w:jc w:val="center"/>
              <w:rPr>
                <w:sz w:val="24"/>
              </w:rPr>
            </w:pPr>
            <w:r>
              <w:rPr>
                <w:rFonts w:hint="eastAsia"/>
                <w:sz w:val="24"/>
              </w:rPr>
              <w:t>走航车人员配置</w:t>
            </w:r>
          </w:p>
        </w:tc>
        <w:tc>
          <w:tcPr>
            <w:tcW w:w="851" w:type="dxa"/>
            <w:vAlign w:val="center"/>
          </w:tcPr>
          <w:p>
            <w:pPr>
              <w:spacing w:line="360" w:lineRule="auto"/>
              <w:jc w:val="center"/>
              <w:rPr>
                <w:sz w:val="24"/>
              </w:rPr>
            </w:pPr>
            <w:r>
              <w:rPr>
                <w:rFonts w:hint="eastAsia"/>
                <w:sz w:val="24"/>
              </w:rPr>
              <w:t>2</w:t>
            </w:r>
          </w:p>
        </w:tc>
        <w:tc>
          <w:tcPr>
            <w:tcW w:w="850" w:type="dxa"/>
            <w:vAlign w:val="center"/>
          </w:tcPr>
          <w:p>
            <w:pPr>
              <w:spacing w:line="360" w:lineRule="auto"/>
              <w:jc w:val="center"/>
              <w:rPr>
                <w:sz w:val="24"/>
              </w:rPr>
            </w:pPr>
            <w:r>
              <w:rPr>
                <w:rFonts w:hint="eastAsia"/>
                <w:sz w:val="24"/>
              </w:rPr>
              <w:t>人</w:t>
            </w:r>
          </w:p>
        </w:tc>
        <w:tc>
          <w:tcPr>
            <w:tcW w:w="3878" w:type="dxa"/>
            <w:vAlign w:val="center"/>
          </w:tcPr>
          <w:p>
            <w:pPr>
              <w:spacing w:line="360" w:lineRule="auto"/>
              <w:jc w:val="center"/>
              <w:rPr>
                <w:sz w:val="24"/>
              </w:rPr>
            </w:pPr>
            <w:r>
              <w:rPr>
                <w:rFonts w:hint="eastAsia"/>
                <w:sz w:val="24"/>
              </w:rPr>
              <w:t>1个专职司机、1个专职走航运维人员</w:t>
            </w:r>
          </w:p>
        </w:tc>
      </w:tr>
      <w:tr>
        <w:tc>
          <w:tcPr>
            <w:tcW w:w="770" w:type="dxa"/>
            <w:vAlign w:val="center"/>
          </w:tcPr>
          <w:p>
            <w:pPr>
              <w:spacing w:line="360" w:lineRule="auto"/>
              <w:jc w:val="center"/>
              <w:rPr>
                <w:sz w:val="24"/>
              </w:rPr>
            </w:pPr>
            <w:r>
              <w:rPr>
                <w:rFonts w:hint="eastAsia"/>
                <w:sz w:val="24"/>
              </w:rPr>
              <w:t>3</w:t>
            </w:r>
          </w:p>
        </w:tc>
        <w:tc>
          <w:tcPr>
            <w:tcW w:w="2065" w:type="dxa"/>
            <w:vAlign w:val="center"/>
          </w:tcPr>
          <w:p>
            <w:pPr>
              <w:spacing w:line="360" w:lineRule="auto"/>
              <w:jc w:val="center"/>
              <w:rPr>
                <w:sz w:val="24"/>
              </w:rPr>
            </w:pPr>
            <w:r>
              <w:rPr>
                <w:rFonts w:hint="eastAsia"/>
                <w:sz w:val="24"/>
              </w:rPr>
              <w:t>平台维护与数据分析配置</w:t>
            </w:r>
          </w:p>
        </w:tc>
        <w:tc>
          <w:tcPr>
            <w:tcW w:w="851" w:type="dxa"/>
            <w:vAlign w:val="center"/>
          </w:tcPr>
          <w:p>
            <w:pPr>
              <w:spacing w:line="360" w:lineRule="auto"/>
              <w:jc w:val="center"/>
              <w:rPr>
                <w:sz w:val="24"/>
              </w:rPr>
            </w:pPr>
            <w:r>
              <w:rPr>
                <w:rFonts w:hint="eastAsia"/>
                <w:sz w:val="24"/>
              </w:rPr>
              <w:t>2</w:t>
            </w:r>
          </w:p>
        </w:tc>
        <w:tc>
          <w:tcPr>
            <w:tcW w:w="850" w:type="dxa"/>
            <w:vAlign w:val="center"/>
          </w:tcPr>
          <w:p>
            <w:pPr>
              <w:spacing w:line="360" w:lineRule="auto"/>
              <w:jc w:val="center"/>
              <w:rPr>
                <w:sz w:val="24"/>
              </w:rPr>
            </w:pPr>
            <w:r>
              <w:rPr>
                <w:rFonts w:hint="eastAsia"/>
                <w:sz w:val="24"/>
              </w:rPr>
              <w:t>人</w:t>
            </w:r>
          </w:p>
        </w:tc>
        <w:tc>
          <w:tcPr>
            <w:tcW w:w="3878" w:type="dxa"/>
            <w:vAlign w:val="center"/>
          </w:tcPr>
          <w:p>
            <w:pPr>
              <w:spacing w:line="360" w:lineRule="auto"/>
              <w:jc w:val="center"/>
              <w:rPr>
                <w:sz w:val="24"/>
              </w:rPr>
            </w:pPr>
            <w:r>
              <w:rPr>
                <w:rFonts w:hint="eastAsia"/>
                <w:sz w:val="24"/>
              </w:rPr>
              <w:t>平台后台维护1人，数据分析人员1人</w:t>
            </w:r>
          </w:p>
        </w:tc>
      </w:tr>
      <w:tr>
        <w:tc>
          <w:tcPr>
            <w:tcW w:w="770" w:type="dxa"/>
            <w:vAlign w:val="center"/>
          </w:tcPr>
          <w:p>
            <w:pPr>
              <w:spacing w:line="360" w:lineRule="auto"/>
              <w:jc w:val="center"/>
              <w:rPr>
                <w:sz w:val="24"/>
              </w:rPr>
            </w:pPr>
            <w:r>
              <w:rPr>
                <w:rFonts w:hint="eastAsia"/>
                <w:sz w:val="24"/>
              </w:rPr>
              <w:t>4</w:t>
            </w:r>
          </w:p>
        </w:tc>
        <w:tc>
          <w:tcPr>
            <w:tcW w:w="2065" w:type="dxa"/>
            <w:vAlign w:val="center"/>
          </w:tcPr>
          <w:p>
            <w:pPr>
              <w:spacing w:line="360" w:lineRule="auto"/>
              <w:jc w:val="center"/>
              <w:rPr>
                <w:sz w:val="24"/>
              </w:rPr>
            </w:pPr>
            <w:r>
              <w:rPr>
                <w:rFonts w:hint="eastAsia"/>
                <w:sz w:val="24"/>
              </w:rPr>
              <w:t>项目经理</w:t>
            </w:r>
          </w:p>
        </w:tc>
        <w:tc>
          <w:tcPr>
            <w:tcW w:w="851" w:type="dxa"/>
            <w:vAlign w:val="center"/>
          </w:tcPr>
          <w:p>
            <w:pPr>
              <w:spacing w:line="360" w:lineRule="auto"/>
              <w:jc w:val="center"/>
              <w:rPr>
                <w:sz w:val="24"/>
              </w:rPr>
            </w:pPr>
            <w:r>
              <w:rPr>
                <w:rFonts w:hint="eastAsia"/>
                <w:sz w:val="24"/>
              </w:rPr>
              <w:t>1</w:t>
            </w:r>
          </w:p>
        </w:tc>
        <w:tc>
          <w:tcPr>
            <w:tcW w:w="850" w:type="dxa"/>
            <w:vAlign w:val="center"/>
          </w:tcPr>
          <w:p>
            <w:pPr>
              <w:spacing w:line="360" w:lineRule="auto"/>
              <w:jc w:val="center"/>
              <w:rPr>
                <w:sz w:val="24"/>
              </w:rPr>
            </w:pPr>
            <w:r>
              <w:rPr>
                <w:rFonts w:hint="eastAsia"/>
                <w:sz w:val="24"/>
              </w:rPr>
              <w:t>人</w:t>
            </w:r>
          </w:p>
        </w:tc>
        <w:tc>
          <w:tcPr>
            <w:tcW w:w="3878" w:type="dxa"/>
            <w:vAlign w:val="center"/>
          </w:tcPr>
          <w:p>
            <w:pPr>
              <w:spacing w:line="360" w:lineRule="auto"/>
              <w:jc w:val="center"/>
              <w:rPr>
                <w:sz w:val="24"/>
              </w:rPr>
            </w:pPr>
            <w:r>
              <w:rPr>
                <w:rFonts w:hint="eastAsia"/>
                <w:sz w:val="24"/>
              </w:rPr>
              <w:t>组织、协调走航项目的人员、路线等</w:t>
            </w:r>
          </w:p>
        </w:tc>
      </w:tr>
    </w:tbl>
    <w:p/>
    <w:p>
      <w:pPr>
        <w:pStyle w:val="5"/>
      </w:pPr>
      <w:r>
        <w:rPr>
          <w:rFonts w:hint="eastAsia"/>
        </w:rPr>
        <w:t>挥发性有机物走航监测服务结果</w:t>
      </w:r>
    </w:p>
    <w:p>
      <w:pPr>
        <w:pStyle w:val="25"/>
        <w:numPr>
          <w:ilvl w:val="0"/>
          <w:numId w:val="2"/>
        </w:numPr>
        <w:ind w:firstLineChars="0"/>
        <w:rPr>
          <w:szCs w:val="24"/>
        </w:rPr>
      </w:pPr>
      <w:r>
        <w:rPr>
          <w:rFonts w:hint="eastAsia"/>
          <w:szCs w:val="24"/>
        </w:rPr>
        <w:t>服务报告的形式：走航监测服务的结果以服务报告的形式表示。报告包括日报、周报、项目总结性报告。</w:t>
      </w:r>
    </w:p>
    <w:p>
      <w:pPr>
        <w:pStyle w:val="25"/>
        <w:numPr>
          <w:ilvl w:val="0"/>
          <w:numId w:val="2"/>
        </w:numPr>
        <w:ind w:firstLineChars="0"/>
        <w:rPr>
          <w:szCs w:val="24"/>
        </w:rPr>
      </w:pPr>
      <w:r>
        <w:rPr>
          <w:rFonts w:hint="eastAsia"/>
          <w:szCs w:val="24"/>
        </w:rPr>
        <w:t>服务报告的内容至少包含：</w:t>
      </w:r>
    </w:p>
    <w:p>
      <w:pPr>
        <w:spacing w:line="360" w:lineRule="auto"/>
        <w:jc w:val="left"/>
        <w:rPr>
          <w:rFonts w:ascii="宋体" w:hAnsi="宋体"/>
          <w:sz w:val="24"/>
          <w:szCs w:val="24"/>
        </w:rPr>
      </w:pPr>
      <w:r>
        <w:rPr>
          <w:rFonts w:hint="eastAsia" w:ascii="宋体" w:hAnsi="宋体"/>
          <w:sz w:val="24"/>
          <w:szCs w:val="24"/>
        </w:rPr>
        <w:t>（1）</w:t>
      </w:r>
      <w:r>
        <w:rPr>
          <w:rFonts w:hint="eastAsia" w:ascii="宋体" w:hAnsi="宋体"/>
          <w:sz w:val="24"/>
          <w:szCs w:val="24"/>
        </w:rPr>
        <w:tab/>
      </w:r>
      <w:r>
        <w:rPr>
          <w:rFonts w:hint="eastAsia" w:ascii="宋体" w:hAnsi="宋体"/>
          <w:sz w:val="24"/>
          <w:szCs w:val="24"/>
        </w:rPr>
        <w:t>挥发性有机物走航监测结果及空间分布</w:t>
      </w:r>
    </w:p>
    <w:p>
      <w:pPr>
        <w:spacing w:line="360" w:lineRule="auto"/>
        <w:jc w:val="left"/>
        <w:rPr>
          <w:rFonts w:ascii="宋体" w:hAnsi="宋体"/>
          <w:sz w:val="24"/>
          <w:szCs w:val="24"/>
        </w:rPr>
      </w:pPr>
      <w:r>
        <w:rPr>
          <w:rFonts w:hint="eastAsia" w:ascii="宋体" w:hAnsi="宋体"/>
          <w:sz w:val="24"/>
          <w:szCs w:val="24"/>
        </w:rPr>
        <w:t>（2）</w:t>
      </w:r>
      <w:r>
        <w:rPr>
          <w:rFonts w:hint="eastAsia" w:ascii="宋体" w:hAnsi="宋体"/>
          <w:sz w:val="24"/>
          <w:szCs w:val="24"/>
        </w:rPr>
        <w:tab/>
      </w:r>
      <w:r>
        <w:rPr>
          <w:rFonts w:hint="eastAsia" w:ascii="宋体" w:hAnsi="宋体"/>
          <w:sz w:val="24"/>
          <w:szCs w:val="24"/>
        </w:rPr>
        <w:t>区域挥发性有机物特征组分分析</w:t>
      </w:r>
    </w:p>
    <w:p>
      <w:pPr>
        <w:spacing w:line="360" w:lineRule="auto"/>
        <w:jc w:val="left"/>
        <w:rPr>
          <w:rFonts w:ascii="宋体" w:hAnsi="宋体"/>
          <w:sz w:val="24"/>
          <w:szCs w:val="24"/>
        </w:rPr>
      </w:pPr>
      <w:r>
        <w:rPr>
          <w:rFonts w:hint="eastAsia" w:ascii="宋体" w:hAnsi="宋体"/>
          <w:sz w:val="24"/>
          <w:szCs w:val="24"/>
        </w:rPr>
        <w:t>（3）</w:t>
      </w:r>
      <w:r>
        <w:rPr>
          <w:rFonts w:hint="eastAsia" w:ascii="宋体" w:hAnsi="宋体"/>
          <w:sz w:val="24"/>
          <w:szCs w:val="24"/>
        </w:rPr>
        <w:tab/>
      </w:r>
      <w:r>
        <w:rPr>
          <w:rFonts w:hint="eastAsia" w:ascii="宋体" w:hAnsi="宋体"/>
          <w:sz w:val="24"/>
          <w:szCs w:val="24"/>
        </w:rPr>
        <w:t>区域高值点位及异常点位排查情况</w:t>
      </w:r>
    </w:p>
    <w:p>
      <w:pPr>
        <w:spacing w:line="360" w:lineRule="auto"/>
        <w:jc w:val="left"/>
        <w:rPr>
          <w:rFonts w:ascii="宋体" w:hAnsi="宋体"/>
          <w:sz w:val="24"/>
          <w:szCs w:val="24"/>
        </w:rPr>
      </w:pPr>
      <w:r>
        <w:rPr>
          <w:rFonts w:hint="eastAsia" w:ascii="宋体" w:hAnsi="宋体"/>
          <w:sz w:val="24"/>
          <w:szCs w:val="24"/>
        </w:rPr>
        <w:t>（4）  臭氧生成潜势模型分析</w:t>
      </w:r>
    </w:p>
    <w:p>
      <w:pPr>
        <w:spacing w:line="360" w:lineRule="auto"/>
        <w:jc w:val="left"/>
        <w:rPr>
          <w:rFonts w:ascii="宋体" w:hAnsi="宋体"/>
          <w:sz w:val="24"/>
          <w:szCs w:val="24"/>
        </w:rPr>
      </w:pPr>
      <w:r>
        <w:rPr>
          <w:rFonts w:hint="eastAsia" w:ascii="宋体" w:hAnsi="宋体"/>
          <w:sz w:val="24"/>
          <w:szCs w:val="24"/>
        </w:rPr>
        <w:t>（5） 臭氧及二次气溶胶控制重点组分分析</w:t>
      </w:r>
    </w:p>
    <w:p>
      <w:pPr>
        <w:spacing w:line="360" w:lineRule="auto"/>
        <w:jc w:val="left"/>
        <w:rPr>
          <w:rFonts w:ascii="宋体" w:hAnsi="宋体"/>
          <w:sz w:val="24"/>
          <w:szCs w:val="24"/>
        </w:rPr>
      </w:pPr>
    </w:p>
    <w:p>
      <w:pPr>
        <w:pStyle w:val="5"/>
      </w:pPr>
      <w:r>
        <w:rPr>
          <w:rFonts w:hint="eastAsia"/>
        </w:rPr>
        <w:t>挥发性有机物走航监测车车辆配置要求</w:t>
      </w:r>
    </w:p>
    <w:tbl>
      <w:tblPr>
        <w:tblW w:w="827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843"/>
        <w:gridCol w:w="3829"/>
        <w:gridCol w:w="849"/>
        <w:gridCol w:w="900"/>
      </w:tblGrid>
      <w:tr>
        <w:tc>
          <w:tcPr>
            <w:tcW w:w="849" w:type="dxa"/>
            <w:vAlign w:val="top"/>
          </w:tcPr>
          <w:p>
            <w:pPr>
              <w:spacing w:line="276" w:lineRule="auto"/>
              <w:jc w:val="center"/>
              <w:rPr>
                <w:b/>
                <w:sz w:val="24"/>
              </w:rPr>
            </w:pPr>
            <w:r>
              <w:rPr>
                <w:rFonts w:hint="eastAsia"/>
                <w:b/>
                <w:sz w:val="24"/>
              </w:rPr>
              <w:t>序号</w:t>
            </w:r>
          </w:p>
        </w:tc>
        <w:tc>
          <w:tcPr>
            <w:tcW w:w="1843" w:type="dxa"/>
            <w:vAlign w:val="top"/>
          </w:tcPr>
          <w:p>
            <w:pPr>
              <w:spacing w:line="276" w:lineRule="auto"/>
              <w:jc w:val="center"/>
              <w:rPr>
                <w:b/>
                <w:sz w:val="24"/>
              </w:rPr>
            </w:pPr>
            <w:r>
              <w:rPr>
                <w:rFonts w:hint="eastAsia"/>
                <w:b/>
                <w:sz w:val="24"/>
              </w:rPr>
              <w:t>功能模块</w:t>
            </w:r>
          </w:p>
        </w:tc>
        <w:tc>
          <w:tcPr>
            <w:tcW w:w="3829" w:type="dxa"/>
            <w:vAlign w:val="top"/>
          </w:tcPr>
          <w:p>
            <w:pPr>
              <w:spacing w:line="276" w:lineRule="auto"/>
              <w:jc w:val="center"/>
              <w:rPr>
                <w:b/>
                <w:sz w:val="24"/>
              </w:rPr>
            </w:pPr>
            <w:r>
              <w:rPr>
                <w:rFonts w:hint="eastAsia"/>
                <w:b/>
                <w:sz w:val="24"/>
              </w:rPr>
              <w:t>配置名称</w:t>
            </w:r>
          </w:p>
        </w:tc>
        <w:tc>
          <w:tcPr>
            <w:tcW w:w="849" w:type="dxa"/>
            <w:vAlign w:val="top"/>
          </w:tcPr>
          <w:p>
            <w:pPr>
              <w:spacing w:line="276" w:lineRule="auto"/>
              <w:jc w:val="center"/>
              <w:rPr>
                <w:b/>
                <w:sz w:val="24"/>
              </w:rPr>
            </w:pPr>
            <w:r>
              <w:rPr>
                <w:rFonts w:hint="eastAsia"/>
                <w:b/>
                <w:sz w:val="24"/>
              </w:rPr>
              <w:t>数量</w:t>
            </w:r>
          </w:p>
        </w:tc>
        <w:tc>
          <w:tcPr>
            <w:tcW w:w="900" w:type="dxa"/>
            <w:vAlign w:val="top"/>
          </w:tcPr>
          <w:p>
            <w:pPr>
              <w:spacing w:line="276" w:lineRule="auto"/>
              <w:jc w:val="center"/>
              <w:rPr>
                <w:b/>
                <w:sz w:val="24"/>
              </w:rPr>
            </w:pPr>
            <w:r>
              <w:rPr>
                <w:rFonts w:hint="eastAsia"/>
                <w:b/>
                <w:sz w:val="24"/>
              </w:rPr>
              <w:t>单位</w:t>
            </w:r>
          </w:p>
        </w:tc>
      </w:tr>
      <w:tr>
        <w:tc>
          <w:tcPr>
            <w:tcW w:w="849" w:type="dxa"/>
            <w:vMerge w:val="restart"/>
            <w:vAlign w:val="center"/>
          </w:tcPr>
          <w:p>
            <w:pPr>
              <w:spacing w:line="276" w:lineRule="auto"/>
              <w:jc w:val="center"/>
              <w:rPr>
                <w:color w:val="000000"/>
                <w:sz w:val="24"/>
              </w:rPr>
            </w:pPr>
            <w:r>
              <w:rPr>
                <w:rFonts w:hint="eastAsia"/>
                <w:color w:val="000000"/>
                <w:sz w:val="24"/>
              </w:rPr>
              <w:t>1</w:t>
            </w:r>
          </w:p>
        </w:tc>
        <w:tc>
          <w:tcPr>
            <w:tcW w:w="1843" w:type="dxa"/>
            <w:vMerge w:val="restart"/>
            <w:vAlign w:val="center"/>
          </w:tcPr>
          <w:p>
            <w:pPr>
              <w:spacing w:line="276" w:lineRule="auto"/>
              <w:jc w:val="center"/>
              <w:rPr>
                <w:color w:val="FF0000"/>
                <w:sz w:val="24"/>
              </w:rPr>
            </w:pPr>
            <w:r>
              <w:rPr>
                <w:rFonts w:hint="eastAsia"/>
                <w:color w:val="000000"/>
                <w:sz w:val="24"/>
              </w:rPr>
              <w:t>车辆、配套及改装</w:t>
            </w:r>
          </w:p>
        </w:tc>
        <w:tc>
          <w:tcPr>
            <w:tcW w:w="3829" w:type="dxa"/>
            <w:vAlign w:val="center"/>
          </w:tcPr>
          <w:p>
            <w:pPr>
              <w:spacing w:line="276" w:lineRule="auto"/>
              <w:jc w:val="center"/>
              <w:rPr>
                <w:sz w:val="24"/>
              </w:rPr>
            </w:pPr>
            <w:r>
              <w:rPr>
                <w:rFonts w:hint="eastAsia"/>
                <w:sz w:val="24"/>
              </w:rPr>
              <w:t>车辆改装：车长5.7m，蓝牌，包含空调/固定/减震/车辆保险/购置税等</w:t>
            </w:r>
          </w:p>
        </w:tc>
        <w:tc>
          <w:tcPr>
            <w:tcW w:w="849" w:type="dxa"/>
            <w:vAlign w:val="center"/>
          </w:tcPr>
          <w:p>
            <w:pPr>
              <w:spacing w:line="276" w:lineRule="auto"/>
              <w:jc w:val="center"/>
              <w:rPr>
                <w:color w:val="000000"/>
                <w:sz w:val="24"/>
              </w:rPr>
            </w:pPr>
            <w:r>
              <w:rPr>
                <w:rFonts w:hint="eastAsia"/>
                <w:color w:val="000000"/>
                <w:sz w:val="24"/>
              </w:rPr>
              <w:t>1</w:t>
            </w:r>
          </w:p>
        </w:tc>
        <w:tc>
          <w:tcPr>
            <w:tcW w:w="900" w:type="dxa"/>
            <w:vAlign w:val="center"/>
          </w:tcPr>
          <w:p>
            <w:pPr>
              <w:spacing w:line="276" w:lineRule="auto"/>
              <w:jc w:val="center"/>
              <w:rPr>
                <w:color w:val="000000"/>
                <w:sz w:val="24"/>
              </w:rPr>
            </w:pPr>
            <w:r>
              <w:rPr>
                <w:rFonts w:hint="eastAsia"/>
                <w:color w:val="000000"/>
                <w:sz w:val="24"/>
              </w:rPr>
              <w:t>套</w:t>
            </w:r>
          </w:p>
        </w:tc>
      </w:tr>
      <w:tr>
        <w:tc>
          <w:tcPr>
            <w:tcW w:w="849" w:type="dxa"/>
            <w:vMerge w:val="continue"/>
            <w:vAlign w:val="center"/>
          </w:tcPr>
          <w:p>
            <w:pPr>
              <w:spacing w:line="276" w:lineRule="auto"/>
              <w:jc w:val="center"/>
              <w:rPr>
                <w:color w:val="FF0000"/>
                <w:sz w:val="24"/>
              </w:rPr>
            </w:pPr>
          </w:p>
        </w:tc>
        <w:tc>
          <w:tcPr>
            <w:tcW w:w="1843" w:type="dxa"/>
            <w:vMerge w:val="continue"/>
            <w:vAlign w:val="center"/>
          </w:tcPr>
          <w:p>
            <w:pPr>
              <w:spacing w:line="276" w:lineRule="auto"/>
              <w:jc w:val="center"/>
              <w:rPr>
                <w:color w:val="FF0000"/>
                <w:sz w:val="24"/>
              </w:rPr>
            </w:pPr>
          </w:p>
        </w:tc>
        <w:tc>
          <w:tcPr>
            <w:tcW w:w="3829" w:type="dxa"/>
            <w:vAlign w:val="center"/>
          </w:tcPr>
          <w:p>
            <w:pPr>
              <w:spacing w:line="276" w:lineRule="auto"/>
              <w:jc w:val="center"/>
              <w:rPr>
                <w:sz w:val="24"/>
              </w:rPr>
            </w:pPr>
            <w:r>
              <w:rPr>
                <w:rFonts w:hint="eastAsia"/>
                <w:sz w:val="24"/>
              </w:rPr>
              <w:t>电池，保证8小时持续走航监测能力</w:t>
            </w:r>
          </w:p>
        </w:tc>
        <w:tc>
          <w:tcPr>
            <w:tcW w:w="849" w:type="dxa"/>
            <w:vAlign w:val="center"/>
          </w:tcPr>
          <w:p>
            <w:pPr>
              <w:spacing w:line="276" w:lineRule="auto"/>
              <w:jc w:val="center"/>
              <w:rPr>
                <w:color w:val="000000"/>
                <w:sz w:val="24"/>
              </w:rPr>
            </w:pPr>
            <w:r>
              <w:rPr>
                <w:rFonts w:hint="eastAsia"/>
                <w:color w:val="000000"/>
                <w:sz w:val="24"/>
              </w:rPr>
              <w:t>1</w:t>
            </w:r>
          </w:p>
        </w:tc>
        <w:tc>
          <w:tcPr>
            <w:tcW w:w="900" w:type="dxa"/>
            <w:vAlign w:val="center"/>
          </w:tcPr>
          <w:p>
            <w:pPr>
              <w:spacing w:line="276" w:lineRule="auto"/>
              <w:jc w:val="center"/>
              <w:rPr>
                <w:color w:val="000000"/>
                <w:sz w:val="24"/>
              </w:rPr>
            </w:pPr>
            <w:r>
              <w:rPr>
                <w:rFonts w:hint="eastAsia"/>
                <w:color w:val="000000"/>
                <w:sz w:val="24"/>
              </w:rPr>
              <w:t>套</w:t>
            </w:r>
          </w:p>
        </w:tc>
      </w:tr>
      <w:tr>
        <w:tc>
          <w:tcPr>
            <w:tcW w:w="849" w:type="dxa"/>
            <w:vMerge w:val="continue"/>
            <w:vAlign w:val="center"/>
          </w:tcPr>
          <w:p>
            <w:pPr>
              <w:spacing w:line="276" w:lineRule="auto"/>
              <w:jc w:val="center"/>
              <w:rPr>
                <w:color w:val="FF0000"/>
                <w:sz w:val="24"/>
              </w:rPr>
            </w:pPr>
          </w:p>
        </w:tc>
        <w:tc>
          <w:tcPr>
            <w:tcW w:w="1843" w:type="dxa"/>
            <w:vMerge w:val="continue"/>
            <w:vAlign w:val="center"/>
          </w:tcPr>
          <w:p>
            <w:pPr>
              <w:spacing w:line="276" w:lineRule="auto"/>
              <w:jc w:val="center"/>
              <w:rPr>
                <w:color w:val="FF0000"/>
                <w:sz w:val="24"/>
              </w:rPr>
            </w:pPr>
          </w:p>
        </w:tc>
        <w:tc>
          <w:tcPr>
            <w:tcW w:w="3829" w:type="dxa"/>
            <w:vAlign w:val="center"/>
          </w:tcPr>
          <w:p>
            <w:pPr>
              <w:spacing w:line="276" w:lineRule="auto"/>
              <w:jc w:val="center"/>
              <w:rPr>
                <w:sz w:val="24"/>
              </w:rPr>
            </w:pPr>
            <w:r>
              <w:rPr>
                <w:rFonts w:hint="eastAsia"/>
                <w:sz w:val="24"/>
              </w:rPr>
              <w:t>车载GPS</w:t>
            </w:r>
          </w:p>
        </w:tc>
        <w:tc>
          <w:tcPr>
            <w:tcW w:w="849" w:type="dxa"/>
            <w:vAlign w:val="center"/>
          </w:tcPr>
          <w:p>
            <w:pPr>
              <w:spacing w:line="276" w:lineRule="auto"/>
              <w:jc w:val="center"/>
              <w:rPr>
                <w:color w:val="000000"/>
                <w:sz w:val="24"/>
              </w:rPr>
            </w:pPr>
            <w:r>
              <w:rPr>
                <w:rFonts w:hint="eastAsia"/>
                <w:color w:val="000000"/>
                <w:sz w:val="24"/>
              </w:rPr>
              <w:t>1</w:t>
            </w:r>
          </w:p>
        </w:tc>
        <w:tc>
          <w:tcPr>
            <w:tcW w:w="900" w:type="dxa"/>
            <w:vAlign w:val="center"/>
          </w:tcPr>
          <w:p>
            <w:pPr>
              <w:spacing w:line="276" w:lineRule="auto"/>
              <w:jc w:val="center"/>
              <w:rPr>
                <w:color w:val="000000"/>
                <w:sz w:val="24"/>
              </w:rPr>
            </w:pPr>
            <w:r>
              <w:rPr>
                <w:rFonts w:hint="eastAsia"/>
                <w:color w:val="000000"/>
                <w:sz w:val="24"/>
              </w:rPr>
              <w:t>套</w:t>
            </w:r>
          </w:p>
        </w:tc>
      </w:tr>
      <w:tr>
        <w:tc>
          <w:tcPr>
            <w:tcW w:w="849" w:type="dxa"/>
            <w:vMerge w:val="continue"/>
            <w:vAlign w:val="center"/>
          </w:tcPr>
          <w:p>
            <w:pPr>
              <w:spacing w:line="276" w:lineRule="auto"/>
              <w:jc w:val="center"/>
              <w:rPr>
                <w:color w:val="FF0000"/>
                <w:sz w:val="24"/>
              </w:rPr>
            </w:pPr>
          </w:p>
        </w:tc>
        <w:tc>
          <w:tcPr>
            <w:tcW w:w="1843" w:type="dxa"/>
            <w:vMerge w:val="continue"/>
            <w:vAlign w:val="center"/>
          </w:tcPr>
          <w:p>
            <w:pPr>
              <w:spacing w:line="276" w:lineRule="auto"/>
              <w:jc w:val="center"/>
              <w:rPr>
                <w:color w:val="FF0000"/>
                <w:sz w:val="24"/>
              </w:rPr>
            </w:pPr>
          </w:p>
        </w:tc>
        <w:tc>
          <w:tcPr>
            <w:tcW w:w="3829" w:type="dxa"/>
            <w:vAlign w:val="center"/>
          </w:tcPr>
          <w:p>
            <w:pPr>
              <w:spacing w:line="276" w:lineRule="auto"/>
              <w:jc w:val="center"/>
              <w:rPr>
                <w:sz w:val="24"/>
              </w:rPr>
            </w:pPr>
            <w:r>
              <w:rPr>
                <w:rFonts w:hint="eastAsia"/>
                <w:sz w:val="24"/>
              </w:rPr>
              <w:t>车载采样系统</w:t>
            </w:r>
          </w:p>
        </w:tc>
        <w:tc>
          <w:tcPr>
            <w:tcW w:w="849" w:type="dxa"/>
            <w:vAlign w:val="center"/>
          </w:tcPr>
          <w:p>
            <w:pPr>
              <w:spacing w:line="276" w:lineRule="auto"/>
              <w:jc w:val="center"/>
              <w:rPr>
                <w:color w:val="000000"/>
                <w:sz w:val="24"/>
              </w:rPr>
            </w:pPr>
            <w:r>
              <w:rPr>
                <w:rFonts w:hint="eastAsia"/>
                <w:color w:val="000000"/>
                <w:sz w:val="24"/>
              </w:rPr>
              <w:t>1</w:t>
            </w:r>
          </w:p>
        </w:tc>
        <w:tc>
          <w:tcPr>
            <w:tcW w:w="900" w:type="dxa"/>
            <w:vAlign w:val="center"/>
          </w:tcPr>
          <w:p>
            <w:pPr>
              <w:spacing w:line="276" w:lineRule="auto"/>
              <w:jc w:val="center"/>
              <w:rPr>
                <w:color w:val="000000"/>
                <w:sz w:val="24"/>
              </w:rPr>
            </w:pPr>
            <w:r>
              <w:rPr>
                <w:rFonts w:hint="eastAsia"/>
                <w:color w:val="000000"/>
                <w:sz w:val="24"/>
              </w:rPr>
              <w:t>套</w:t>
            </w:r>
          </w:p>
        </w:tc>
      </w:tr>
      <w:tr>
        <w:tc>
          <w:tcPr>
            <w:tcW w:w="849" w:type="dxa"/>
            <w:vMerge w:val="continue"/>
            <w:vAlign w:val="center"/>
          </w:tcPr>
          <w:p>
            <w:pPr>
              <w:spacing w:line="276" w:lineRule="auto"/>
              <w:jc w:val="center"/>
              <w:rPr>
                <w:color w:val="FF0000"/>
                <w:sz w:val="24"/>
              </w:rPr>
            </w:pPr>
          </w:p>
        </w:tc>
        <w:tc>
          <w:tcPr>
            <w:tcW w:w="1843" w:type="dxa"/>
            <w:vMerge w:val="continue"/>
            <w:vAlign w:val="center"/>
          </w:tcPr>
          <w:p>
            <w:pPr>
              <w:spacing w:line="276" w:lineRule="auto"/>
              <w:jc w:val="center"/>
              <w:rPr>
                <w:color w:val="FF0000"/>
                <w:sz w:val="24"/>
              </w:rPr>
            </w:pPr>
          </w:p>
        </w:tc>
        <w:tc>
          <w:tcPr>
            <w:tcW w:w="3829" w:type="dxa"/>
            <w:vAlign w:val="center"/>
          </w:tcPr>
          <w:p>
            <w:pPr>
              <w:spacing w:line="276" w:lineRule="auto"/>
              <w:jc w:val="center"/>
              <w:rPr>
                <w:sz w:val="24"/>
              </w:rPr>
            </w:pPr>
            <w:r>
              <w:rPr>
                <w:rFonts w:hint="eastAsia"/>
                <w:sz w:val="24"/>
              </w:rPr>
              <w:t>中控电脑、显示屏等配套</w:t>
            </w:r>
          </w:p>
        </w:tc>
        <w:tc>
          <w:tcPr>
            <w:tcW w:w="849" w:type="dxa"/>
            <w:vAlign w:val="center"/>
          </w:tcPr>
          <w:p>
            <w:pPr>
              <w:spacing w:line="276" w:lineRule="auto"/>
              <w:jc w:val="center"/>
              <w:rPr>
                <w:color w:val="000000"/>
                <w:sz w:val="24"/>
              </w:rPr>
            </w:pPr>
            <w:r>
              <w:rPr>
                <w:rFonts w:hint="eastAsia"/>
                <w:color w:val="000000"/>
                <w:sz w:val="24"/>
              </w:rPr>
              <w:t>1</w:t>
            </w:r>
          </w:p>
        </w:tc>
        <w:tc>
          <w:tcPr>
            <w:tcW w:w="900" w:type="dxa"/>
            <w:vAlign w:val="center"/>
          </w:tcPr>
          <w:p>
            <w:pPr>
              <w:spacing w:line="276" w:lineRule="auto"/>
              <w:jc w:val="center"/>
              <w:rPr>
                <w:color w:val="000000"/>
                <w:sz w:val="24"/>
              </w:rPr>
            </w:pPr>
            <w:r>
              <w:rPr>
                <w:rFonts w:hint="eastAsia"/>
                <w:color w:val="000000"/>
                <w:sz w:val="24"/>
              </w:rPr>
              <w:t>套</w:t>
            </w:r>
          </w:p>
        </w:tc>
      </w:tr>
      <w:tr>
        <w:tc>
          <w:tcPr>
            <w:tcW w:w="849" w:type="dxa"/>
            <w:vMerge w:val="continue"/>
            <w:vAlign w:val="center"/>
          </w:tcPr>
          <w:p>
            <w:pPr>
              <w:spacing w:line="276" w:lineRule="auto"/>
              <w:jc w:val="center"/>
              <w:rPr>
                <w:color w:val="FF0000"/>
                <w:sz w:val="24"/>
              </w:rPr>
            </w:pPr>
          </w:p>
        </w:tc>
        <w:tc>
          <w:tcPr>
            <w:tcW w:w="1843" w:type="dxa"/>
            <w:vMerge w:val="continue"/>
            <w:vAlign w:val="center"/>
          </w:tcPr>
          <w:p>
            <w:pPr>
              <w:spacing w:line="276" w:lineRule="auto"/>
              <w:jc w:val="center"/>
              <w:rPr>
                <w:color w:val="FF0000"/>
                <w:sz w:val="24"/>
              </w:rPr>
            </w:pPr>
          </w:p>
        </w:tc>
        <w:tc>
          <w:tcPr>
            <w:tcW w:w="3829" w:type="dxa"/>
            <w:vAlign w:val="center"/>
          </w:tcPr>
          <w:p>
            <w:pPr>
              <w:spacing w:line="276" w:lineRule="auto"/>
              <w:jc w:val="center"/>
              <w:rPr>
                <w:sz w:val="24"/>
              </w:rPr>
            </w:pPr>
            <w:r>
              <w:rPr>
                <w:rFonts w:hint="eastAsia"/>
                <w:sz w:val="24"/>
              </w:rPr>
              <w:t>路由器</w:t>
            </w:r>
          </w:p>
        </w:tc>
        <w:tc>
          <w:tcPr>
            <w:tcW w:w="849" w:type="dxa"/>
            <w:vAlign w:val="center"/>
          </w:tcPr>
          <w:p>
            <w:pPr>
              <w:spacing w:line="276" w:lineRule="auto"/>
              <w:jc w:val="center"/>
              <w:rPr>
                <w:color w:val="000000"/>
                <w:sz w:val="24"/>
              </w:rPr>
            </w:pPr>
            <w:r>
              <w:rPr>
                <w:rFonts w:hint="eastAsia"/>
                <w:color w:val="000000"/>
                <w:sz w:val="24"/>
              </w:rPr>
              <w:t>1</w:t>
            </w:r>
          </w:p>
        </w:tc>
        <w:tc>
          <w:tcPr>
            <w:tcW w:w="900" w:type="dxa"/>
            <w:vAlign w:val="center"/>
          </w:tcPr>
          <w:p>
            <w:pPr>
              <w:spacing w:line="276" w:lineRule="auto"/>
              <w:jc w:val="center"/>
              <w:rPr>
                <w:color w:val="000000"/>
                <w:sz w:val="24"/>
              </w:rPr>
            </w:pPr>
            <w:r>
              <w:rPr>
                <w:rFonts w:hint="eastAsia"/>
                <w:color w:val="000000"/>
                <w:sz w:val="24"/>
              </w:rPr>
              <w:t>台</w:t>
            </w:r>
          </w:p>
        </w:tc>
      </w:tr>
      <w:tr>
        <w:trPr>
          <w:trHeight w:val="728" w:hRule="atLeast"/>
        </w:trPr>
        <w:tc>
          <w:tcPr>
            <w:tcW w:w="849" w:type="dxa"/>
            <w:vAlign w:val="center"/>
          </w:tcPr>
          <w:p>
            <w:pPr>
              <w:spacing w:line="276" w:lineRule="auto"/>
              <w:jc w:val="center"/>
              <w:rPr>
                <w:sz w:val="24"/>
              </w:rPr>
            </w:pPr>
            <w:r>
              <w:rPr>
                <w:rFonts w:hint="eastAsia"/>
                <w:sz w:val="24"/>
              </w:rPr>
              <w:t>2</w:t>
            </w:r>
          </w:p>
        </w:tc>
        <w:tc>
          <w:tcPr>
            <w:tcW w:w="1843" w:type="dxa"/>
            <w:vAlign w:val="center"/>
          </w:tcPr>
          <w:p>
            <w:pPr>
              <w:spacing w:line="276" w:lineRule="auto"/>
              <w:jc w:val="center"/>
              <w:rPr>
                <w:sz w:val="24"/>
              </w:rPr>
            </w:pPr>
            <w:r>
              <w:rPr>
                <w:rFonts w:hint="eastAsia"/>
                <w:sz w:val="24"/>
              </w:rPr>
              <w:t>车载气象监测系统</w:t>
            </w:r>
          </w:p>
        </w:tc>
        <w:tc>
          <w:tcPr>
            <w:tcW w:w="3829" w:type="dxa"/>
            <w:vAlign w:val="center"/>
          </w:tcPr>
          <w:p>
            <w:pPr>
              <w:spacing w:line="276" w:lineRule="auto"/>
              <w:jc w:val="center"/>
              <w:rPr>
                <w:sz w:val="24"/>
              </w:rPr>
            </w:pPr>
            <w:r>
              <w:rPr>
                <w:rFonts w:hint="eastAsia"/>
                <w:sz w:val="24"/>
              </w:rPr>
              <w:t>气象六参数仪（带辐射计）</w:t>
            </w:r>
          </w:p>
        </w:tc>
        <w:tc>
          <w:tcPr>
            <w:tcW w:w="849" w:type="dxa"/>
            <w:vAlign w:val="center"/>
          </w:tcPr>
          <w:p>
            <w:pPr>
              <w:spacing w:line="276" w:lineRule="auto"/>
              <w:jc w:val="center"/>
              <w:rPr>
                <w:color w:val="000000"/>
                <w:sz w:val="24"/>
              </w:rPr>
            </w:pPr>
            <w:r>
              <w:rPr>
                <w:rFonts w:hint="eastAsia"/>
                <w:color w:val="000000"/>
                <w:sz w:val="24"/>
              </w:rPr>
              <w:t>1</w:t>
            </w:r>
          </w:p>
        </w:tc>
        <w:tc>
          <w:tcPr>
            <w:tcW w:w="900" w:type="dxa"/>
            <w:vAlign w:val="center"/>
          </w:tcPr>
          <w:p>
            <w:pPr>
              <w:spacing w:line="276" w:lineRule="auto"/>
              <w:jc w:val="center"/>
              <w:rPr>
                <w:color w:val="000000"/>
                <w:sz w:val="24"/>
              </w:rPr>
            </w:pPr>
            <w:r>
              <w:rPr>
                <w:rFonts w:hint="eastAsia"/>
                <w:color w:val="000000"/>
                <w:sz w:val="24"/>
              </w:rPr>
              <w:t>套</w:t>
            </w:r>
          </w:p>
        </w:tc>
      </w:tr>
      <w:tr>
        <w:tc>
          <w:tcPr>
            <w:tcW w:w="849" w:type="dxa"/>
            <w:vMerge w:val="restart"/>
            <w:vAlign w:val="center"/>
          </w:tcPr>
          <w:p>
            <w:pPr>
              <w:spacing w:line="276" w:lineRule="auto"/>
              <w:jc w:val="center"/>
              <w:rPr>
                <w:sz w:val="24"/>
              </w:rPr>
            </w:pPr>
            <w:r>
              <w:rPr>
                <w:rFonts w:hint="eastAsia"/>
                <w:sz w:val="24"/>
              </w:rPr>
              <w:t>3</w:t>
            </w:r>
          </w:p>
        </w:tc>
        <w:tc>
          <w:tcPr>
            <w:tcW w:w="1843" w:type="dxa"/>
            <w:vMerge w:val="restart"/>
            <w:vAlign w:val="center"/>
          </w:tcPr>
          <w:p>
            <w:pPr>
              <w:spacing w:line="276" w:lineRule="auto"/>
              <w:jc w:val="center"/>
              <w:rPr>
                <w:sz w:val="24"/>
              </w:rPr>
            </w:pPr>
            <w:r>
              <w:rPr>
                <w:rFonts w:hint="eastAsia"/>
                <w:sz w:val="24"/>
              </w:rPr>
              <w:t>车载VOCs监测系统</w:t>
            </w:r>
          </w:p>
        </w:tc>
        <w:tc>
          <w:tcPr>
            <w:tcW w:w="3829" w:type="dxa"/>
            <w:vAlign w:val="center"/>
          </w:tcPr>
          <w:p>
            <w:pPr>
              <w:spacing w:line="276" w:lineRule="auto"/>
              <w:jc w:val="center"/>
              <w:rPr>
                <w:sz w:val="24"/>
              </w:rPr>
            </w:pPr>
            <w:r>
              <w:rPr>
                <w:rFonts w:hint="eastAsia"/>
                <w:sz w:val="24"/>
              </w:rPr>
              <w:t>质子转移反应飞行时间质谱仪（PTR-TOF）</w:t>
            </w:r>
          </w:p>
        </w:tc>
        <w:tc>
          <w:tcPr>
            <w:tcW w:w="849" w:type="dxa"/>
            <w:vAlign w:val="center"/>
          </w:tcPr>
          <w:p>
            <w:pPr>
              <w:spacing w:line="276" w:lineRule="auto"/>
              <w:jc w:val="center"/>
              <w:rPr>
                <w:sz w:val="24"/>
              </w:rPr>
            </w:pPr>
            <w:r>
              <w:rPr>
                <w:rFonts w:hint="eastAsia"/>
                <w:sz w:val="24"/>
              </w:rPr>
              <w:t>1</w:t>
            </w:r>
          </w:p>
        </w:tc>
        <w:tc>
          <w:tcPr>
            <w:tcW w:w="900" w:type="dxa"/>
            <w:vAlign w:val="center"/>
          </w:tcPr>
          <w:p>
            <w:pPr>
              <w:spacing w:line="276" w:lineRule="auto"/>
              <w:jc w:val="center"/>
              <w:rPr>
                <w:sz w:val="24"/>
              </w:rPr>
            </w:pPr>
            <w:r>
              <w:rPr>
                <w:rFonts w:hint="eastAsia"/>
                <w:sz w:val="24"/>
              </w:rPr>
              <w:t>套</w:t>
            </w:r>
          </w:p>
        </w:tc>
      </w:tr>
      <w:tr>
        <w:tc>
          <w:tcPr>
            <w:tcW w:w="849" w:type="dxa"/>
            <w:vMerge w:val="continue"/>
            <w:vAlign w:val="center"/>
          </w:tcPr>
          <w:p>
            <w:pPr>
              <w:spacing w:line="276" w:lineRule="auto"/>
              <w:jc w:val="center"/>
              <w:rPr>
                <w:sz w:val="24"/>
              </w:rPr>
            </w:pPr>
          </w:p>
        </w:tc>
        <w:tc>
          <w:tcPr>
            <w:tcW w:w="1843" w:type="dxa"/>
            <w:vMerge w:val="continue"/>
            <w:vAlign w:val="center"/>
          </w:tcPr>
          <w:p>
            <w:pPr>
              <w:spacing w:line="276" w:lineRule="auto"/>
              <w:jc w:val="center"/>
              <w:rPr>
                <w:sz w:val="24"/>
              </w:rPr>
            </w:pPr>
          </w:p>
        </w:tc>
        <w:tc>
          <w:tcPr>
            <w:tcW w:w="3829" w:type="dxa"/>
            <w:vAlign w:val="center"/>
          </w:tcPr>
          <w:p>
            <w:pPr>
              <w:spacing w:line="276" w:lineRule="auto"/>
              <w:jc w:val="center"/>
              <w:rPr>
                <w:sz w:val="24"/>
              </w:rPr>
            </w:pPr>
            <w:r>
              <w:rPr>
                <w:rFonts w:hint="eastAsia"/>
                <w:sz w:val="24"/>
              </w:rPr>
              <w:t>在线气相色谱质谱联用仪（GC-FID/MS）</w:t>
            </w:r>
          </w:p>
        </w:tc>
        <w:tc>
          <w:tcPr>
            <w:tcW w:w="849" w:type="dxa"/>
            <w:vAlign w:val="center"/>
          </w:tcPr>
          <w:p>
            <w:pPr>
              <w:spacing w:line="276" w:lineRule="auto"/>
              <w:jc w:val="center"/>
              <w:rPr>
                <w:sz w:val="24"/>
              </w:rPr>
            </w:pPr>
            <w:r>
              <w:rPr>
                <w:rFonts w:hint="eastAsia"/>
                <w:sz w:val="24"/>
              </w:rPr>
              <w:t>1</w:t>
            </w:r>
          </w:p>
        </w:tc>
        <w:tc>
          <w:tcPr>
            <w:tcW w:w="900" w:type="dxa"/>
            <w:vAlign w:val="center"/>
          </w:tcPr>
          <w:p>
            <w:pPr>
              <w:spacing w:line="276" w:lineRule="auto"/>
              <w:jc w:val="center"/>
              <w:rPr>
                <w:sz w:val="24"/>
              </w:rPr>
            </w:pPr>
            <w:r>
              <w:rPr>
                <w:rFonts w:hint="eastAsia"/>
                <w:sz w:val="24"/>
              </w:rPr>
              <w:t>套</w:t>
            </w:r>
          </w:p>
        </w:tc>
      </w:tr>
      <w:tr>
        <w:trPr>
          <w:trHeight w:val="363" w:hRule="atLeast"/>
        </w:trPr>
        <w:tc>
          <w:tcPr>
            <w:tcW w:w="849" w:type="dxa"/>
            <w:vMerge w:val="continue"/>
            <w:vAlign w:val="center"/>
          </w:tcPr>
          <w:p>
            <w:pPr>
              <w:spacing w:line="276" w:lineRule="auto"/>
              <w:jc w:val="center"/>
              <w:rPr>
                <w:sz w:val="24"/>
              </w:rPr>
            </w:pPr>
          </w:p>
        </w:tc>
        <w:tc>
          <w:tcPr>
            <w:tcW w:w="1843" w:type="dxa"/>
            <w:vMerge w:val="continue"/>
            <w:vAlign w:val="center"/>
          </w:tcPr>
          <w:p>
            <w:pPr>
              <w:spacing w:line="276" w:lineRule="auto"/>
              <w:jc w:val="center"/>
              <w:rPr>
                <w:sz w:val="24"/>
              </w:rPr>
            </w:pPr>
          </w:p>
        </w:tc>
        <w:tc>
          <w:tcPr>
            <w:tcW w:w="3829" w:type="dxa"/>
            <w:vAlign w:val="center"/>
          </w:tcPr>
          <w:p>
            <w:pPr>
              <w:spacing w:line="276" w:lineRule="auto"/>
              <w:jc w:val="center"/>
              <w:rPr>
                <w:sz w:val="24"/>
              </w:rPr>
            </w:pPr>
            <w:r>
              <w:rPr>
                <w:rFonts w:hint="eastAsia"/>
                <w:sz w:val="24"/>
              </w:rPr>
              <w:t>车载质谱专用减震系统</w:t>
            </w:r>
          </w:p>
        </w:tc>
        <w:tc>
          <w:tcPr>
            <w:tcW w:w="849" w:type="dxa"/>
            <w:vAlign w:val="center"/>
          </w:tcPr>
          <w:p>
            <w:pPr>
              <w:spacing w:line="276" w:lineRule="auto"/>
              <w:jc w:val="center"/>
              <w:rPr>
                <w:sz w:val="24"/>
              </w:rPr>
            </w:pPr>
            <w:r>
              <w:rPr>
                <w:rFonts w:hint="eastAsia"/>
                <w:sz w:val="24"/>
              </w:rPr>
              <w:t>1</w:t>
            </w:r>
          </w:p>
        </w:tc>
        <w:tc>
          <w:tcPr>
            <w:tcW w:w="900" w:type="dxa"/>
            <w:vAlign w:val="center"/>
          </w:tcPr>
          <w:p>
            <w:pPr>
              <w:spacing w:line="276" w:lineRule="auto"/>
              <w:jc w:val="center"/>
              <w:rPr>
                <w:sz w:val="24"/>
              </w:rPr>
            </w:pPr>
            <w:r>
              <w:rPr>
                <w:rFonts w:hint="eastAsia"/>
                <w:sz w:val="24"/>
              </w:rPr>
              <w:t>套</w:t>
            </w:r>
          </w:p>
        </w:tc>
      </w:tr>
      <w:tr>
        <w:trPr>
          <w:trHeight w:val="410" w:hRule="atLeast"/>
        </w:trPr>
        <w:tc>
          <w:tcPr>
            <w:tcW w:w="849" w:type="dxa"/>
            <w:vMerge w:val="continue"/>
            <w:vAlign w:val="center"/>
          </w:tcPr>
          <w:p>
            <w:pPr>
              <w:spacing w:line="276" w:lineRule="auto"/>
              <w:jc w:val="center"/>
              <w:rPr>
                <w:sz w:val="24"/>
              </w:rPr>
            </w:pPr>
          </w:p>
        </w:tc>
        <w:tc>
          <w:tcPr>
            <w:tcW w:w="1843" w:type="dxa"/>
            <w:vMerge w:val="continue"/>
            <w:vAlign w:val="center"/>
          </w:tcPr>
          <w:p>
            <w:pPr>
              <w:spacing w:line="276" w:lineRule="auto"/>
              <w:jc w:val="center"/>
              <w:rPr>
                <w:sz w:val="24"/>
              </w:rPr>
            </w:pPr>
          </w:p>
        </w:tc>
        <w:tc>
          <w:tcPr>
            <w:tcW w:w="3829" w:type="dxa"/>
            <w:vAlign w:val="center"/>
          </w:tcPr>
          <w:p>
            <w:pPr>
              <w:spacing w:line="276" w:lineRule="auto"/>
              <w:jc w:val="center"/>
              <w:rPr>
                <w:sz w:val="24"/>
                <w:highlight w:val="yellow"/>
              </w:rPr>
            </w:pPr>
            <w:r>
              <w:rPr>
                <w:rFonts w:hint="eastAsia"/>
                <w:sz w:val="24"/>
              </w:rPr>
              <w:t>VOCs组分标气（含减压阀）</w:t>
            </w:r>
          </w:p>
        </w:tc>
        <w:tc>
          <w:tcPr>
            <w:tcW w:w="849" w:type="dxa"/>
            <w:vAlign w:val="center"/>
          </w:tcPr>
          <w:p>
            <w:pPr>
              <w:spacing w:line="276" w:lineRule="auto"/>
              <w:jc w:val="center"/>
              <w:rPr>
                <w:sz w:val="24"/>
              </w:rPr>
            </w:pPr>
            <w:r>
              <w:rPr>
                <w:rFonts w:hint="eastAsia"/>
                <w:sz w:val="24"/>
              </w:rPr>
              <w:t>1</w:t>
            </w:r>
          </w:p>
        </w:tc>
        <w:tc>
          <w:tcPr>
            <w:tcW w:w="900" w:type="dxa"/>
            <w:vAlign w:val="center"/>
          </w:tcPr>
          <w:p>
            <w:pPr>
              <w:spacing w:line="276" w:lineRule="auto"/>
              <w:jc w:val="center"/>
              <w:rPr>
                <w:sz w:val="24"/>
              </w:rPr>
            </w:pPr>
            <w:r>
              <w:rPr>
                <w:rFonts w:hint="eastAsia"/>
                <w:sz w:val="24"/>
              </w:rPr>
              <w:t>套</w:t>
            </w:r>
          </w:p>
        </w:tc>
      </w:tr>
      <w:tr>
        <w:trPr>
          <w:trHeight w:val="410" w:hRule="atLeast"/>
        </w:trPr>
        <w:tc>
          <w:tcPr>
            <w:tcW w:w="849" w:type="dxa"/>
            <w:vMerge w:val="continue"/>
            <w:vAlign w:val="center"/>
          </w:tcPr>
          <w:p>
            <w:pPr>
              <w:spacing w:line="276" w:lineRule="auto"/>
              <w:jc w:val="center"/>
              <w:rPr>
                <w:sz w:val="24"/>
              </w:rPr>
            </w:pPr>
          </w:p>
        </w:tc>
        <w:tc>
          <w:tcPr>
            <w:tcW w:w="1843" w:type="dxa"/>
            <w:vMerge w:val="continue"/>
            <w:vAlign w:val="center"/>
          </w:tcPr>
          <w:p>
            <w:pPr>
              <w:spacing w:line="276" w:lineRule="auto"/>
              <w:jc w:val="center"/>
              <w:rPr>
                <w:sz w:val="24"/>
              </w:rPr>
            </w:pPr>
          </w:p>
        </w:tc>
        <w:tc>
          <w:tcPr>
            <w:tcW w:w="3829" w:type="dxa"/>
            <w:vAlign w:val="center"/>
          </w:tcPr>
          <w:p>
            <w:pPr>
              <w:spacing w:line="276" w:lineRule="auto"/>
              <w:jc w:val="center"/>
              <w:rPr>
                <w:sz w:val="24"/>
              </w:rPr>
            </w:pPr>
            <w:r>
              <w:rPr>
                <w:rFonts w:hint="eastAsia"/>
                <w:sz w:val="24"/>
              </w:rPr>
              <w:t>8L高纯氦气（含减压阀）</w:t>
            </w:r>
          </w:p>
        </w:tc>
        <w:tc>
          <w:tcPr>
            <w:tcW w:w="849" w:type="dxa"/>
            <w:vAlign w:val="center"/>
          </w:tcPr>
          <w:p>
            <w:pPr>
              <w:spacing w:line="276" w:lineRule="auto"/>
              <w:jc w:val="center"/>
              <w:rPr>
                <w:sz w:val="24"/>
              </w:rPr>
            </w:pPr>
            <w:r>
              <w:rPr>
                <w:rFonts w:hint="eastAsia"/>
                <w:sz w:val="24"/>
              </w:rPr>
              <w:t>1</w:t>
            </w:r>
          </w:p>
        </w:tc>
        <w:tc>
          <w:tcPr>
            <w:tcW w:w="900" w:type="dxa"/>
            <w:vAlign w:val="center"/>
          </w:tcPr>
          <w:p>
            <w:pPr>
              <w:spacing w:line="276" w:lineRule="auto"/>
              <w:jc w:val="center"/>
              <w:rPr>
                <w:rFonts w:ascii="宋体" w:hAnsi="宋体" w:eastAsia="宋体" w:cs="宋体"/>
                <w:color w:val="000000"/>
                <w:kern w:val="0"/>
                <w:sz w:val="20"/>
                <w:szCs w:val="20"/>
              </w:rPr>
            </w:pPr>
            <w:r>
              <w:rPr>
                <w:rFonts w:hint="eastAsia"/>
                <w:color w:val="000000"/>
                <w:sz w:val="24"/>
              </w:rPr>
              <w:t>套</w:t>
            </w:r>
          </w:p>
        </w:tc>
      </w:tr>
      <w:tr>
        <w:tc>
          <w:tcPr>
            <w:tcW w:w="849" w:type="dxa"/>
            <w:vMerge w:val="continue"/>
            <w:vAlign w:val="center"/>
          </w:tcPr>
          <w:p>
            <w:pPr>
              <w:spacing w:line="276" w:lineRule="auto"/>
              <w:jc w:val="center"/>
              <w:rPr>
                <w:sz w:val="24"/>
              </w:rPr>
            </w:pPr>
          </w:p>
        </w:tc>
        <w:tc>
          <w:tcPr>
            <w:tcW w:w="1843" w:type="dxa"/>
            <w:vMerge w:val="continue"/>
            <w:vAlign w:val="center"/>
          </w:tcPr>
          <w:p>
            <w:pPr>
              <w:spacing w:line="276" w:lineRule="auto"/>
              <w:jc w:val="center"/>
              <w:rPr>
                <w:sz w:val="24"/>
              </w:rPr>
            </w:pPr>
          </w:p>
        </w:tc>
        <w:tc>
          <w:tcPr>
            <w:tcW w:w="3829" w:type="dxa"/>
            <w:vAlign w:val="center"/>
          </w:tcPr>
          <w:p>
            <w:pPr>
              <w:spacing w:line="276" w:lineRule="auto"/>
              <w:jc w:val="center"/>
              <w:rPr>
                <w:sz w:val="24"/>
              </w:rPr>
            </w:pPr>
            <w:r>
              <w:rPr>
                <w:rFonts w:hint="eastAsia"/>
                <w:sz w:val="24"/>
              </w:rPr>
              <w:t>8L高纯氮气（含减压阀）</w:t>
            </w:r>
          </w:p>
        </w:tc>
        <w:tc>
          <w:tcPr>
            <w:tcW w:w="849" w:type="dxa"/>
            <w:vAlign w:val="center"/>
          </w:tcPr>
          <w:p>
            <w:pPr>
              <w:spacing w:line="276" w:lineRule="auto"/>
              <w:jc w:val="center"/>
              <w:rPr>
                <w:sz w:val="24"/>
              </w:rPr>
            </w:pPr>
            <w:r>
              <w:rPr>
                <w:rFonts w:hint="eastAsia"/>
                <w:sz w:val="24"/>
              </w:rPr>
              <w:t>1</w:t>
            </w:r>
          </w:p>
        </w:tc>
        <w:tc>
          <w:tcPr>
            <w:tcW w:w="900" w:type="dxa"/>
            <w:vAlign w:val="center"/>
          </w:tcPr>
          <w:p>
            <w:pPr>
              <w:spacing w:line="276" w:lineRule="auto"/>
              <w:jc w:val="center"/>
              <w:rPr>
                <w:rFonts w:ascii="宋体" w:hAnsi="宋体" w:eastAsia="宋体" w:cs="宋体"/>
                <w:color w:val="000000"/>
                <w:kern w:val="0"/>
                <w:sz w:val="20"/>
                <w:szCs w:val="20"/>
              </w:rPr>
            </w:pPr>
            <w:r>
              <w:rPr>
                <w:rFonts w:hint="eastAsia"/>
                <w:color w:val="000000"/>
                <w:sz w:val="24"/>
              </w:rPr>
              <w:t>套</w:t>
            </w:r>
          </w:p>
        </w:tc>
      </w:tr>
      <w:tr>
        <w:trPr>
          <w:trHeight w:val="416" w:hRule="atLeast"/>
        </w:trPr>
        <w:tc>
          <w:tcPr>
            <w:tcW w:w="849" w:type="dxa"/>
            <w:vAlign w:val="center"/>
          </w:tcPr>
          <w:p>
            <w:pPr>
              <w:spacing w:line="276" w:lineRule="auto"/>
              <w:jc w:val="center"/>
              <w:rPr>
                <w:sz w:val="24"/>
              </w:rPr>
            </w:pPr>
            <w:r>
              <w:rPr>
                <w:rFonts w:hint="eastAsia"/>
                <w:sz w:val="24"/>
              </w:rPr>
              <w:t>4</w:t>
            </w:r>
          </w:p>
        </w:tc>
        <w:tc>
          <w:tcPr>
            <w:tcW w:w="1843" w:type="dxa"/>
            <w:vAlign w:val="center"/>
          </w:tcPr>
          <w:p>
            <w:pPr>
              <w:spacing w:line="276" w:lineRule="auto"/>
              <w:jc w:val="center"/>
              <w:rPr>
                <w:sz w:val="24"/>
              </w:rPr>
            </w:pPr>
            <w:r>
              <w:rPr>
                <w:rFonts w:hint="eastAsia"/>
                <w:sz w:val="24"/>
              </w:rPr>
              <w:t>走航软件平台</w:t>
            </w:r>
          </w:p>
        </w:tc>
        <w:tc>
          <w:tcPr>
            <w:tcW w:w="3829" w:type="dxa"/>
            <w:vAlign w:val="center"/>
          </w:tcPr>
          <w:p>
            <w:pPr>
              <w:spacing w:line="276" w:lineRule="auto"/>
              <w:jc w:val="center"/>
              <w:rPr>
                <w:sz w:val="24"/>
              </w:rPr>
            </w:pPr>
            <w:r>
              <w:rPr>
                <w:rFonts w:hint="eastAsia"/>
                <w:sz w:val="24"/>
              </w:rPr>
              <w:t>走航平台软件</w:t>
            </w:r>
          </w:p>
        </w:tc>
        <w:tc>
          <w:tcPr>
            <w:tcW w:w="849" w:type="dxa"/>
            <w:vAlign w:val="center"/>
          </w:tcPr>
          <w:p>
            <w:pPr>
              <w:spacing w:line="276" w:lineRule="auto"/>
              <w:jc w:val="center"/>
              <w:rPr>
                <w:color w:val="000000"/>
                <w:sz w:val="24"/>
              </w:rPr>
            </w:pPr>
            <w:r>
              <w:rPr>
                <w:rFonts w:hint="eastAsia"/>
                <w:color w:val="000000"/>
                <w:sz w:val="24"/>
              </w:rPr>
              <w:t>1</w:t>
            </w:r>
          </w:p>
        </w:tc>
        <w:tc>
          <w:tcPr>
            <w:tcW w:w="900" w:type="dxa"/>
            <w:vAlign w:val="center"/>
          </w:tcPr>
          <w:p>
            <w:pPr>
              <w:spacing w:line="276" w:lineRule="auto"/>
              <w:jc w:val="center"/>
              <w:rPr>
                <w:color w:val="000000"/>
                <w:sz w:val="24"/>
              </w:rPr>
            </w:pPr>
            <w:r>
              <w:rPr>
                <w:rFonts w:hint="eastAsia"/>
                <w:color w:val="000000"/>
                <w:sz w:val="24"/>
              </w:rPr>
              <w:t>套</w:t>
            </w:r>
          </w:p>
        </w:tc>
      </w:tr>
    </w:tbl>
    <w:p>
      <w:pPr>
        <w:spacing w:line="360" w:lineRule="auto"/>
        <w:jc w:val="left"/>
        <w:rPr>
          <w:sz w:val="24"/>
        </w:rPr>
      </w:pPr>
    </w:p>
    <w:p>
      <w:pPr>
        <w:pStyle w:val="5"/>
        <w:numPr>
          <w:ilvl w:val="1"/>
          <w:numId w:val="0"/>
        </w:numPr>
      </w:pPr>
      <w:r>
        <w:rPr>
          <w:rFonts w:hint="eastAsia"/>
        </w:rPr>
        <w:t>2.5性能参数</w:t>
      </w:r>
    </w:p>
    <w:p>
      <w:pPr>
        <w:jc w:val="left"/>
        <w:rPr>
          <w:sz w:val="24"/>
        </w:rPr>
      </w:pPr>
      <w:r>
        <w:rPr>
          <w:rFonts w:hint="eastAsia"/>
          <w:sz w:val="24"/>
        </w:rPr>
        <w:t>2.5.1在线气相色谱质谱联用仪（GC-FID/MS）</w:t>
      </w:r>
    </w:p>
    <w:p>
      <w:pPr>
        <w:jc w:val="left"/>
      </w:pPr>
    </w:p>
    <w:p>
      <w:pPr>
        <w:pStyle w:val="25"/>
        <w:widowControl/>
        <w:numPr>
          <w:ilvl w:val="0"/>
          <w:numId w:val="3"/>
        </w:numPr>
        <w:ind w:firstLineChars="0"/>
        <w:rPr>
          <w:rFonts w:ascii="宋体" w:hAnsi="宋体" w:cs="Times New Roman"/>
          <w:kern w:val="0"/>
          <w:szCs w:val="20"/>
        </w:rPr>
      </w:pPr>
      <w:r>
        <w:rPr>
          <w:rFonts w:hint="eastAsia" w:ascii="宋体" w:hAnsi="宋体" w:cs="Times New Roman"/>
          <w:kern w:val="0"/>
          <w:szCs w:val="20"/>
        </w:rPr>
        <w:t>测量方法：氢火焰离子化检测器（</w:t>
      </w:r>
      <w:r>
        <w:rPr>
          <w:rFonts w:ascii="宋体" w:hAnsi="宋体" w:cs="Times New Roman"/>
          <w:kern w:val="0"/>
          <w:szCs w:val="20"/>
        </w:rPr>
        <w:t>FID</w:t>
      </w:r>
      <w:r>
        <w:rPr>
          <w:rFonts w:hint="eastAsia" w:ascii="宋体" w:hAnsi="宋体" w:cs="Times New Roman"/>
          <w:kern w:val="0"/>
          <w:szCs w:val="20"/>
        </w:rPr>
        <w:t>），质谱检测器（</w:t>
      </w:r>
      <w:r>
        <w:rPr>
          <w:rFonts w:ascii="宋体" w:hAnsi="宋体" w:cs="Times New Roman"/>
          <w:kern w:val="0"/>
          <w:szCs w:val="20"/>
        </w:rPr>
        <w:t>MSD</w:t>
      </w:r>
      <w:r>
        <w:rPr>
          <w:rFonts w:hint="eastAsia" w:ascii="宋体" w:hAnsi="宋体" w:cs="Times New Roman"/>
          <w:kern w:val="0"/>
          <w:szCs w:val="20"/>
        </w:rPr>
        <w:t>）</w:t>
      </w:r>
    </w:p>
    <w:p>
      <w:pPr>
        <w:pStyle w:val="25"/>
        <w:widowControl/>
        <w:numPr>
          <w:ilvl w:val="0"/>
          <w:numId w:val="3"/>
        </w:numPr>
        <w:ind w:firstLineChars="0"/>
        <w:rPr>
          <w:rFonts w:ascii="宋体" w:hAnsi="宋体" w:cs="Times New Roman"/>
          <w:b/>
          <w:bCs/>
          <w:color w:val="000000"/>
          <w:kern w:val="0"/>
          <w:szCs w:val="20"/>
        </w:rPr>
      </w:pPr>
      <w:r>
        <w:rPr>
          <w:rFonts w:hint="eastAsia" w:ascii="宋体" w:hAnsi="宋体" w:cs="Times New Roman"/>
          <w:b/>
          <w:bCs/>
          <w:color w:val="000000"/>
          <w:kern w:val="0"/>
          <w:szCs w:val="20"/>
        </w:rPr>
        <w:t>测量组分：</w:t>
      </w:r>
      <w:r>
        <w:rPr>
          <w:rFonts w:ascii="宋体" w:hAnsi="宋体" w:cs="Times New Roman"/>
          <w:b/>
          <w:bCs/>
          <w:color w:val="000000"/>
          <w:kern w:val="0"/>
          <w:szCs w:val="20"/>
        </w:rPr>
        <w:t>PAMS 57</w:t>
      </w:r>
      <w:r>
        <w:rPr>
          <w:rFonts w:hint="eastAsia" w:ascii="宋体" w:hAnsi="宋体" w:cs="Times New Roman"/>
          <w:b/>
          <w:bCs/>
          <w:color w:val="000000"/>
          <w:kern w:val="0"/>
          <w:szCs w:val="20"/>
        </w:rPr>
        <w:t>、</w:t>
      </w:r>
      <w:r>
        <w:rPr>
          <w:rFonts w:ascii="宋体" w:hAnsi="宋体" w:cs="Times New Roman"/>
          <w:b/>
          <w:bCs/>
          <w:color w:val="000000"/>
          <w:kern w:val="0"/>
          <w:szCs w:val="20"/>
        </w:rPr>
        <w:t>TO-15</w:t>
      </w:r>
      <w:r>
        <w:rPr>
          <w:rFonts w:hint="eastAsia" w:ascii="宋体" w:hAnsi="宋体" w:cs="Times New Roman"/>
          <w:b/>
          <w:bCs/>
          <w:color w:val="000000"/>
          <w:kern w:val="0"/>
          <w:szCs w:val="20"/>
        </w:rPr>
        <w:t>、</w:t>
      </w:r>
      <w:r>
        <w:rPr>
          <w:rFonts w:ascii="宋体" w:hAnsi="宋体" w:cs="Times New Roman"/>
          <w:b/>
          <w:bCs/>
          <w:color w:val="000000"/>
          <w:kern w:val="0"/>
          <w:szCs w:val="20"/>
        </w:rPr>
        <w:t>OVOCs</w:t>
      </w:r>
      <w:r>
        <w:rPr>
          <w:rFonts w:hint="eastAsia" w:ascii="宋体" w:hAnsi="宋体" w:cs="Times New Roman"/>
          <w:b/>
          <w:bCs/>
          <w:color w:val="000000"/>
          <w:kern w:val="0"/>
          <w:szCs w:val="20"/>
        </w:rPr>
        <w:t>等</w:t>
      </w:r>
      <w:r>
        <w:rPr>
          <w:rFonts w:ascii="宋体" w:hAnsi="宋体" w:cs="Times New Roman"/>
          <w:b/>
          <w:bCs/>
          <w:color w:val="000000"/>
          <w:kern w:val="0"/>
          <w:szCs w:val="20"/>
        </w:rPr>
        <w:t>116</w:t>
      </w:r>
      <w:r>
        <w:rPr>
          <w:rFonts w:hint="eastAsia" w:ascii="宋体" w:hAnsi="宋体" w:cs="Times New Roman"/>
          <w:b/>
          <w:bCs/>
          <w:color w:val="000000"/>
          <w:kern w:val="0"/>
          <w:szCs w:val="20"/>
        </w:rPr>
        <w:t>种大气挥发性有机物组分</w:t>
      </w:r>
    </w:p>
    <w:p>
      <w:pPr>
        <w:pStyle w:val="25"/>
        <w:widowControl/>
        <w:numPr>
          <w:ilvl w:val="0"/>
          <w:numId w:val="3"/>
        </w:numPr>
        <w:ind w:firstLineChars="0"/>
        <w:rPr>
          <w:rFonts w:ascii="宋体" w:hAnsi="宋体" w:cs="Times New Roman"/>
          <w:kern w:val="0"/>
          <w:szCs w:val="20"/>
        </w:rPr>
      </w:pPr>
      <w:r>
        <w:rPr>
          <w:rFonts w:hint="eastAsia" w:ascii="宋体" w:hAnsi="宋体" w:cs="Times New Roman"/>
          <w:kern w:val="0"/>
          <w:szCs w:val="20"/>
        </w:rPr>
        <w:t>压力控制：全系统电子压力控制（</w:t>
      </w:r>
      <w:r>
        <w:rPr>
          <w:rFonts w:ascii="宋体" w:hAnsi="宋体" w:cs="Times New Roman"/>
          <w:kern w:val="0"/>
          <w:szCs w:val="20"/>
        </w:rPr>
        <w:t>EPC</w:t>
      </w:r>
      <w:r>
        <w:rPr>
          <w:rFonts w:hint="eastAsia" w:ascii="宋体" w:hAnsi="宋体" w:cs="Times New Roman"/>
          <w:kern w:val="0"/>
          <w:szCs w:val="20"/>
        </w:rPr>
        <w:t>）</w:t>
      </w:r>
    </w:p>
    <w:p>
      <w:pPr>
        <w:pStyle w:val="25"/>
        <w:widowControl/>
        <w:numPr>
          <w:ilvl w:val="0"/>
          <w:numId w:val="3"/>
        </w:numPr>
        <w:ind w:firstLineChars="0"/>
        <w:rPr>
          <w:rFonts w:ascii="宋体" w:hAnsi="宋体" w:cs="Times New Roman"/>
          <w:kern w:val="0"/>
          <w:szCs w:val="20"/>
        </w:rPr>
      </w:pPr>
      <w:r>
        <w:rPr>
          <w:rFonts w:hint="eastAsia" w:ascii="宋体" w:hAnsi="宋体" w:cs="Times New Roman"/>
          <w:kern w:val="0"/>
          <w:szCs w:val="20"/>
        </w:rPr>
        <w:t>分离度：</w:t>
      </w:r>
      <w:r>
        <w:rPr>
          <w:rFonts w:ascii="宋体" w:hAnsi="宋体" w:cs="Times New Roman"/>
          <w:kern w:val="0"/>
          <w:szCs w:val="20"/>
        </w:rPr>
        <w:t>90%</w:t>
      </w:r>
      <w:r>
        <w:rPr>
          <w:rFonts w:hint="eastAsia" w:ascii="宋体" w:hAnsi="宋体" w:cs="Times New Roman"/>
          <w:kern w:val="0"/>
          <w:szCs w:val="20"/>
        </w:rPr>
        <w:t>以上化合物分离度大于</w:t>
      </w:r>
      <w:r>
        <w:rPr>
          <w:rFonts w:ascii="宋体" w:hAnsi="宋体" w:cs="Times New Roman"/>
          <w:kern w:val="0"/>
          <w:szCs w:val="20"/>
        </w:rPr>
        <w:t>1.5</w:t>
      </w:r>
    </w:p>
    <w:p>
      <w:pPr>
        <w:pStyle w:val="25"/>
        <w:widowControl/>
        <w:numPr>
          <w:ilvl w:val="0"/>
          <w:numId w:val="3"/>
        </w:numPr>
        <w:ind w:firstLineChars="0"/>
        <w:rPr>
          <w:rFonts w:ascii="宋体" w:hAnsi="宋体" w:cs="Times New Roman"/>
          <w:kern w:val="0"/>
          <w:szCs w:val="20"/>
        </w:rPr>
      </w:pPr>
      <w:r>
        <w:rPr>
          <w:rFonts w:hint="eastAsia" w:ascii="宋体" w:hAnsi="宋体" w:cs="Times New Roman"/>
          <w:kern w:val="0"/>
          <w:szCs w:val="20"/>
        </w:rPr>
        <w:t>线性相关性：</w:t>
      </w:r>
      <w:r>
        <w:rPr>
          <w:rFonts w:ascii="宋体" w:hAnsi="宋体" w:cs="Times New Roman"/>
          <w:kern w:val="0"/>
          <w:szCs w:val="20"/>
        </w:rPr>
        <w:t>90%</w:t>
      </w:r>
      <w:r>
        <w:rPr>
          <w:rFonts w:hint="eastAsia" w:ascii="宋体" w:hAnsi="宋体" w:cs="Times New Roman"/>
          <w:kern w:val="0"/>
          <w:szCs w:val="20"/>
        </w:rPr>
        <w:t>以上化合物，线性相关性</w:t>
      </w:r>
      <w:r>
        <w:rPr>
          <w:rFonts w:ascii="宋体" w:hAnsi="宋体" w:cs="Times New Roman"/>
          <w:kern w:val="0"/>
          <w:szCs w:val="20"/>
        </w:rPr>
        <w:t>R2</w:t>
      </w:r>
      <w:r>
        <w:rPr>
          <w:rFonts w:hint="eastAsia" w:ascii="宋体" w:hAnsi="宋体" w:cs="Times New Roman"/>
          <w:kern w:val="0"/>
          <w:szCs w:val="20"/>
        </w:rPr>
        <w:t>≥</w:t>
      </w:r>
      <w:r>
        <w:rPr>
          <w:rFonts w:ascii="宋体" w:hAnsi="宋体" w:cs="Times New Roman"/>
          <w:kern w:val="0"/>
          <w:szCs w:val="20"/>
        </w:rPr>
        <w:t>0.99</w:t>
      </w:r>
    </w:p>
    <w:p>
      <w:pPr>
        <w:pStyle w:val="25"/>
        <w:widowControl/>
        <w:numPr>
          <w:ilvl w:val="0"/>
          <w:numId w:val="3"/>
        </w:numPr>
        <w:ind w:firstLineChars="0"/>
        <w:rPr>
          <w:rFonts w:ascii="宋体" w:hAnsi="宋体" w:cs="Times New Roman"/>
          <w:kern w:val="0"/>
          <w:szCs w:val="20"/>
        </w:rPr>
      </w:pPr>
      <w:r>
        <w:rPr>
          <w:rFonts w:hint="eastAsia" w:ascii="宋体" w:hAnsi="宋体" w:cs="Times New Roman"/>
          <w:kern w:val="0"/>
          <w:szCs w:val="20"/>
        </w:rPr>
        <w:t>定性重复性：</w:t>
      </w:r>
      <w:r>
        <w:rPr>
          <w:rFonts w:ascii="宋体" w:hAnsi="宋体" w:cs="Times New Roman"/>
          <w:kern w:val="0"/>
          <w:szCs w:val="20"/>
        </w:rPr>
        <w:t>RSD</w:t>
      </w:r>
      <w:r>
        <w:rPr>
          <w:rFonts w:hint="eastAsia" w:ascii="宋体" w:hAnsi="宋体" w:cs="Times New Roman"/>
          <w:kern w:val="0"/>
          <w:szCs w:val="20"/>
        </w:rPr>
        <w:t>≤</w:t>
      </w:r>
      <w:r>
        <w:rPr>
          <w:rFonts w:ascii="宋体" w:hAnsi="宋体" w:cs="Times New Roman"/>
          <w:kern w:val="0"/>
          <w:szCs w:val="20"/>
        </w:rPr>
        <w:t>3%</w:t>
      </w:r>
    </w:p>
    <w:p>
      <w:pPr>
        <w:pStyle w:val="25"/>
        <w:widowControl/>
        <w:numPr>
          <w:ilvl w:val="0"/>
          <w:numId w:val="3"/>
        </w:numPr>
        <w:ind w:firstLineChars="0"/>
        <w:rPr>
          <w:rFonts w:ascii="宋体" w:hAnsi="宋体" w:cs="Times New Roman"/>
          <w:kern w:val="0"/>
          <w:szCs w:val="20"/>
        </w:rPr>
      </w:pPr>
      <w:r>
        <w:rPr>
          <w:rFonts w:hint="eastAsia" w:ascii="宋体" w:hAnsi="宋体" w:cs="Times New Roman"/>
          <w:kern w:val="0"/>
          <w:szCs w:val="20"/>
        </w:rPr>
        <w:t>定量重复性：</w:t>
      </w:r>
      <w:r>
        <w:rPr>
          <w:rFonts w:ascii="宋体" w:hAnsi="宋体" w:cs="Times New Roman"/>
          <w:kern w:val="0"/>
          <w:szCs w:val="20"/>
        </w:rPr>
        <w:t>RSD</w:t>
      </w:r>
      <w:r>
        <w:rPr>
          <w:rFonts w:hint="eastAsia" w:ascii="宋体" w:hAnsi="宋体" w:cs="Times New Roman"/>
          <w:kern w:val="0"/>
          <w:szCs w:val="20"/>
        </w:rPr>
        <w:t>≤</w:t>
      </w:r>
      <w:r>
        <w:rPr>
          <w:rFonts w:ascii="宋体" w:hAnsi="宋体" w:cs="Times New Roman"/>
          <w:kern w:val="0"/>
          <w:szCs w:val="20"/>
        </w:rPr>
        <w:t>10%</w:t>
      </w:r>
    </w:p>
    <w:p>
      <w:pPr>
        <w:pStyle w:val="25"/>
        <w:widowControl/>
        <w:numPr>
          <w:ilvl w:val="0"/>
          <w:numId w:val="3"/>
        </w:numPr>
        <w:ind w:firstLineChars="0"/>
        <w:rPr>
          <w:rFonts w:ascii="宋体" w:hAnsi="宋体" w:cs="Times New Roman"/>
          <w:kern w:val="0"/>
          <w:szCs w:val="20"/>
        </w:rPr>
      </w:pPr>
      <w:r>
        <w:rPr>
          <w:rFonts w:hint="eastAsia" w:ascii="宋体" w:hAnsi="宋体" w:cs="Times New Roman"/>
          <w:kern w:val="0"/>
          <w:szCs w:val="20"/>
        </w:rPr>
        <w:t>控温稳定性：＜</w:t>
      </w:r>
      <w:r>
        <w:rPr>
          <w:rFonts w:ascii="宋体" w:hAnsi="宋体" w:cs="Times New Roman"/>
          <w:kern w:val="0"/>
          <w:szCs w:val="20"/>
        </w:rPr>
        <w:t>0.01</w:t>
      </w:r>
      <w:r>
        <w:rPr>
          <w:rFonts w:hint="eastAsia" w:ascii="宋体" w:hAnsi="宋体" w:cs="Times New Roman"/>
          <w:kern w:val="0"/>
          <w:szCs w:val="20"/>
        </w:rPr>
        <w:t>℃</w:t>
      </w:r>
    </w:p>
    <w:p>
      <w:pPr>
        <w:pStyle w:val="25"/>
        <w:widowControl/>
        <w:numPr>
          <w:ilvl w:val="0"/>
          <w:numId w:val="3"/>
        </w:numPr>
        <w:ind w:firstLineChars="0"/>
        <w:rPr>
          <w:rFonts w:ascii="宋体" w:hAnsi="宋体" w:cs="Times New Roman"/>
          <w:kern w:val="0"/>
          <w:szCs w:val="20"/>
        </w:rPr>
      </w:pPr>
      <w:r>
        <w:rPr>
          <w:rFonts w:hint="eastAsia" w:ascii="宋体" w:hAnsi="宋体" w:cs="Times New Roman"/>
          <w:kern w:val="0"/>
          <w:szCs w:val="20"/>
        </w:rPr>
        <w:t>离子源：</w:t>
      </w:r>
      <w:r>
        <w:rPr>
          <w:rFonts w:ascii="宋体" w:hAnsi="宋体" w:cs="Times New Roman"/>
          <w:kern w:val="0"/>
          <w:szCs w:val="20"/>
        </w:rPr>
        <w:t>EI</w:t>
      </w:r>
      <w:r>
        <w:rPr>
          <w:rFonts w:hint="eastAsia" w:ascii="宋体" w:hAnsi="宋体" w:cs="Times New Roman"/>
          <w:kern w:val="0"/>
          <w:szCs w:val="20"/>
        </w:rPr>
        <w:t>源</w:t>
      </w:r>
    </w:p>
    <w:p>
      <w:pPr>
        <w:pStyle w:val="25"/>
        <w:widowControl/>
        <w:numPr>
          <w:ilvl w:val="0"/>
          <w:numId w:val="3"/>
        </w:numPr>
        <w:ind w:firstLineChars="0"/>
        <w:rPr>
          <w:rFonts w:ascii="宋体" w:hAnsi="宋体" w:cs="Times New Roman"/>
          <w:kern w:val="0"/>
          <w:szCs w:val="20"/>
        </w:rPr>
      </w:pPr>
      <w:r>
        <w:rPr>
          <w:rFonts w:hint="eastAsia" w:ascii="宋体" w:hAnsi="宋体" w:cs="Times New Roman"/>
          <w:kern w:val="0"/>
          <w:szCs w:val="20"/>
        </w:rPr>
        <w:t>质量分析器：单四级杆</w:t>
      </w:r>
    </w:p>
    <w:p>
      <w:pPr>
        <w:pStyle w:val="25"/>
        <w:widowControl/>
        <w:numPr>
          <w:ilvl w:val="0"/>
          <w:numId w:val="3"/>
        </w:numPr>
        <w:ind w:firstLineChars="0"/>
        <w:rPr>
          <w:rFonts w:ascii="宋体" w:hAnsi="宋体" w:cs="Times New Roman"/>
          <w:kern w:val="0"/>
          <w:szCs w:val="20"/>
        </w:rPr>
      </w:pPr>
      <w:r>
        <w:rPr>
          <w:rFonts w:hint="eastAsia" w:ascii="宋体" w:hAnsi="宋体" w:cs="Times New Roman"/>
          <w:kern w:val="0"/>
          <w:szCs w:val="20"/>
        </w:rPr>
        <w:t>残留率：＜</w:t>
      </w:r>
      <w:r>
        <w:rPr>
          <w:rFonts w:ascii="宋体" w:hAnsi="宋体" w:cs="Times New Roman"/>
          <w:kern w:val="0"/>
          <w:szCs w:val="20"/>
        </w:rPr>
        <w:t>5%</w:t>
      </w:r>
    </w:p>
    <w:p>
      <w:pPr>
        <w:pStyle w:val="25"/>
        <w:widowControl/>
        <w:numPr>
          <w:ilvl w:val="0"/>
          <w:numId w:val="3"/>
        </w:numPr>
        <w:ind w:firstLineChars="0"/>
        <w:rPr>
          <w:rFonts w:ascii="宋体" w:hAnsi="宋体" w:cs="Times New Roman"/>
          <w:kern w:val="0"/>
          <w:szCs w:val="20"/>
        </w:rPr>
      </w:pPr>
      <w:r>
        <w:rPr>
          <w:rFonts w:hint="eastAsia" w:ascii="宋体" w:hAnsi="宋体" w:cs="Times New Roman"/>
          <w:kern w:val="0"/>
          <w:szCs w:val="20"/>
        </w:rPr>
        <w:t>分析周期：≤</w:t>
      </w:r>
      <w:r>
        <w:rPr>
          <w:rFonts w:ascii="宋体" w:hAnsi="宋体" w:cs="Times New Roman"/>
          <w:kern w:val="0"/>
          <w:szCs w:val="20"/>
        </w:rPr>
        <w:t>1h</w:t>
      </w:r>
      <w:r>
        <w:rPr>
          <w:rFonts w:hint="eastAsia" w:ascii="宋体" w:hAnsi="宋体" w:cs="Times New Roman"/>
          <w:kern w:val="0"/>
          <w:szCs w:val="20"/>
        </w:rPr>
        <w:t>（可调）</w:t>
      </w:r>
    </w:p>
    <w:p>
      <w:pPr>
        <w:pStyle w:val="25"/>
        <w:widowControl/>
        <w:numPr>
          <w:ilvl w:val="0"/>
          <w:numId w:val="3"/>
        </w:numPr>
        <w:ind w:firstLineChars="0"/>
        <w:rPr>
          <w:rFonts w:ascii="宋体" w:hAnsi="宋体" w:cs="Times New Roman"/>
          <w:kern w:val="0"/>
          <w:szCs w:val="20"/>
        </w:rPr>
      </w:pPr>
      <w:r>
        <w:rPr>
          <w:rFonts w:hint="eastAsia" w:ascii="宋体" w:hAnsi="宋体" w:cs="Times New Roman"/>
          <w:kern w:val="0"/>
          <w:szCs w:val="20"/>
        </w:rPr>
        <w:t>采样流量：</w:t>
      </w:r>
      <w:r>
        <w:rPr>
          <w:rFonts w:ascii="宋体" w:hAnsi="宋体" w:cs="Times New Roman"/>
          <w:kern w:val="0"/>
          <w:szCs w:val="20"/>
        </w:rPr>
        <w:t>5mL/min</w:t>
      </w:r>
    </w:p>
    <w:p>
      <w:pPr>
        <w:pStyle w:val="25"/>
        <w:widowControl/>
        <w:numPr>
          <w:ilvl w:val="0"/>
          <w:numId w:val="3"/>
        </w:numPr>
        <w:ind w:firstLineChars="0"/>
        <w:rPr>
          <w:rFonts w:ascii="宋体" w:hAnsi="宋体" w:cs="Times New Roman"/>
          <w:kern w:val="0"/>
          <w:szCs w:val="20"/>
        </w:rPr>
      </w:pPr>
      <w:r>
        <w:rPr>
          <w:rFonts w:hint="eastAsia" w:ascii="宋体" w:hAnsi="宋体" w:cs="Times New Roman"/>
          <w:kern w:val="0"/>
          <w:szCs w:val="20"/>
        </w:rPr>
        <w:t>通讯：丰富的通讯接口，支持双网线、模拟量通讯等</w:t>
      </w:r>
    </w:p>
    <w:p>
      <w:pPr>
        <w:pStyle w:val="25"/>
        <w:widowControl/>
        <w:numPr>
          <w:ilvl w:val="0"/>
          <w:numId w:val="3"/>
        </w:numPr>
        <w:ind w:firstLineChars="0"/>
        <w:rPr>
          <w:rFonts w:ascii="宋体" w:hAnsi="宋体" w:cs="Times New Roman"/>
          <w:kern w:val="0"/>
          <w:szCs w:val="20"/>
        </w:rPr>
      </w:pPr>
      <w:r>
        <w:rPr>
          <w:rFonts w:hint="eastAsia" w:ascii="宋体" w:hAnsi="宋体" w:cs="Times New Roman"/>
          <w:kern w:val="0"/>
          <w:szCs w:val="20"/>
        </w:rPr>
        <w:t>安装方式：大气挥发性有机物在线监测系统专用机柜</w:t>
      </w:r>
    </w:p>
    <w:p>
      <w:pPr>
        <w:jc w:val="left"/>
      </w:pPr>
      <w:r>
        <w:rPr>
          <w:rFonts w:hint="eastAsia"/>
          <w:sz w:val="24"/>
        </w:rPr>
        <w:t>2.5.2质子转移反应飞行时间质谱仪（PTR-TOF）</w:t>
      </w:r>
    </w:p>
    <w:p>
      <w:pPr>
        <w:numPr>
          <w:ilvl w:val="0"/>
          <w:numId w:val="4"/>
        </w:numPr>
        <w:spacing w:line="360" w:lineRule="auto"/>
        <w:jc w:val="left"/>
        <w:rPr>
          <w:rFonts w:ascii="宋体" w:hAnsi="宋体"/>
          <w:sz w:val="24"/>
        </w:rPr>
      </w:pPr>
      <w:r>
        <w:rPr>
          <w:rFonts w:hint="eastAsia" w:ascii="宋体" w:hAnsi="宋体"/>
          <w:sz w:val="24"/>
        </w:rPr>
        <w:t>仪器用途及要求：利用质子转移反应-飞行时间质谱仪实时在线测定环境空气中VOCs组分。</w:t>
      </w:r>
    </w:p>
    <w:p>
      <w:pPr>
        <w:numPr>
          <w:ilvl w:val="0"/>
          <w:numId w:val="4"/>
        </w:numPr>
        <w:spacing w:line="360" w:lineRule="auto"/>
        <w:jc w:val="left"/>
        <w:rPr>
          <w:rFonts w:ascii="宋体" w:hAnsi="宋体"/>
          <w:sz w:val="24"/>
        </w:rPr>
      </w:pPr>
      <w:r>
        <w:rPr>
          <w:rFonts w:hint="eastAsia" w:ascii="宋体" w:hAnsi="宋体"/>
          <w:sz w:val="24"/>
        </w:rPr>
        <w:t>实时在线检测，可随时查看样品的化学组成以及反应动态过程实时，连续检测，可精确掌握污染物浓度并更好地进行过程控制。</w:t>
      </w:r>
    </w:p>
    <w:p>
      <w:pPr>
        <w:spacing w:line="360" w:lineRule="auto"/>
        <w:jc w:val="left"/>
        <w:rPr>
          <w:rFonts w:ascii="宋体" w:hAnsi="宋体"/>
          <w:sz w:val="24"/>
        </w:rPr>
      </w:pPr>
      <w:r>
        <w:rPr>
          <w:rFonts w:hint="eastAsia" w:ascii="宋体" w:hAnsi="宋体"/>
          <w:sz w:val="24"/>
        </w:rPr>
        <w:t>（3）进样方式：支持多种进样方式，包括：空气直接进样、采样气袋进样等。</w:t>
      </w:r>
    </w:p>
    <w:p>
      <w:pPr>
        <w:spacing w:line="360" w:lineRule="auto"/>
        <w:jc w:val="left"/>
        <w:rPr>
          <w:rFonts w:ascii="宋体" w:hAnsi="宋体"/>
          <w:sz w:val="24"/>
        </w:rPr>
      </w:pPr>
      <w:r>
        <w:rPr>
          <w:rFonts w:hint="eastAsia" w:ascii="宋体" w:hAnsi="宋体"/>
          <w:sz w:val="24"/>
        </w:rPr>
        <w:t>（4）离子源类型：PTR(质子转移反应)</w:t>
      </w:r>
    </w:p>
    <w:p>
      <w:pPr>
        <w:spacing w:line="360" w:lineRule="auto"/>
        <w:jc w:val="left"/>
        <w:rPr>
          <w:rFonts w:ascii="宋体" w:hAnsi="宋体"/>
          <w:sz w:val="24"/>
        </w:rPr>
      </w:pPr>
      <w:r>
        <w:rPr>
          <w:rFonts w:hint="eastAsia" w:ascii="宋体" w:hAnsi="宋体"/>
          <w:sz w:val="24"/>
        </w:rPr>
        <w:t>（5）浓度范围：ppt级别~50ppm</w:t>
      </w:r>
    </w:p>
    <w:p>
      <w:pPr>
        <w:spacing w:line="360" w:lineRule="auto"/>
        <w:jc w:val="left"/>
        <w:rPr>
          <w:rFonts w:ascii="宋体" w:hAnsi="宋体"/>
          <w:sz w:val="24"/>
        </w:rPr>
      </w:pPr>
      <w:r>
        <w:rPr>
          <w:rFonts w:hint="eastAsia" w:ascii="宋体" w:hAnsi="宋体"/>
          <w:sz w:val="24"/>
        </w:rPr>
        <w:t xml:space="preserve">（6）灵敏度：≥100 c/s/ppb </w:t>
      </w:r>
      <w:r>
        <w:rPr>
          <w:rFonts w:ascii="宋体" w:hAnsi="宋体"/>
          <w:sz w:val="24"/>
        </w:rPr>
        <w:t>（苯）</w:t>
      </w:r>
    </w:p>
    <w:p>
      <w:pPr>
        <w:spacing w:line="360" w:lineRule="auto"/>
        <w:jc w:val="left"/>
        <w:rPr>
          <w:rFonts w:ascii="宋体" w:hAnsi="宋体"/>
          <w:sz w:val="24"/>
        </w:rPr>
      </w:pPr>
      <w:r>
        <w:rPr>
          <w:rFonts w:hint="eastAsia" w:ascii="宋体" w:hAnsi="宋体"/>
          <w:sz w:val="24"/>
        </w:rPr>
        <w:t>（7）检测限：＜30pptv</w:t>
      </w:r>
    </w:p>
    <w:p>
      <w:pPr>
        <w:spacing w:line="360" w:lineRule="auto"/>
        <w:jc w:val="left"/>
        <w:rPr>
          <w:rFonts w:ascii="宋体" w:hAnsi="宋体"/>
          <w:sz w:val="24"/>
        </w:rPr>
      </w:pPr>
      <w:r>
        <w:rPr>
          <w:rFonts w:hint="eastAsia" w:ascii="宋体" w:hAnsi="宋体"/>
          <w:sz w:val="24"/>
        </w:rPr>
        <w:t>（8）质谱抽提脉冲频率：高达50kHz</w:t>
      </w:r>
    </w:p>
    <w:p>
      <w:pPr>
        <w:spacing w:line="360" w:lineRule="auto"/>
        <w:jc w:val="left"/>
        <w:rPr>
          <w:rFonts w:ascii="宋体" w:hAnsi="宋体"/>
          <w:sz w:val="24"/>
        </w:rPr>
      </w:pPr>
      <w:r>
        <w:rPr>
          <w:rFonts w:hint="eastAsia" w:ascii="宋体" w:hAnsi="宋体"/>
          <w:sz w:val="24"/>
        </w:rPr>
        <w:t>（9）系统自动化：操作简单，数据质量自动校检，仪器状态性能自检。</w:t>
      </w:r>
    </w:p>
    <w:p>
      <w:pPr>
        <w:spacing w:line="360" w:lineRule="auto"/>
        <w:jc w:val="left"/>
        <w:rPr>
          <w:rFonts w:ascii="宋体" w:hAnsi="宋体"/>
          <w:sz w:val="24"/>
        </w:rPr>
      </w:pPr>
      <w:r>
        <w:rPr>
          <w:rFonts w:hint="eastAsia" w:ascii="宋体" w:hAnsi="宋体"/>
          <w:sz w:val="24"/>
        </w:rPr>
        <w:t>（10）数据格式：谱图文件数据格式包括通用电子表CSV数据格式、文本格式。</w:t>
      </w:r>
    </w:p>
    <w:sectPr>
      <w:pgSz w:w="11906" w:h="16838"/>
      <w:pgMar w:top="1440" w:right="1800" w:bottom="1440" w:left="1800" w:header="851" w:footer="992" w:gutter="0"/>
      <w:cols w:space="425"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
    <w:nsid w:val="0000000A"/>
    <w:multiLevelType w:val="singleLevel"/>
    <w:tmpl w:val="0000000A"/>
    <w:lvl w:ilvl="0" w:tentative="1">
      <w:start w:val="1"/>
      <w:numFmt w:val="decimal"/>
      <w:suff w:val="nothing"/>
      <w:lvlText w:val="（%1）"/>
      <w:lvlJc w:val="left"/>
    </w:lvl>
  </w:abstractNum>
  <w:abstractNum w:abstractNumId="11">
    <w:nsid w:val="0000000B"/>
    <w:multiLevelType w:val="multilevel"/>
    <w:tmpl w:val="0000000B"/>
    <w:lvl w:ilvl="0" w:tentative="1">
      <w:start w:val="1"/>
      <w:numFmt w:val="bullet"/>
      <w:lvlText w:val=""/>
      <w:lvlJc w:val="left"/>
      <w:pPr>
        <w:ind w:left="420" w:hanging="420"/>
      </w:pPr>
      <w:rPr>
        <w:rFonts w:hint="default" w:ascii="Wingdings" w:hAnsi="Wingdings"/>
      </w:rPr>
    </w:lvl>
    <w:lvl w:ilvl="1" w:tentative="1">
      <w:start w:val="1"/>
      <w:numFmt w:val="bullet"/>
      <w:lvlText w:val=""/>
      <w:lvlJc w:val="left"/>
      <w:pPr>
        <w:ind w:left="840" w:hanging="420"/>
      </w:pPr>
      <w:rPr>
        <w:rFonts w:hint="default" w:ascii="Wingdings" w:hAnsi="Wingdings"/>
      </w:rPr>
    </w:lvl>
    <w:lvl w:ilvl="2" w:tentative="1">
      <w:start w:val="1"/>
      <w:numFmt w:val="bullet"/>
      <w:lvlText w:val=""/>
      <w:lvlJc w:val="left"/>
      <w:pPr>
        <w:ind w:left="1260" w:hanging="420"/>
      </w:pPr>
      <w:rPr>
        <w:rFonts w:hint="default" w:ascii="Wingdings" w:hAnsi="Wingdings"/>
      </w:rPr>
    </w:lvl>
    <w:lvl w:ilvl="3" w:tentative="1">
      <w:start w:val="1"/>
      <w:numFmt w:val="bullet"/>
      <w:lvlText w:val=""/>
      <w:lvlJc w:val="left"/>
      <w:pPr>
        <w:ind w:left="1680" w:hanging="420"/>
      </w:pPr>
      <w:rPr>
        <w:rFonts w:hint="default" w:ascii="Wingdings" w:hAnsi="Wingdings"/>
      </w:rPr>
    </w:lvl>
    <w:lvl w:ilvl="4" w:tentative="1">
      <w:start w:val="1"/>
      <w:numFmt w:val="bullet"/>
      <w:lvlText w:val=""/>
      <w:lvlJc w:val="left"/>
      <w:pPr>
        <w:ind w:left="2100" w:hanging="420"/>
      </w:pPr>
      <w:rPr>
        <w:rFonts w:hint="default" w:ascii="Wingdings" w:hAnsi="Wingdings"/>
      </w:rPr>
    </w:lvl>
    <w:lvl w:ilvl="5" w:tentative="1">
      <w:start w:val="1"/>
      <w:numFmt w:val="bullet"/>
      <w:lvlText w:val=""/>
      <w:lvlJc w:val="left"/>
      <w:pPr>
        <w:ind w:left="2520" w:hanging="420"/>
      </w:pPr>
      <w:rPr>
        <w:rFonts w:hint="default" w:ascii="Wingdings" w:hAnsi="Wingdings"/>
      </w:rPr>
    </w:lvl>
    <w:lvl w:ilvl="6" w:tentative="1">
      <w:start w:val="1"/>
      <w:numFmt w:val="bullet"/>
      <w:lvlText w:val=""/>
      <w:lvlJc w:val="left"/>
      <w:pPr>
        <w:ind w:left="2940" w:hanging="420"/>
      </w:pPr>
      <w:rPr>
        <w:rFonts w:hint="default" w:ascii="Wingdings" w:hAnsi="Wingdings"/>
      </w:rPr>
    </w:lvl>
    <w:lvl w:ilvl="7" w:tentative="1">
      <w:start w:val="1"/>
      <w:numFmt w:val="bullet"/>
      <w:lvlText w:val=""/>
      <w:lvlJc w:val="left"/>
      <w:pPr>
        <w:ind w:left="3360" w:hanging="420"/>
      </w:pPr>
      <w:rPr>
        <w:rFonts w:hint="default" w:ascii="Wingdings" w:hAnsi="Wingdings"/>
      </w:rPr>
    </w:lvl>
    <w:lvl w:ilvl="8" w:tentative="1">
      <w:start w:val="1"/>
      <w:numFmt w:val="bullet"/>
      <w:lvlText w:val=""/>
      <w:lvlJc w:val="left"/>
      <w:pPr>
        <w:ind w:left="3780" w:hanging="420"/>
      </w:pPr>
      <w:rPr>
        <w:rFonts w:hint="default" w:ascii="Wingdings" w:hAnsi="Wingdings"/>
      </w:rPr>
    </w:lvl>
  </w:abstractNum>
  <w:abstractNum w:abstractNumId="12">
    <w:nsid w:val="0000000C"/>
    <w:multiLevelType w:val="multilevel"/>
    <w:tmpl w:val="0000000C"/>
    <w:lvl w:ilvl="0" w:tentative="1">
      <w:start w:val="1"/>
      <w:numFmt w:val="decimal"/>
      <w:pStyle w:val="2"/>
      <w:lvlText w:val="%1"/>
      <w:lvlJc w:val="left"/>
      <w:pPr>
        <w:ind w:left="432" w:hanging="432"/>
      </w:pPr>
    </w:lvl>
    <w:lvl w:ilvl="1" w:tentative="1">
      <w:start w:val="1"/>
      <w:numFmt w:val="decimal"/>
      <w:pStyle w:val="5"/>
      <w:lvlText w:val="%1.%2"/>
      <w:lvlJc w:val="left"/>
      <w:pPr>
        <w:ind w:left="576" w:hanging="576"/>
      </w:pPr>
    </w:lvl>
    <w:lvl w:ilvl="2" w:tentative="1">
      <w:start w:val="1"/>
      <w:numFmt w:val="decimal"/>
      <w:pStyle w:val="7"/>
      <w:lvlText w:val="%1.%2.%3"/>
      <w:lvlJc w:val="left"/>
      <w:pPr>
        <w:ind w:left="720" w:hanging="720"/>
      </w:pPr>
    </w:lvl>
    <w:lvl w:ilvl="3" w:tentative="1">
      <w:start w:val="1"/>
      <w:numFmt w:val="decimal"/>
      <w:pStyle w:val="9"/>
      <w:lvlText w:val="%1.%2.%3.%4"/>
      <w:lvlJc w:val="left"/>
      <w:pPr>
        <w:ind w:left="864" w:hanging="864"/>
      </w:pPr>
    </w:lvl>
    <w:lvl w:ilvl="4" w:tentative="1">
      <w:start w:val="1"/>
      <w:numFmt w:val="decimal"/>
      <w:pStyle w:val="11"/>
      <w:lvlText w:val="%1.%2.%3.%4.%5"/>
      <w:lvlJc w:val="left"/>
      <w:pPr>
        <w:ind w:left="1008" w:hanging="1008"/>
      </w:pPr>
    </w:lvl>
    <w:lvl w:ilvl="5" w:tentative="1">
      <w:start w:val="1"/>
      <w:numFmt w:val="decimal"/>
      <w:pStyle w:val="13"/>
      <w:lvlText w:val="%1.%2.%3.%4.%5.%6"/>
      <w:lvlJc w:val="left"/>
      <w:pPr>
        <w:ind w:left="1152" w:hanging="1152"/>
      </w:pPr>
    </w:lvl>
    <w:lvl w:ilvl="6" w:tentative="1">
      <w:start w:val="1"/>
      <w:numFmt w:val="decimal"/>
      <w:pStyle w:val="15"/>
      <w:lvlText w:val="%1.%2.%3.%4.%5.%6.%7"/>
      <w:lvlJc w:val="left"/>
      <w:pPr>
        <w:ind w:left="1296" w:hanging="1296"/>
      </w:pPr>
    </w:lvl>
    <w:lvl w:ilvl="7" w:tentative="1">
      <w:start w:val="1"/>
      <w:numFmt w:val="decimal"/>
      <w:pStyle w:val="17"/>
      <w:lvlText w:val="%1.%2.%3.%4.%5.%6.%7.%8"/>
      <w:lvlJc w:val="left"/>
      <w:pPr>
        <w:ind w:left="1440" w:hanging="1440"/>
      </w:pPr>
    </w:lvl>
    <w:lvl w:ilvl="8" w:tentative="1">
      <w:start w:val="1"/>
      <w:numFmt w:val="decimal"/>
      <w:pStyle w:val="19"/>
      <w:lvlText w:val="%1.%2.%3.%4.%5.%6.%7.%8.%9"/>
      <w:lvlJc w:val="left"/>
      <w:pPr>
        <w:ind w:left="1584" w:hanging="1584"/>
      </w:pPr>
    </w:lvl>
  </w:abstractNum>
  <w:abstractNum w:abstractNumId="13">
    <w:nsid w:val="0000000D"/>
    <w:multiLevelType w:val="multilevel"/>
    <w:tmpl w:val="0000000D"/>
    <w:lvl w:ilvl="0" w:tentative="1">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2"/>
  </w:num>
  <w:num w:numId="2">
    <w:abstractNumId w:val="11"/>
  </w:num>
  <w:num w:numId="3">
    <w:abstractNumId w:val="13"/>
  </w:num>
  <w:num w:numId="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Calibri" w:hAnsi="Calibri" w:eastAsia="宋体"/>
      <w:kern w:val="2"/>
      <w:sz w:val="21"/>
      <w:szCs w:val="22"/>
      <w:lang w:val="en-US" w:eastAsia="zh-CN" w:bidi="ar-SA"/>
    </w:rPr>
  </w:style>
  <w:style w:type="paragraph" w:styleId="2">
    <w:name w:val="heading 1"/>
    <w:basedOn w:val="1"/>
    <w:next w:val="1"/>
    <w:link w:val="3"/>
    <w:pPr>
      <w:keepNext/>
      <w:keepLines/>
      <w:numPr>
        <w:ilvl w:val="0"/>
        <w:numId w:val="1"/>
      </w:numPr>
      <w:spacing w:before="340" w:after="330" w:line="578" w:lineRule="auto"/>
      <w:outlineLvl w:val="0"/>
    </w:pPr>
    <w:rPr>
      <w:b/>
      <w:bCs/>
      <w:kern w:val="44"/>
      <w:sz w:val="32"/>
      <w:szCs w:val="44"/>
    </w:rPr>
  </w:style>
  <w:style w:type="paragraph" w:styleId="5">
    <w:name w:val="heading 2"/>
    <w:basedOn w:val="1"/>
    <w:next w:val="1"/>
    <w:link w:val="6"/>
    <w:pPr>
      <w:keepNext/>
      <w:keepLines/>
      <w:numPr>
        <w:ilvl w:val="1"/>
        <w:numId w:val="1"/>
      </w:numPr>
      <w:spacing w:before="260" w:after="260" w:line="416" w:lineRule="auto"/>
      <w:outlineLvl w:val="1"/>
    </w:pPr>
    <w:rPr>
      <w:rFonts w:ascii="Cambria" w:hAnsi="Cambria" w:eastAsia="宋体"/>
      <w:b/>
      <w:bCs/>
      <w:sz w:val="32"/>
      <w:szCs w:val="32"/>
    </w:rPr>
  </w:style>
  <w:style w:type="paragraph" w:styleId="7">
    <w:name w:val="heading 3"/>
    <w:basedOn w:val="1"/>
    <w:next w:val="1"/>
    <w:link w:val="8"/>
    <w:pPr>
      <w:keepNext/>
      <w:keepLines/>
      <w:numPr>
        <w:ilvl w:val="2"/>
        <w:numId w:val="1"/>
      </w:numPr>
      <w:spacing w:before="260" w:after="260" w:line="416" w:lineRule="auto"/>
      <w:outlineLvl w:val="2"/>
    </w:pPr>
    <w:rPr>
      <w:b/>
      <w:bCs/>
      <w:sz w:val="32"/>
      <w:szCs w:val="32"/>
    </w:rPr>
  </w:style>
  <w:style w:type="paragraph" w:styleId="9">
    <w:name w:val="heading 4"/>
    <w:basedOn w:val="1"/>
    <w:next w:val="1"/>
    <w:link w:val="10"/>
    <w:pPr>
      <w:keepNext/>
      <w:keepLines/>
      <w:numPr>
        <w:ilvl w:val="3"/>
        <w:numId w:val="1"/>
      </w:numPr>
      <w:spacing w:before="280" w:after="290" w:line="376" w:lineRule="auto"/>
      <w:outlineLvl w:val="3"/>
    </w:pPr>
    <w:rPr>
      <w:rFonts w:ascii="Cambria" w:hAnsi="Cambria" w:eastAsia="宋体"/>
      <w:b/>
      <w:bCs/>
      <w:sz w:val="28"/>
      <w:szCs w:val="28"/>
    </w:rPr>
  </w:style>
  <w:style w:type="paragraph" w:styleId="11">
    <w:name w:val="heading 5"/>
    <w:basedOn w:val="1"/>
    <w:next w:val="1"/>
    <w:link w:val="12"/>
    <w:pPr>
      <w:keepNext/>
      <w:keepLines/>
      <w:numPr>
        <w:ilvl w:val="4"/>
        <w:numId w:val="1"/>
      </w:numPr>
      <w:spacing w:before="280" w:after="290" w:line="376" w:lineRule="auto"/>
      <w:outlineLvl w:val="4"/>
    </w:pPr>
    <w:rPr>
      <w:b/>
      <w:bCs/>
      <w:sz w:val="28"/>
      <w:szCs w:val="28"/>
    </w:rPr>
  </w:style>
  <w:style w:type="paragraph" w:styleId="13">
    <w:name w:val="heading 6"/>
    <w:basedOn w:val="1"/>
    <w:next w:val="1"/>
    <w:link w:val="14"/>
    <w:pPr>
      <w:keepNext/>
      <w:keepLines/>
      <w:numPr>
        <w:ilvl w:val="5"/>
        <w:numId w:val="1"/>
      </w:numPr>
      <w:spacing w:before="240" w:after="64" w:line="320" w:lineRule="auto"/>
      <w:outlineLvl w:val="5"/>
    </w:pPr>
    <w:rPr>
      <w:rFonts w:ascii="Cambria" w:hAnsi="Cambria" w:eastAsia="宋体"/>
      <w:b/>
      <w:bCs/>
      <w:sz w:val="24"/>
      <w:szCs w:val="24"/>
    </w:rPr>
  </w:style>
  <w:style w:type="paragraph" w:styleId="15">
    <w:name w:val="heading 7"/>
    <w:basedOn w:val="1"/>
    <w:next w:val="1"/>
    <w:link w:val="16"/>
    <w:pPr>
      <w:keepNext/>
      <w:keepLines/>
      <w:numPr>
        <w:ilvl w:val="6"/>
        <w:numId w:val="1"/>
      </w:numPr>
      <w:spacing w:before="240" w:after="64" w:line="320" w:lineRule="auto"/>
      <w:outlineLvl w:val="6"/>
    </w:pPr>
    <w:rPr>
      <w:b/>
      <w:bCs/>
      <w:sz w:val="24"/>
      <w:szCs w:val="24"/>
    </w:rPr>
  </w:style>
  <w:style w:type="paragraph" w:styleId="17">
    <w:name w:val="heading 8"/>
    <w:basedOn w:val="1"/>
    <w:next w:val="1"/>
    <w:link w:val="18"/>
    <w:pPr>
      <w:keepNext/>
      <w:keepLines/>
      <w:numPr>
        <w:ilvl w:val="7"/>
        <w:numId w:val="1"/>
      </w:numPr>
      <w:spacing w:before="240" w:after="64" w:line="320" w:lineRule="auto"/>
      <w:outlineLvl w:val="7"/>
    </w:pPr>
    <w:rPr>
      <w:rFonts w:ascii="Cambria" w:hAnsi="Cambria" w:eastAsia="宋体"/>
      <w:sz w:val="24"/>
      <w:szCs w:val="24"/>
    </w:rPr>
  </w:style>
  <w:style w:type="paragraph" w:styleId="19">
    <w:name w:val="heading 9"/>
    <w:basedOn w:val="1"/>
    <w:next w:val="1"/>
    <w:link w:val="20"/>
    <w:pPr>
      <w:keepNext/>
      <w:keepLines/>
      <w:numPr>
        <w:ilvl w:val="8"/>
        <w:numId w:val="1"/>
      </w:numPr>
      <w:spacing w:before="240" w:after="64" w:line="320" w:lineRule="auto"/>
      <w:outlineLvl w:val="8"/>
    </w:pPr>
    <w:rPr>
      <w:rFonts w:ascii="Cambria" w:hAnsi="Cambria" w:eastAsia="宋体"/>
      <w:szCs w:val="21"/>
    </w:rPr>
  </w:style>
  <w:style w:type="character" w:default="1" w:styleId="4">
    <w:name w:val="Default Paragraph Font"/>
  </w:style>
  <w:style w:type="character" w:customStyle="1" w:styleId="3">
    <w:name w:val="标题 1 Char"/>
    <w:basedOn w:val="4"/>
    <w:link w:val="2"/>
    <w:semiHidden/>
    <w:rPr>
      <w:b/>
      <w:bCs/>
      <w:kern w:val="44"/>
      <w:sz w:val="32"/>
      <w:szCs w:val="44"/>
    </w:rPr>
  </w:style>
  <w:style w:type="character" w:customStyle="1" w:styleId="6">
    <w:name w:val="标题 2 Char"/>
    <w:basedOn w:val="4"/>
    <w:link w:val="5"/>
    <w:semiHidden/>
    <w:rPr>
      <w:rFonts w:ascii="Cambria" w:hAnsi="Cambria" w:eastAsia="宋体"/>
      <w:b/>
      <w:bCs/>
      <w:sz w:val="32"/>
      <w:szCs w:val="32"/>
    </w:rPr>
  </w:style>
  <w:style w:type="character" w:customStyle="1" w:styleId="8">
    <w:name w:val="标题 3 Char"/>
    <w:basedOn w:val="4"/>
    <w:link w:val="7"/>
    <w:semiHidden/>
    <w:rPr>
      <w:b/>
      <w:bCs/>
      <w:sz w:val="32"/>
      <w:szCs w:val="32"/>
    </w:rPr>
  </w:style>
  <w:style w:type="character" w:customStyle="1" w:styleId="10">
    <w:name w:val="标题 4 Char"/>
    <w:basedOn w:val="4"/>
    <w:link w:val="9"/>
    <w:semiHidden/>
    <w:rPr>
      <w:rFonts w:ascii="Cambria" w:hAnsi="Cambria" w:eastAsia="宋体"/>
      <w:b/>
      <w:bCs/>
      <w:sz w:val="28"/>
      <w:szCs w:val="28"/>
    </w:rPr>
  </w:style>
  <w:style w:type="character" w:customStyle="1" w:styleId="12">
    <w:name w:val="标题 5 Char"/>
    <w:basedOn w:val="4"/>
    <w:link w:val="11"/>
    <w:semiHidden/>
    <w:rPr>
      <w:b/>
      <w:bCs/>
      <w:sz w:val="28"/>
      <w:szCs w:val="28"/>
    </w:rPr>
  </w:style>
  <w:style w:type="character" w:customStyle="1" w:styleId="14">
    <w:name w:val="标题 6 Char"/>
    <w:basedOn w:val="4"/>
    <w:link w:val="13"/>
    <w:semiHidden/>
    <w:rPr>
      <w:rFonts w:ascii="Cambria" w:hAnsi="Cambria" w:eastAsia="宋体"/>
      <w:b/>
      <w:bCs/>
      <w:sz w:val="24"/>
      <w:szCs w:val="24"/>
    </w:rPr>
  </w:style>
  <w:style w:type="character" w:customStyle="1" w:styleId="16">
    <w:name w:val="标题 7 Char"/>
    <w:basedOn w:val="4"/>
    <w:link w:val="15"/>
    <w:semiHidden/>
    <w:rPr>
      <w:b/>
      <w:bCs/>
      <w:sz w:val="24"/>
      <w:szCs w:val="24"/>
    </w:rPr>
  </w:style>
  <w:style w:type="character" w:customStyle="1" w:styleId="18">
    <w:name w:val="标题 8 Char"/>
    <w:basedOn w:val="4"/>
    <w:link w:val="17"/>
    <w:semiHidden/>
    <w:rPr>
      <w:rFonts w:ascii="Cambria" w:hAnsi="Cambria" w:eastAsia="宋体"/>
      <w:sz w:val="24"/>
      <w:szCs w:val="24"/>
    </w:rPr>
  </w:style>
  <w:style w:type="character" w:customStyle="1" w:styleId="20">
    <w:name w:val="标题 9 Char"/>
    <w:basedOn w:val="4"/>
    <w:link w:val="19"/>
    <w:semiHidden/>
    <w:rPr>
      <w:rFonts w:ascii="Cambria" w:hAnsi="Cambria" w:eastAsia="宋体"/>
      <w:szCs w:val="21"/>
    </w:rPr>
  </w:style>
  <w:style w:type="paragraph" w:styleId="21">
    <w:name w:val="footer"/>
    <w:basedOn w:val="1"/>
    <w:link w:val="22"/>
    <w:pPr>
      <w:tabs>
        <w:tab w:val="center" w:pos="4153"/>
        <w:tab w:val="right" w:pos="8306"/>
      </w:tabs>
      <w:snapToGrid w:val="0"/>
      <w:jc w:val="left"/>
    </w:pPr>
    <w:rPr>
      <w:kern w:val="2"/>
      <w:sz w:val="18"/>
      <w:szCs w:val="18"/>
    </w:rPr>
  </w:style>
  <w:style w:type="character" w:customStyle="1" w:styleId="22">
    <w:name w:val="页脚 Char"/>
    <w:basedOn w:val="4"/>
    <w:link w:val="21"/>
    <w:semiHidden/>
    <w:rPr>
      <w:kern w:val="2"/>
      <w:sz w:val="18"/>
      <w:szCs w:val="18"/>
    </w:rPr>
  </w:style>
  <w:style w:type="paragraph" w:styleId="23">
    <w:name w:val="header"/>
    <w:basedOn w:val="1"/>
    <w:link w:val="24"/>
    <w:pPr>
      <w:pBdr>
        <w:bottom w:val="single" w:color="auto" w:sz="6" w:space="1"/>
      </w:pBdr>
      <w:tabs>
        <w:tab w:val="center" w:pos="4153"/>
        <w:tab w:val="right" w:pos="8306"/>
      </w:tabs>
      <w:snapToGrid w:val="0"/>
      <w:jc w:val="center"/>
    </w:pPr>
    <w:rPr>
      <w:kern w:val="2"/>
      <w:sz w:val="18"/>
      <w:szCs w:val="18"/>
    </w:rPr>
  </w:style>
  <w:style w:type="character" w:customStyle="1" w:styleId="24">
    <w:name w:val="页眉 Char"/>
    <w:basedOn w:val="4"/>
    <w:link w:val="23"/>
    <w:semiHidden/>
    <w:rPr>
      <w:kern w:val="2"/>
      <w:sz w:val="18"/>
      <w:szCs w:val="18"/>
    </w:rPr>
  </w:style>
  <w:style w:type="paragraph" w:customStyle="1" w:styleId="25">
    <w:name w:val="List Paragraph"/>
    <w:basedOn w:val="1"/>
    <w:pPr>
      <w:spacing w:line="360" w:lineRule="auto"/>
      <w:ind w:firstLine="420" w:firstLineChars="200"/>
      <w:jc w:val="left"/>
    </w:pPr>
    <w:rPr>
      <w:sz w:val="24"/>
    </w:rPr>
  </w:style>
  <w:style w:type="character" w:customStyle="1" w:styleId="26">
    <w:name w:val="fontstyle01"/>
    <w:basedOn w:val="4"/>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4</Pages>
  <Words>297</Words>
  <Characters>1699</Characters>
  <Lines>14</Lines>
  <Paragraphs>3</Paragraphs>
  <TotalTime>0</TotalTime>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2020-09-02T10:07:00Z</dcterms:created>
  <dc:creator>叶天石</dc:creator>
  <cp:lastPrinted>2020-09-02T15:50:00Z</cp:lastPrinted>
  <dcterms:modified xsi:type="dcterms:W3CDTF">2020-09-03T09:58:52Z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