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textAlignment w:val="auto"/>
        <w:rPr>
          <w:rFonts w:ascii="黑体" w:hAnsi="黑体" w:eastAsia="黑体" w:cs="宋体"/>
          <w:sz w:val="32"/>
          <w:szCs w:val="32"/>
          <w:u w:val="none" w:color="auto"/>
        </w:rPr>
      </w:pPr>
      <w:r>
        <w:rPr>
          <w:rFonts w:hint="eastAsia" w:ascii="黑体" w:hAnsi="黑体" w:eastAsia="黑体" w:cs="宋体"/>
          <w:sz w:val="32"/>
          <w:szCs w:val="32"/>
          <w:u w:val="none" w:color="auto"/>
        </w:rPr>
        <w:t>附件2</w:t>
      </w:r>
    </w:p>
    <w:p>
      <w:pPr>
        <w:spacing w:line="600" w:lineRule="atLeast"/>
        <w:jc w:val="center"/>
        <w:textAlignment w:val="auto"/>
        <w:rPr>
          <w:rFonts w:hint="eastAsia" w:ascii="微软简标宋" w:hAnsi="Calibri" w:eastAsia="微软简标宋" w:cs="宋体"/>
          <w:sz w:val="44"/>
          <w:szCs w:val="44"/>
          <w:u w:val="none" w:color="auto"/>
        </w:rPr>
      </w:pPr>
    </w:p>
    <w:p>
      <w:pPr>
        <w:spacing w:line="600" w:lineRule="atLeast"/>
        <w:jc w:val="center"/>
        <w:textAlignment w:val="auto"/>
        <w:rPr>
          <w:rFonts w:hint="eastAsia" w:ascii="微软简标宋" w:hAnsi="Calibri" w:eastAsia="微软简标宋" w:cs="宋体"/>
          <w:sz w:val="44"/>
          <w:szCs w:val="44"/>
          <w:u w:val="none" w:color="auto"/>
        </w:rPr>
      </w:pPr>
      <w:r>
        <w:rPr>
          <w:rFonts w:hint="eastAsia" w:ascii="微软简标宋" w:hAnsi="Calibri" w:eastAsia="微软简标宋" w:cs="宋体"/>
          <w:sz w:val="44"/>
          <w:szCs w:val="44"/>
          <w:u w:val="none" w:color="auto"/>
        </w:rPr>
        <w:t>黄河流域农村生活污水及黑臭水体</w:t>
      </w:r>
    </w:p>
    <w:p>
      <w:pPr>
        <w:spacing w:line="600" w:lineRule="atLeast"/>
        <w:jc w:val="center"/>
        <w:textAlignment w:val="auto"/>
        <w:rPr>
          <w:rFonts w:hint="eastAsia" w:ascii="微软简标宋" w:hAnsi="Calibri" w:eastAsia="微软简标宋" w:cs="宋体"/>
          <w:color w:val="auto"/>
          <w:sz w:val="44"/>
          <w:szCs w:val="44"/>
          <w:u w:val="none" w:color="auto"/>
        </w:rPr>
      </w:pPr>
      <w:r>
        <w:rPr>
          <w:rFonts w:hint="eastAsia" w:ascii="微软简标宋" w:hAnsi="Calibri" w:eastAsia="微软简标宋" w:cs="宋体"/>
          <w:sz w:val="44"/>
          <w:szCs w:val="44"/>
          <w:u w:val="none" w:color="auto"/>
        </w:rPr>
        <w:t>治理指导目标</w:t>
      </w:r>
    </w:p>
    <w:tbl>
      <w:tblPr>
        <w:tblStyle w:val="3"/>
        <w:tblW w:w="9193" w:type="dxa"/>
        <w:jc w:val="center"/>
        <w:tblInd w:w="135" w:type="dxa"/>
        <w:tblLayout w:type="fixed"/>
        <w:tblCellMar>
          <w:top w:w="0" w:type="dxa"/>
          <w:left w:w="108" w:type="dxa"/>
          <w:bottom w:w="0" w:type="dxa"/>
          <w:right w:w="108" w:type="dxa"/>
        </w:tblCellMar>
      </w:tblPr>
      <w:tblGrid>
        <w:gridCol w:w="505"/>
        <w:gridCol w:w="827"/>
        <w:gridCol w:w="1714"/>
        <w:gridCol w:w="2190"/>
        <w:gridCol w:w="1003"/>
        <w:gridCol w:w="1003"/>
        <w:gridCol w:w="925"/>
        <w:gridCol w:w="1026"/>
      </w:tblGrid>
      <w:tr>
        <w:tblPrEx>
          <w:tblLayout w:type="fixed"/>
          <w:tblCellMar>
            <w:top w:w="0" w:type="dxa"/>
            <w:left w:w="108" w:type="dxa"/>
            <w:bottom w:w="0" w:type="dxa"/>
            <w:right w:w="108" w:type="dxa"/>
          </w:tblCellMar>
        </w:tblPrEx>
        <w:trPr>
          <w:trHeight w:val="1500"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序号</w:t>
            </w:r>
          </w:p>
        </w:tc>
        <w:tc>
          <w:tcPr>
            <w:tcW w:w="827"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省辖市</w:t>
            </w:r>
          </w:p>
        </w:tc>
        <w:tc>
          <w:tcPr>
            <w:tcW w:w="1714"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乡镇政府驻地开工建设生活污水处理设施的乡镇数量（个）</w:t>
            </w:r>
          </w:p>
        </w:tc>
        <w:tc>
          <w:tcPr>
            <w:tcW w:w="2190"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乡镇政府驻地整治提升生活污水处理设施的乡镇数量（个）</w:t>
            </w:r>
          </w:p>
        </w:tc>
        <w:tc>
          <w:tcPr>
            <w:tcW w:w="1003"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新增农村环境整治行政村数量（个）</w:t>
            </w:r>
          </w:p>
        </w:tc>
        <w:tc>
          <w:tcPr>
            <w:tcW w:w="1003"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农村黑臭</w:t>
            </w:r>
          </w:p>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水体整治</w:t>
            </w:r>
          </w:p>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目标（条）</w:t>
            </w:r>
          </w:p>
        </w:tc>
        <w:tc>
          <w:tcPr>
            <w:tcW w:w="925"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有改造价值生活污水处理设施整治目标（座）</w:t>
            </w:r>
          </w:p>
        </w:tc>
        <w:tc>
          <w:tcPr>
            <w:tcW w:w="1026"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水毁生活污水处理设施整治目标（座）</w:t>
            </w:r>
          </w:p>
        </w:tc>
      </w:tr>
      <w:tr>
        <w:tblPrEx>
          <w:tblLayout w:type="fixed"/>
          <w:tblCellMar>
            <w:top w:w="0" w:type="dxa"/>
            <w:left w:w="108" w:type="dxa"/>
            <w:bottom w:w="0" w:type="dxa"/>
            <w:right w:w="108" w:type="dxa"/>
          </w:tblCellMar>
        </w:tblPrEx>
        <w:trPr>
          <w:trHeight w:val="1127"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spacing w:line="310" w:lineRule="atLeast"/>
              <w:jc w:val="center"/>
              <w:textAlignment w:val="auto"/>
              <w:rPr>
                <w:rFonts w:ascii="宋体" w:hAnsi="宋体" w:cs="宋体"/>
                <w:color w:val="auto"/>
                <w:szCs w:val="21"/>
                <w:u w:val="none" w:color="auto"/>
              </w:rPr>
            </w:pPr>
            <w:r>
              <w:rPr>
                <w:rFonts w:hint="eastAsia" w:ascii="宋体" w:hAnsi="宋体" w:cs="宋体"/>
                <w:color w:val="auto"/>
                <w:szCs w:val="21"/>
                <w:u w:val="none" w:color="auto"/>
              </w:rPr>
              <w:t>1</w:t>
            </w:r>
          </w:p>
        </w:tc>
        <w:tc>
          <w:tcPr>
            <w:tcW w:w="827"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Cs w:val="21"/>
                <w:u w:val="none" w:color="auto"/>
              </w:rPr>
            </w:pPr>
            <w:r>
              <w:rPr>
                <w:rFonts w:hint="eastAsia" w:ascii="宋体" w:hAnsi="宋体" w:cs="宋体"/>
                <w:color w:val="auto"/>
                <w:szCs w:val="21"/>
                <w:u w:val="none" w:color="auto"/>
              </w:rPr>
              <w:t>三门峡市</w:t>
            </w:r>
          </w:p>
        </w:tc>
        <w:tc>
          <w:tcPr>
            <w:tcW w:w="1714"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w:t>
            </w:r>
          </w:p>
        </w:tc>
        <w:tc>
          <w:tcPr>
            <w:tcW w:w="2190"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8（卢氏县徐家湾乡、官道口镇、杜关镇、范里镇、横涧乡、沙河乡、潘河乡、木桐乡）</w:t>
            </w:r>
          </w:p>
        </w:tc>
        <w:tc>
          <w:tcPr>
            <w:tcW w:w="1003"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30</w:t>
            </w:r>
          </w:p>
        </w:tc>
        <w:tc>
          <w:tcPr>
            <w:tcW w:w="1003"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w:t>
            </w:r>
          </w:p>
        </w:tc>
        <w:tc>
          <w:tcPr>
            <w:tcW w:w="925"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28</w:t>
            </w:r>
          </w:p>
        </w:tc>
        <w:tc>
          <w:tcPr>
            <w:tcW w:w="1026"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4</w:t>
            </w:r>
          </w:p>
        </w:tc>
      </w:tr>
      <w:tr>
        <w:tblPrEx>
          <w:tblLayout w:type="fixed"/>
          <w:tblCellMar>
            <w:top w:w="0" w:type="dxa"/>
            <w:left w:w="108" w:type="dxa"/>
            <w:bottom w:w="0" w:type="dxa"/>
            <w:right w:w="108" w:type="dxa"/>
          </w:tblCellMar>
        </w:tblPrEx>
        <w:trPr>
          <w:trHeight w:val="767" w:hRule="atLeast"/>
          <w:jc w:val="center"/>
        </w:trPr>
        <w:tc>
          <w:tcPr>
            <w:tcW w:w="9193" w:type="dxa"/>
            <w:gridSpan w:val="8"/>
            <w:tcBorders>
              <w:top w:val="single" w:color="000000" w:sz="4" w:space="0"/>
              <w:left w:val="single" w:color="000000" w:sz="4" w:space="0"/>
              <w:bottom w:val="single" w:color="000000" w:sz="4" w:space="0"/>
              <w:right w:val="single" w:color="000000" w:sz="4" w:space="0"/>
            </w:tcBorders>
            <w:vAlign w:val="center"/>
          </w:tcPr>
          <w:p>
            <w:pPr>
              <w:spacing w:line="310" w:lineRule="atLeast"/>
              <w:textAlignment w:val="auto"/>
              <w:rPr>
                <w:rFonts w:ascii="Calibri" w:hAnsi="Calibri" w:cs="宋体"/>
                <w:color w:val="auto"/>
                <w:szCs w:val="21"/>
                <w:u w:val="none" w:color="auto"/>
              </w:rPr>
            </w:pPr>
            <w:r>
              <w:rPr>
                <w:rFonts w:ascii="Calibri" w:hAnsi="Calibri" w:cs="宋体"/>
                <w:color w:val="auto"/>
                <w:szCs w:val="21"/>
                <w:u w:val="none" w:color="auto"/>
              </w:rPr>
              <w:t>1.</w:t>
            </w:r>
            <w:r>
              <w:rPr>
                <w:rFonts w:ascii="仿宋_GB2312" w:hAnsi="Calibri" w:eastAsia="仿宋_GB2312" w:cs="宋体"/>
                <w:color w:val="auto"/>
                <w:szCs w:val="21"/>
                <w:u w:val="none" w:color="auto"/>
              </w:rPr>
              <w:t>乡镇政府驻地生活污水处理设施整治提升和未正常运行农村生活污水处理设施分类提升需持续推进，非</w:t>
            </w:r>
            <w:r>
              <w:rPr>
                <w:rFonts w:ascii="Calibri" w:hAnsi="Calibri" w:cs="宋体"/>
                <w:color w:val="auto"/>
                <w:szCs w:val="21"/>
                <w:u w:val="none" w:color="auto"/>
              </w:rPr>
              <w:t>2022</w:t>
            </w:r>
            <w:r>
              <w:rPr>
                <w:rFonts w:ascii="仿宋_GB2312" w:hAnsi="Calibri" w:eastAsia="仿宋_GB2312" w:cs="宋体"/>
                <w:color w:val="auto"/>
                <w:szCs w:val="21"/>
                <w:u w:val="none" w:color="auto"/>
              </w:rPr>
              <w:t>年度约束性指标。</w:t>
            </w:r>
          </w:p>
          <w:p>
            <w:pPr>
              <w:spacing w:line="310" w:lineRule="atLeast"/>
              <w:textAlignment w:val="auto"/>
              <w:rPr>
                <w:rFonts w:ascii="Calibri" w:hAnsi="Calibri" w:cs="宋体"/>
                <w:color w:val="auto"/>
                <w:szCs w:val="21"/>
                <w:u w:val="none" w:color="auto"/>
              </w:rPr>
            </w:pPr>
            <w:r>
              <w:rPr>
                <w:rFonts w:ascii="Calibri" w:hAnsi="Calibri" w:cs="宋体"/>
                <w:color w:val="auto"/>
                <w:szCs w:val="21"/>
                <w:u w:val="none" w:color="auto"/>
              </w:rPr>
              <w:t>2.</w:t>
            </w:r>
            <w:r>
              <w:rPr>
                <w:rFonts w:ascii="仿宋_GB2312" w:hAnsi="Calibri" w:eastAsia="仿宋_GB2312" w:cs="宋体"/>
                <w:color w:val="auto"/>
                <w:szCs w:val="21"/>
                <w:u w:val="none" w:color="auto"/>
              </w:rPr>
              <w:t>以上数据来源各省辖市上报数据。</w:t>
            </w:r>
          </w:p>
        </w:tc>
      </w:tr>
    </w:tbl>
    <w:p>
      <w:pPr>
        <w:spacing w:line="240" w:lineRule="auto"/>
        <w:textAlignment w:val="auto"/>
        <w:rPr>
          <w:rFonts w:hint="eastAsia"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F1515"/>
    <w:rsid w:val="035839B6"/>
    <w:rsid w:val="41DF1515"/>
    <w:rsid w:val="7F75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2023-05-23T01:02:00Z</dcterms:created>
  <dc:creator>User</dc:creator>
  <cp:lastModifiedBy>User</cp:lastModifiedBy>
  <dcterms:modified xsi:type="dcterms:W3CDTF">2023-05-23T01:03:23Z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