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textAlignment w:val="auto"/>
        <w:rPr>
          <w:rFonts w:ascii="微软简标宋" w:eastAsia="微软简标宋"/>
          <w:sz w:val="44"/>
          <w:szCs w:val="44"/>
          <w:u w:val="none" w:color="auto"/>
        </w:rPr>
      </w:pPr>
      <w:r>
        <w:rPr>
          <w:rFonts w:hint="eastAsia" w:ascii="微软简标宋" w:eastAsia="微软简标宋"/>
          <w:sz w:val="44"/>
          <w:szCs w:val="44"/>
          <w:u w:val="none" w:color="auto"/>
        </w:rPr>
        <w:t>三门峡市生态环境局</w:t>
      </w:r>
    </w:p>
    <w:p>
      <w:pPr>
        <w:spacing w:line="700" w:lineRule="exact"/>
        <w:jc w:val="center"/>
        <w:textAlignment w:val="auto"/>
        <w:rPr>
          <w:rFonts w:ascii="微软简标宋" w:eastAsia="微软简标宋"/>
          <w:color w:val="auto"/>
          <w:sz w:val="44"/>
          <w:szCs w:val="44"/>
          <w:u w:val="none" w:color="auto"/>
        </w:rPr>
      </w:pPr>
      <w:r>
        <w:rPr>
          <w:rFonts w:hint="eastAsia" w:ascii="微软简标宋" w:eastAsia="微软简标宋"/>
          <w:color w:val="auto"/>
          <w:sz w:val="44"/>
          <w:u w:val="none" w:color="auto"/>
        </w:rPr>
        <w:t>关于印发三门峡市黄河流域农村环境突出</w:t>
      </w:r>
    </w:p>
    <w:p>
      <w:pPr>
        <w:spacing w:line="700" w:lineRule="exact"/>
        <w:jc w:val="center"/>
        <w:textAlignment w:val="auto"/>
        <w:rPr>
          <w:rFonts w:hint="eastAsia" w:ascii="微软简标宋" w:eastAsia="微软简标宋"/>
          <w:color w:val="auto"/>
          <w:sz w:val="44"/>
          <w:u w:val="none" w:color="auto"/>
        </w:rPr>
      </w:pPr>
      <w:r>
        <w:rPr>
          <w:rFonts w:hint="eastAsia" w:ascii="微软简标宋" w:eastAsia="微软简标宋"/>
          <w:color w:val="auto"/>
          <w:sz w:val="44"/>
          <w:u w:val="none" w:color="auto"/>
        </w:rPr>
        <w:t>问题综合整治专项行动方案的通知</w:t>
      </w:r>
    </w:p>
    <w:p>
      <w:pPr>
        <w:spacing w:line="700" w:lineRule="exact"/>
        <w:textAlignment w:val="auto"/>
        <w:rPr>
          <w:rFonts w:hint="eastAsia" w:ascii="Calibri" w:hAnsi="Calibri" w:cs="宋体"/>
          <w:color w:val="auto"/>
          <w:szCs w:val="21"/>
          <w:u w:val="none" w:color="auto"/>
        </w:rPr>
      </w:pPr>
    </w:p>
    <w:p>
      <w:pPr>
        <w:spacing w:line="600" w:lineRule="exact"/>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各生态环境分局：</w:t>
      </w:r>
    </w:p>
    <w:p>
      <w:pPr>
        <w:autoSpaceDN w:val="0"/>
        <w:spacing w:line="600" w:lineRule="exact"/>
        <w:ind w:firstLine="640" w:firstLineChars="20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现将《三门峡市黄河流域农村环境突出问题综合整治专项行动方案》印发给你们，请结合实际，认真贯彻执行。</w:t>
      </w:r>
    </w:p>
    <w:p>
      <w:pPr>
        <w:autoSpaceDN w:val="0"/>
        <w:spacing w:line="600" w:lineRule="exact"/>
        <w:ind w:firstLine="641"/>
        <w:jc w:val="center"/>
        <w:textAlignment w:val="auto"/>
        <w:rPr>
          <w:rFonts w:hint="eastAsia" w:ascii="仿宋_GB2312" w:hAnsi="Calibri" w:eastAsia="仿宋_GB2312" w:cs="宋体"/>
          <w:color w:val="auto"/>
          <w:sz w:val="32"/>
          <w:szCs w:val="32"/>
          <w:u w:val="none" w:color="auto"/>
        </w:rPr>
      </w:pPr>
    </w:p>
    <w:p>
      <w:pPr>
        <w:autoSpaceDN w:val="0"/>
        <w:spacing w:line="600" w:lineRule="exact"/>
        <w:ind w:firstLine="641"/>
        <w:jc w:val="center"/>
        <w:textAlignment w:val="auto"/>
        <w:rPr>
          <w:rFonts w:hint="eastAsia" w:ascii="仿宋_GB2312" w:hAnsi="Calibri" w:eastAsia="仿宋_GB2312" w:cs="宋体"/>
          <w:color w:val="auto"/>
          <w:sz w:val="32"/>
          <w:szCs w:val="32"/>
          <w:u w:val="none" w:color="auto"/>
        </w:rPr>
      </w:pPr>
    </w:p>
    <w:p>
      <w:pPr>
        <w:spacing w:line="700" w:lineRule="atLeast"/>
        <w:jc w:val="center"/>
        <w:textAlignment w:val="auto"/>
        <w:rPr>
          <w:rFonts w:hint="eastAsia" w:ascii="Calibri" w:hAnsi="Calibri" w:cs="宋体"/>
          <w:color w:val="auto"/>
          <w:szCs w:val="21"/>
          <w:u w:val="none" w:color="auto"/>
        </w:rPr>
      </w:pPr>
      <w:r>
        <w:rPr>
          <w:rFonts w:hint="eastAsia" w:ascii="仿宋_GB2312" w:hAnsi="Calibri" w:eastAsia="仿宋_GB2312" w:cs="宋体"/>
          <w:color w:val="auto"/>
          <w:sz w:val="32"/>
          <w:szCs w:val="32"/>
          <w:u w:val="none" w:color="auto"/>
        </w:rPr>
        <w:t xml:space="preserve">                       2022年6月1日</w:t>
      </w:r>
    </w:p>
    <w:p>
      <w:pPr>
        <w:spacing w:line="240" w:lineRule="auto"/>
        <w:jc w:val="left"/>
        <w:textAlignment w:val="auto"/>
        <w:rPr>
          <w:rFonts w:ascii="微软简标宋" w:eastAsia="微软简标宋"/>
          <w:color w:val="auto"/>
          <w:sz w:val="44"/>
          <w:u w:val="none" w:color="auto"/>
        </w:rPr>
        <w:sectPr>
          <w:pgSz w:w="11906" w:h="16838"/>
          <w:pgMar w:top="1440" w:right="1287" w:bottom="1440" w:left="1797" w:header="720" w:footer="720" w:gutter="0"/>
          <w:cols w:space="720" w:num="1"/>
          <w:docGrid w:linePitch="312" w:charSpace="0"/>
        </w:sectPr>
      </w:pPr>
    </w:p>
    <w:p>
      <w:pPr>
        <w:spacing w:line="700" w:lineRule="atLeast"/>
        <w:jc w:val="center"/>
        <w:textAlignment w:val="auto"/>
        <w:rPr>
          <w:rFonts w:ascii="微软简标宋" w:eastAsia="微软简标宋"/>
          <w:color w:val="auto"/>
          <w:sz w:val="44"/>
          <w:szCs w:val="44"/>
          <w:u w:val="none" w:color="auto"/>
        </w:rPr>
      </w:pPr>
      <w:r>
        <w:rPr>
          <w:rFonts w:hint="eastAsia" w:ascii="微软简标宋" w:eastAsia="微软简标宋"/>
          <w:color w:val="auto"/>
          <w:sz w:val="44"/>
          <w:u w:val="none" w:color="auto"/>
        </w:rPr>
        <w:t>三门峡市黄河流域农村环境突出问题</w:t>
      </w:r>
    </w:p>
    <w:p>
      <w:pPr>
        <w:spacing w:line="700" w:lineRule="atLeast"/>
        <w:jc w:val="center"/>
        <w:textAlignment w:val="auto"/>
        <w:rPr>
          <w:rFonts w:hint="eastAsia" w:ascii="微软简标宋" w:eastAsia="微软简标宋"/>
          <w:color w:val="auto"/>
          <w:sz w:val="44"/>
          <w:u w:val="none" w:color="auto"/>
        </w:rPr>
      </w:pPr>
      <w:r>
        <w:rPr>
          <w:rFonts w:hint="eastAsia" w:ascii="微软简标宋" w:eastAsia="微软简标宋"/>
          <w:color w:val="auto"/>
          <w:sz w:val="44"/>
          <w:u w:val="none" w:color="auto"/>
        </w:rPr>
        <w:t>综合整治专项行动方案</w:t>
      </w:r>
    </w:p>
    <w:p>
      <w:pPr>
        <w:spacing w:line="600" w:lineRule="atLeast"/>
        <w:ind w:firstLine="640"/>
        <w:textAlignment w:val="auto"/>
        <w:rPr>
          <w:rFonts w:hint="eastAsia" w:ascii="方正仿宋_GBK" w:hAnsi="方正仿宋_GBK" w:eastAsia="方正仿宋_GBK" w:cs="宋体"/>
          <w:color w:val="auto"/>
          <w:sz w:val="32"/>
          <w:szCs w:val="32"/>
          <w:u w:val="none" w:color="auto"/>
        </w:rPr>
      </w:pPr>
    </w:p>
    <w:p>
      <w:pPr>
        <w:spacing w:line="600" w:lineRule="atLeast"/>
        <w:ind w:firstLine="640"/>
        <w:textAlignment w:val="auto"/>
        <w:rPr>
          <w:rFonts w:hint="eastAsia" w:ascii="仿宋_GB2312" w:hAnsi="Calibri" w:eastAsia="仿宋_GB2312" w:cs="宋体"/>
          <w:color w:val="auto"/>
          <w:spacing w:val="-20"/>
          <w:sz w:val="32"/>
          <w:szCs w:val="32"/>
          <w:u w:val="none" w:color="auto"/>
        </w:rPr>
      </w:pPr>
      <w:r>
        <w:rPr>
          <w:rFonts w:hint="eastAsia" w:ascii="仿宋_GB2312" w:hAnsi="Calibri" w:eastAsia="仿宋_GB2312" w:cs="宋体"/>
          <w:color w:val="auto"/>
          <w:sz w:val="32"/>
          <w:szCs w:val="32"/>
          <w:u w:val="none" w:color="auto"/>
        </w:rPr>
        <w:t>为认真贯彻党中央、国务省委、省政府及市委、市政府关于加强黄河流域生态环境保护的决策部署，持续改善黄河流域农村环境，着力解决农村环境存在的突出问题，</w:t>
      </w:r>
      <w:r>
        <w:rPr>
          <w:rFonts w:hint="eastAsia" w:ascii="仿宋_GB2312" w:hAnsi="Calibri" w:eastAsia="仿宋_GB2312" w:cs="宋体"/>
          <w:color w:val="auto"/>
          <w:spacing w:val="-20"/>
          <w:sz w:val="32"/>
          <w:szCs w:val="32"/>
          <w:u w:val="none" w:color="auto"/>
        </w:rPr>
        <w:t>制定本方案。</w:t>
      </w:r>
    </w:p>
    <w:p>
      <w:pPr>
        <w:spacing w:line="600" w:lineRule="atLeast"/>
        <w:ind w:firstLine="640"/>
        <w:textAlignment w:val="auto"/>
        <w:rPr>
          <w:rFonts w:hint="eastAsia" w:ascii="黑体" w:hAnsi="黑体" w:eastAsia="黑体" w:cs="宋体"/>
          <w:color w:val="auto"/>
          <w:sz w:val="32"/>
          <w:szCs w:val="32"/>
          <w:u w:val="none" w:color="auto"/>
        </w:rPr>
      </w:pPr>
      <w:r>
        <w:rPr>
          <w:rFonts w:ascii="黑体" w:hAnsi="黑体" w:eastAsia="黑体" w:cs="宋体"/>
          <w:color w:val="auto"/>
          <w:sz w:val="32"/>
          <w:szCs w:val="32"/>
          <w:u w:val="none" w:color="auto"/>
        </w:rPr>
        <w:t>一、工作目标</w:t>
      </w:r>
    </w:p>
    <w:p>
      <w:pPr>
        <w:spacing w:line="600" w:lineRule="atLeast"/>
        <w:ind w:firstLine="640"/>
        <w:textAlignment w:val="auto"/>
        <w:rPr>
          <w:rFonts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以农村生活污水、农村黑臭水体、农业面源污染治理为重点，对我市黄河流域农村环境突出问题开展整治。2022年年底，全市黄河流域农村生活污水治理率达到40%以上，全年新增完成农村环境整治行政村34个，实现农村黑臭水体动态清零。8个乡镇政府驻地生活污水处理设施全面整治提升。</w:t>
      </w:r>
    </w:p>
    <w:p>
      <w:pPr>
        <w:spacing w:line="600" w:lineRule="atLeast"/>
        <w:ind w:firstLine="640"/>
        <w:textAlignment w:val="auto"/>
        <w:rPr>
          <w:rFonts w:hint="eastAsia" w:ascii="黑体" w:hAnsi="黑体" w:eastAsia="黑体" w:cs="宋体"/>
          <w:color w:val="auto"/>
          <w:sz w:val="32"/>
          <w:szCs w:val="32"/>
          <w:u w:val="none" w:color="auto"/>
        </w:rPr>
      </w:pPr>
      <w:r>
        <w:rPr>
          <w:rFonts w:ascii="黑体" w:hAnsi="黑体" w:eastAsia="黑体" w:cs="宋体"/>
          <w:color w:val="auto"/>
          <w:sz w:val="32"/>
          <w:szCs w:val="32"/>
          <w:u w:val="none" w:color="auto"/>
        </w:rPr>
        <w:t>二、重点任务</w:t>
      </w:r>
    </w:p>
    <w:p>
      <w:pPr>
        <w:snapToGrid w:val="0"/>
        <w:spacing w:line="600" w:lineRule="atLeast"/>
        <w:ind w:firstLine="640"/>
        <w:jc w:val="left"/>
        <w:textAlignment w:val="auto"/>
        <w:rPr>
          <w:rFonts w:hint="eastAsia" w:ascii="楷体_GB2312" w:hAnsi="Calibri" w:eastAsia="楷体_GB2312" w:cs="宋体"/>
          <w:b/>
          <w:bCs/>
          <w:color w:val="auto"/>
          <w:sz w:val="32"/>
          <w:szCs w:val="32"/>
          <w:u w:val="none" w:color="auto"/>
        </w:rPr>
      </w:pPr>
      <w:r>
        <w:rPr>
          <w:rFonts w:hint="eastAsia" w:ascii="楷体_GB2312" w:hAnsi="Calibri" w:eastAsia="楷体_GB2312" w:cs="宋体"/>
          <w:b/>
          <w:bCs/>
          <w:color w:val="auto"/>
          <w:sz w:val="32"/>
          <w:szCs w:val="32"/>
          <w:u w:val="none" w:color="auto"/>
        </w:rPr>
        <w:t>（一）整治农村生活污水</w:t>
      </w:r>
    </w:p>
    <w:p>
      <w:pPr>
        <w:spacing w:line="600" w:lineRule="atLeast"/>
        <w:ind w:firstLine="640"/>
        <w:textAlignment w:val="auto"/>
        <w:rPr>
          <w:rFonts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解决乡镇政府驻地生活污水直排问题，根据乡镇政府驻地的规划定位、人口规模及变化、经济社会发展水平等情况，坚持因地制宜、分类施策，科学选择治理模式和工程内容。8个乡镇政府驻地生活污水处理设施需整治提升的要科学谋划，持续推进。</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解决农村生活污水处理设施运行不正常问题，实施未正常运行农村生活污水处理设施分类提升，推进黄河流域28个有改造价值的农村生活污水处理设施和4个水毁的农村生活污水处理设施进行提升改造。</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解决农村生活污水处理设施运行机制不健全问题，加快构建县级政府主导、专业公司建设运维、生态环境部门环境监管的治理体系，加强农村生活污水处理设施监管管理，对日处理规模20吨以上的农村生活污水处理设施开展监督性监测。</w:t>
      </w:r>
    </w:p>
    <w:p>
      <w:pPr>
        <w:snapToGrid w:val="0"/>
        <w:spacing w:line="600" w:lineRule="atLeast"/>
        <w:ind w:firstLine="640"/>
        <w:jc w:val="left"/>
        <w:textAlignment w:val="auto"/>
        <w:rPr>
          <w:rFonts w:hint="eastAsia" w:ascii="楷体_GB2312" w:hAnsi="Calibri" w:eastAsia="楷体_GB2312" w:cs="宋体"/>
          <w:b/>
          <w:bCs/>
          <w:color w:val="auto"/>
          <w:sz w:val="32"/>
          <w:szCs w:val="32"/>
          <w:u w:val="none" w:color="auto"/>
        </w:rPr>
      </w:pPr>
      <w:r>
        <w:rPr>
          <w:rFonts w:ascii="楷体_GB2312" w:hAnsi="Calibri" w:eastAsia="楷体_GB2312" w:cs="宋体"/>
          <w:b/>
          <w:bCs/>
          <w:color w:val="auto"/>
          <w:sz w:val="32"/>
          <w:szCs w:val="32"/>
          <w:u w:val="none" w:color="auto"/>
        </w:rPr>
        <w:t>（二）整</w:t>
      </w:r>
      <w:r>
        <w:rPr>
          <w:rFonts w:hint="eastAsia" w:ascii="楷体_GB2312" w:hAnsi="Calibri" w:eastAsia="楷体_GB2312" w:cs="宋体"/>
          <w:b/>
          <w:bCs/>
          <w:color w:val="auto"/>
          <w:sz w:val="32"/>
          <w:szCs w:val="32"/>
          <w:u w:val="none" w:color="auto"/>
        </w:rPr>
        <w:t>治农村黑臭水体</w:t>
      </w:r>
    </w:p>
    <w:p>
      <w:pPr>
        <w:spacing w:line="600" w:lineRule="atLeast"/>
        <w:ind w:firstLine="640"/>
        <w:textAlignment w:val="auto"/>
        <w:rPr>
          <w:rFonts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1. 整治现有农村黑臭水体，以面积较大、群众反映强烈的农村黑臭水体为重点，对纳入国家监管清单的农村黑臭水体实施优先治理。同时，各县（市、区）可根据工作实际，对纳入省级监管清单的农村黑臭水体进行整治。</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2. 防范新增农村黑臭水体，推动河长制、湖长制体系向村级延伸，定期对农村水体开展巡查巡视，对巡查巡视中发现的垃圾乱堆、粪污直排、污水横流等可能导致出现黑臭水体的情况，及时进行整治，避免形成新的黑臭水体。</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3. 防止已整治水体返黑返臭，定期排查已整治水体周边污染排放情况、定期开展已完成整治黑臭水体监测评估，及时发现问题、采取措施、持续整治、确保已整治水体长治久清。</w:t>
      </w:r>
    </w:p>
    <w:p>
      <w:pPr>
        <w:snapToGrid w:val="0"/>
        <w:spacing w:line="600" w:lineRule="atLeast"/>
        <w:ind w:firstLine="640"/>
        <w:jc w:val="left"/>
        <w:textAlignment w:val="auto"/>
        <w:rPr>
          <w:rFonts w:hint="eastAsia" w:ascii="楷体_GB2312" w:hAnsi="Calibri" w:eastAsia="楷体_GB2312" w:cs="宋体"/>
          <w:b/>
          <w:bCs/>
          <w:color w:val="auto"/>
          <w:sz w:val="32"/>
          <w:szCs w:val="32"/>
          <w:u w:val="none" w:color="auto"/>
        </w:rPr>
      </w:pPr>
      <w:r>
        <w:rPr>
          <w:rFonts w:ascii="楷体_GB2312" w:hAnsi="Calibri" w:eastAsia="楷体_GB2312" w:cs="宋体"/>
          <w:b/>
          <w:bCs/>
          <w:color w:val="auto"/>
          <w:sz w:val="32"/>
          <w:szCs w:val="32"/>
          <w:u w:val="none" w:color="auto"/>
        </w:rPr>
        <w:t>（</w:t>
      </w:r>
      <w:r>
        <w:rPr>
          <w:rFonts w:hint="eastAsia" w:ascii="楷体_GB2312" w:hAnsi="Calibri" w:eastAsia="楷体_GB2312" w:cs="宋体"/>
          <w:b/>
          <w:bCs/>
          <w:color w:val="auto"/>
          <w:sz w:val="32"/>
          <w:szCs w:val="32"/>
          <w:u w:val="none" w:color="auto"/>
        </w:rPr>
        <w:t>三</w:t>
      </w:r>
      <w:r>
        <w:rPr>
          <w:rFonts w:ascii="楷体_GB2312" w:hAnsi="Calibri" w:eastAsia="楷体_GB2312" w:cs="宋体"/>
          <w:b/>
          <w:bCs/>
          <w:color w:val="auto"/>
          <w:sz w:val="32"/>
          <w:szCs w:val="32"/>
          <w:u w:val="none" w:color="auto"/>
        </w:rPr>
        <w:t>）</w:t>
      </w:r>
      <w:r>
        <w:rPr>
          <w:rFonts w:hint="eastAsia" w:ascii="楷体_GB2312" w:hAnsi="Calibri" w:eastAsia="楷体_GB2312" w:cs="宋体"/>
          <w:b/>
          <w:bCs/>
          <w:color w:val="auto"/>
          <w:sz w:val="32"/>
          <w:szCs w:val="32"/>
          <w:u w:val="none" w:color="auto"/>
        </w:rPr>
        <w:t>整治</w:t>
      </w:r>
      <w:r>
        <w:rPr>
          <w:rFonts w:ascii="楷体_GB2312" w:hAnsi="Calibri" w:eastAsia="楷体_GB2312" w:cs="宋体"/>
          <w:b/>
          <w:bCs/>
          <w:color w:val="auto"/>
          <w:sz w:val="32"/>
          <w:szCs w:val="32"/>
          <w:u w:val="none" w:color="auto"/>
        </w:rPr>
        <w:t>农业面源污染</w:t>
      </w:r>
    </w:p>
    <w:p>
      <w:pPr>
        <w:spacing w:line="600" w:lineRule="atLeast"/>
        <w:ind w:firstLine="640"/>
        <w:textAlignment w:val="auto"/>
        <w:rPr>
          <w:rFonts w:ascii="Calibri" w:hAnsi="Calibri" w:cs="宋体"/>
          <w:color w:val="auto"/>
          <w:sz w:val="32"/>
          <w:szCs w:val="32"/>
          <w:u w:val="none" w:color="auto"/>
        </w:rPr>
      </w:pPr>
      <w:r>
        <w:rPr>
          <w:rFonts w:hint="eastAsia" w:ascii="仿宋_GB2312" w:hAnsi="Calibri" w:eastAsia="仿宋_GB2312" w:cs="宋体"/>
          <w:color w:val="auto"/>
          <w:sz w:val="32"/>
          <w:szCs w:val="32"/>
          <w:u w:val="none" w:color="auto"/>
        </w:rPr>
        <w:t>整治畜禽养殖污染。以黄河滩区、黄河干支流沿线为重点，排查畜禽养殖场（户）非法排污问题，建立工作台账，明确整改措施，对未经处理直接排放畜禽粪污污染环境的及时予以查处，对选址不符合相关要求的稳步整改落实。</w:t>
      </w:r>
    </w:p>
    <w:p>
      <w:pPr>
        <w:snapToGrid w:val="0"/>
        <w:spacing w:line="600" w:lineRule="atLeast"/>
        <w:ind w:firstLine="640"/>
        <w:jc w:val="left"/>
        <w:textAlignment w:val="auto"/>
        <w:rPr>
          <w:rFonts w:ascii="楷体_GB2312" w:hAnsi="Calibri" w:eastAsia="楷体_GB2312" w:cs="宋体"/>
          <w:b/>
          <w:bCs/>
          <w:color w:val="auto"/>
          <w:sz w:val="32"/>
          <w:szCs w:val="32"/>
          <w:u w:val="none" w:color="auto"/>
        </w:rPr>
      </w:pPr>
      <w:r>
        <w:rPr>
          <w:rFonts w:ascii="楷体_GB2312" w:hAnsi="Calibri" w:eastAsia="楷体_GB2312" w:cs="宋体"/>
          <w:b/>
          <w:bCs/>
          <w:color w:val="auto"/>
          <w:sz w:val="32"/>
          <w:szCs w:val="32"/>
          <w:u w:val="none" w:color="auto"/>
        </w:rPr>
        <w:t>（</w:t>
      </w:r>
      <w:r>
        <w:rPr>
          <w:rFonts w:hint="eastAsia" w:ascii="楷体_GB2312" w:hAnsi="Calibri" w:eastAsia="楷体_GB2312" w:cs="宋体"/>
          <w:b/>
          <w:bCs/>
          <w:color w:val="auto"/>
          <w:sz w:val="32"/>
          <w:szCs w:val="32"/>
          <w:u w:val="none" w:color="auto"/>
        </w:rPr>
        <w:t>四</w:t>
      </w:r>
      <w:r>
        <w:rPr>
          <w:rFonts w:ascii="楷体_GB2312" w:hAnsi="Calibri" w:eastAsia="楷体_GB2312" w:cs="宋体"/>
          <w:b/>
          <w:bCs/>
          <w:color w:val="auto"/>
          <w:sz w:val="32"/>
          <w:szCs w:val="32"/>
          <w:u w:val="none" w:color="auto"/>
        </w:rPr>
        <w:t>）整村</w:t>
      </w:r>
      <w:r>
        <w:rPr>
          <w:rFonts w:hint="eastAsia" w:ascii="楷体_GB2312" w:hAnsi="Calibri" w:eastAsia="楷体_GB2312" w:cs="宋体"/>
          <w:b/>
          <w:bCs/>
          <w:color w:val="auto"/>
          <w:sz w:val="32"/>
          <w:szCs w:val="32"/>
          <w:u w:val="none" w:color="auto"/>
        </w:rPr>
        <w:t>推进</w:t>
      </w:r>
      <w:r>
        <w:rPr>
          <w:rFonts w:ascii="楷体_GB2312" w:hAnsi="Calibri" w:eastAsia="楷体_GB2312" w:cs="宋体"/>
          <w:b/>
          <w:bCs/>
          <w:color w:val="auto"/>
          <w:sz w:val="32"/>
          <w:szCs w:val="32"/>
          <w:u w:val="none" w:color="auto"/>
        </w:rPr>
        <w:t>环境</w:t>
      </w:r>
      <w:r>
        <w:rPr>
          <w:rFonts w:hint="eastAsia" w:ascii="楷体_GB2312" w:hAnsi="Calibri" w:eastAsia="楷体_GB2312" w:cs="宋体"/>
          <w:b/>
          <w:bCs/>
          <w:color w:val="auto"/>
          <w:sz w:val="32"/>
          <w:szCs w:val="32"/>
          <w:u w:val="none" w:color="auto"/>
        </w:rPr>
        <w:t>整治</w:t>
      </w:r>
    </w:p>
    <w:p>
      <w:pPr>
        <w:spacing w:line="600" w:lineRule="atLeast"/>
        <w:ind w:firstLine="640"/>
        <w:textAlignment w:val="auto"/>
        <w:rPr>
          <w:rFonts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1. 提升村庄“颜值”，以行政村为单位，以农村生活污水、黑臭水体、集中式饮用水水源地为重点，聚焦黄河干支流沿线、城乡结合部、乡镇政府驻地等重点区域，整村推进环境整治。2022年年底前，黄河流域新增完成农村环境整治行政村30个，达到国家要求的三项标准。</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2. 巩固整治成效，对已完成农村环境整治任务的村庄开展排查，按照“县级自评、市级复核”的工作机制，持续开展农村环境整治成效评估工作，做到“整治一个（批）、验收一个（批）”，不断巩固农村环境整治成果。</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3. 解决垃圾等其他问题，围绕农村生活物品乱堆乱放、生活垃圾乱倒乱扔、房前屋后乱搭乱建等现象，持续治理“六乱”、开展“六清”，推动黄河流域农村人居环境提档升级。</w:t>
      </w:r>
    </w:p>
    <w:p>
      <w:pPr>
        <w:spacing w:line="600" w:lineRule="atLeast"/>
        <w:ind w:firstLine="640"/>
        <w:textAlignment w:val="auto"/>
        <w:rPr>
          <w:rFonts w:hint="eastAsia" w:ascii="黑体" w:hAnsi="黑体" w:eastAsia="黑体" w:cs="宋体"/>
          <w:color w:val="auto"/>
          <w:sz w:val="32"/>
          <w:szCs w:val="32"/>
          <w:u w:val="none" w:color="auto"/>
        </w:rPr>
      </w:pPr>
      <w:r>
        <w:rPr>
          <w:rFonts w:ascii="黑体" w:hAnsi="黑体" w:eastAsia="黑体" w:cs="宋体"/>
          <w:color w:val="auto"/>
          <w:sz w:val="32"/>
          <w:szCs w:val="32"/>
          <w:u w:val="none" w:color="auto"/>
        </w:rPr>
        <w:t>三、保障措施</w:t>
      </w:r>
    </w:p>
    <w:p>
      <w:pPr>
        <w:spacing w:line="600" w:lineRule="atLeast"/>
        <w:ind w:firstLine="640"/>
        <w:textAlignment w:val="auto"/>
        <w:rPr>
          <w:rFonts w:ascii="仿宋_GB2312" w:hAnsi="Calibri" w:eastAsia="仿宋_GB2312" w:cs="宋体"/>
          <w:color w:val="auto"/>
          <w:sz w:val="32"/>
          <w:szCs w:val="32"/>
          <w:u w:val="none" w:color="auto"/>
        </w:rPr>
      </w:pPr>
      <w:r>
        <w:rPr>
          <w:rFonts w:ascii="楷体_GB2312" w:hAnsi="Calibri" w:eastAsia="楷体_GB2312" w:cs="宋体"/>
          <w:b/>
          <w:bCs/>
          <w:color w:val="auto"/>
          <w:sz w:val="32"/>
          <w:szCs w:val="32"/>
          <w:u w:val="none" w:color="auto"/>
        </w:rPr>
        <w:t>（一）细化工作方案。</w:t>
      </w:r>
      <w:r>
        <w:rPr>
          <w:rFonts w:hint="eastAsia" w:ascii="仿宋_GB2312" w:hAnsi="Calibri" w:eastAsia="仿宋_GB2312" w:cs="宋体"/>
          <w:color w:val="auto"/>
          <w:sz w:val="32"/>
          <w:szCs w:val="32"/>
          <w:u w:val="none" w:color="auto"/>
        </w:rPr>
        <w:t>有关县（市、区）要按照该方案要求，结合当地实际，制定专项方案，明确目标、细化任务、强化措施、落实责任，并于2022年5月10日前将专项方案和联络人信息表（见附件4）报市生态环境局。</w:t>
      </w:r>
    </w:p>
    <w:p>
      <w:pPr>
        <w:spacing w:line="600" w:lineRule="atLeast"/>
        <w:ind w:firstLine="640"/>
        <w:textAlignment w:val="auto"/>
        <w:rPr>
          <w:rFonts w:hint="eastAsia" w:ascii="仿宋_GB2312" w:hAnsi="Calibri" w:eastAsia="仿宋_GB2312" w:cs="宋体"/>
          <w:color w:val="auto"/>
          <w:sz w:val="32"/>
          <w:szCs w:val="32"/>
          <w:u w:val="none" w:color="auto"/>
        </w:rPr>
      </w:pPr>
      <w:r>
        <w:rPr>
          <w:rFonts w:ascii="楷体_GB2312" w:hAnsi="Calibri" w:eastAsia="楷体_GB2312" w:cs="宋体"/>
          <w:b/>
          <w:bCs/>
          <w:color w:val="auto"/>
          <w:sz w:val="32"/>
          <w:szCs w:val="32"/>
          <w:u w:val="none" w:color="auto"/>
        </w:rPr>
        <w:t>（二）加强工作调度。</w:t>
      </w:r>
      <w:r>
        <w:rPr>
          <w:rFonts w:hint="eastAsia" w:ascii="仿宋_GB2312" w:hAnsi="Calibri" w:eastAsia="仿宋_GB2312" w:cs="宋体"/>
          <w:color w:val="auto"/>
          <w:sz w:val="32"/>
          <w:szCs w:val="32"/>
          <w:u w:val="none" w:color="auto"/>
        </w:rPr>
        <w:t>市环委会办公室将建立定期调度机制，及时掌握各地工作进展，通报工作完成情况。各县（市、区）要同步建立调度机制，明确专人于每季度末月15日前报送《黄河流域农村环境突出问题综合整治专项行动调度表》（见附件3）。</w:t>
      </w:r>
    </w:p>
    <w:p>
      <w:pPr>
        <w:spacing w:line="600" w:lineRule="atLeast"/>
        <w:ind w:firstLine="640"/>
        <w:textAlignment w:val="auto"/>
        <w:rPr>
          <w:rFonts w:hint="eastAsia" w:ascii="仿宋_GB2312" w:hAnsi="Calibri" w:eastAsia="仿宋_GB2312" w:cs="宋体"/>
          <w:color w:val="auto"/>
          <w:sz w:val="32"/>
          <w:szCs w:val="32"/>
          <w:u w:val="none" w:color="auto"/>
        </w:rPr>
      </w:pPr>
      <w:r>
        <w:rPr>
          <w:rFonts w:ascii="楷体_GB2312" w:hAnsi="Calibri" w:eastAsia="楷体_GB2312" w:cs="宋体"/>
          <w:b/>
          <w:bCs/>
          <w:color w:val="auto"/>
          <w:sz w:val="32"/>
          <w:szCs w:val="32"/>
          <w:u w:val="none" w:color="auto"/>
        </w:rPr>
        <w:t>（三）强化督导帮扶。</w:t>
      </w:r>
      <w:r>
        <w:rPr>
          <w:rFonts w:hint="eastAsia" w:ascii="仿宋_GB2312" w:hAnsi="Calibri" w:eastAsia="仿宋_GB2312" w:cs="宋体"/>
          <w:color w:val="auto"/>
          <w:sz w:val="32"/>
          <w:szCs w:val="32"/>
          <w:u w:val="none" w:color="auto"/>
        </w:rPr>
        <w:t>各县（市、区）要将黄河流域农村环境突出问题纳入督导帮扶和日常执法内容，对工作完成情况开展跟踪问效，指导帮扶。市环委会办公室将不定期开展督导帮扶，对工作滞后或存在突出环境问题的地区，开展专题辅导、专项督导。</w:t>
      </w:r>
    </w:p>
    <w:p>
      <w:pPr>
        <w:spacing w:line="600" w:lineRule="atLeast"/>
        <w:ind w:firstLine="640"/>
        <w:textAlignment w:val="auto"/>
        <w:rPr>
          <w:rFonts w:hint="eastAsia" w:ascii="仿宋_GB2312" w:hAnsi="Calibri" w:eastAsia="仿宋_GB2312" w:cs="宋体"/>
          <w:color w:val="auto"/>
          <w:sz w:val="32"/>
          <w:szCs w:val="32"/>
          <w:u w:val="none" w:color="auto"/>
        </w:rPr>
      </w:pPr>
      <w:r>
        <w:rPr>
          <w:rFonts w:ascii="楷体_GB2312" w:hAnsi="Calibri" w:eastAsia="楷体_GB2312" w:cs="宋体"/>
          <w:b/>
          <w:bCs/>
          <w:color w:val="auto"/>
          <w:sz w:val="32"/>
          <w:szCs w:val="32"/>
          <w:u w:val="none" w:color="auto"/>
        </w:rPr>
        <w:t>（四）做好统筹衔接。</w:t>
      </w:r>
      <w:r>
        <w:rPr>
          <w:rFonts w:hint="eastAsia" w:ascii="仿宋_GB2312" w:hAnsi="Calibri" w:eastAsia="仿宋_GB2312" w:cs="宋体"/>
          <w:color w:val="auto"/>
          <w:sz w:val="32"/>
          <w:szCs w:val="32"/>
          <w:u w:val="none" w:color="auto"/>
        </w:rPr>
        <w:t>各县（市、区）要把黄河流域农村环境突出问题综合整治专项行动纳入农业农村污染治理攻坚战，与农村人居环境集中整治提升行动、“十县百镇千村”示范创建活动相结合，充分利用各类示范创建或专项整治行动，推动黄河流域农村环境突出问题得到全面整治。</w:t>
      </w:r>
    </w:p>
    <w:p>
      <w:pPr>
        <w:spacing w:line="600" w:lineRule="atLeast"/>
        <w:ind w:firstLine="627"/>
        <w:textAlignment w:val="auto"/>
        <w:rPr>
          <w:rFonts w:hint="eastAsia" w:ascii="Calibri" w:hAnsi="Calibri" w:cs="宋体"/>
          <w:b/>
          <w:bCs/>
          <w:color w:val="auto"/>
          <w:sz w:val="32"/>
          <w:szCs w:val="32"/>
          <w:u w:val="none" w:color="auto"/>
        </w:rPr>
      </w:pPr>
    </w:p>
    <w:p>
      <w:pPr>
        <w:spacing w:line="600" w:lineRule="atLeast"/>
        <w:ind w:firstLine="640"/>
        <w:textAlignment w:val="auto"/>
        <w:rPr>
          <w:rFonts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附件：1. 黄河流域核心区县（市、区）名单</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 xml:space="preserve">      2.黄河流域农村生活污水及黑臭水体治理指导</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 xml:space="preserve">        目标</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 xml:space="preserve">      3.黄河流域农村环境突出问题综合整治专项行</w:t>
      </w:r>
    </w:p>
    <w:p>
      <w:pPr>
        <w:spacing w:line="600" w:lineRule="atLeast"/>
        <w:ind w:firstLine="640"/>
        <w:textAlignment w:val="auto"/>
        <w:rPr>
          <w:rFonts w:hint="eastAsia" w:ascii="仿宋_GB2312" w:hAnsi="Calibri" w:eastAsia="仿宋_GB2312" w:cs="宋体"/>
          <w:color w:val="auto"/>
          <w:sz w:val="32"/>
          <w:szCs w:val="32"/>
          <w:u w:val="none" w:color="auto"/>
        </w:rPr>
      </w:pPr>
      <w:r>
        <w:rPr>
          <w:rFonts w:hint="eastAsia" w:ascii="仿宋_GB2312" w:hAnsi="Calibri" w:eastAsia="仿宋_GB2312" w:cs="宋体"/>
          <w:color w:val="auto"/>
          <w:sz w:val="32"/>
          <w:szCs w:val="32"/>
          <w:u w:val="none" w:color="auto"/>
        </w:rPr>
        <w:t xml:space="preserve">        动调度表</w:t>
      </w:r>
    </w:p>
    <w:p>
      <w:pPr>
        <w:spacing w:line="600" w:lineRule="atLeast"/>
        <w:ind w:firstLine="640"/>
        <w:textAlignment w:val="auto"/>
        <w:rPr>
          <w:rFonts w:hint="eastAsia" w:ascii="仿宋_GB2312" w:hAnsi="Calibri" w:eastAsia="仿宋_GB2312" w:cs="宋体"/>
          <w:color w:val="auto"/>
          <w:sz w:val="32"/>
          <w:szCs w:val="32"/>
          <w:u w:val="none" w:color="auto"/>
        </w:rPr>
      </w:pPr>
    </w:p>
    <w:p>
      <w:pPr>
        <w:spacing w:line="600" w:lineRule="atLeast"/>
        <w:ind w:firstLine="640"/>
        <w:textAlignment w:val="auto"/>
        <w:rPr>
          <w:rFonts w:hint="eastAsia" w:ascii="仿宋_GB2312" w:hAnsi="Calibri" w:eastAsia="仿宋_GB2312" w:cs="宋体"/>
          <w:color w:val="auto"/>
          <w:sz w:val="32"/>
          <w:szCs w:val="32"/>
          <w:u w:val="none" w:color="auto"/>
        </w:rPr>
      </w:pPr>
    </w:p>
    <w:p>
      <w:pPr>
        <w:widowControl w:val="0"/>
        <w:textAlignment w:val="auto"/>
        <w:rPr>
          <w:rFonts w:hint="eastAsia" w:eastAsia="仿宋_GB2312"/>
          <w:sz w:val="32"/>
          <w:szCs w:val="32"/>
        </w:rPr>
      </w:pPr>
    </w:p>
    <w:p>
      <w:pPr>
        <w:widowControl w:val="0"/>
        <w:textAlignment w:val="auto"/>
        <w:rPr>
          <w:rFonts w:hint="eastAsia" w:eastAsia="仿宋_GB2312"/>
          <w:sz w:val="32"/>
          <w:szCs w:val="32"/>
        </w:rPr>
      </w:pPr>
    </w:p>
    <w:p>
      <w:pPr>
        <w:widowControl w:val="0"/>
        <w:textAlignment w:val="auto"/>
        <w:rPr>
          <w:rFonts w:hint="eastAsia" w:eastAsia="仿宋_GB2312"/>
          <w:sz w:val="32"/>
          <w:szCs w:val="32"/>
        </w:rPr>
      </w:pPr>
    </w:p>
    <w:p>
      <w:pPr>
        <w:widowControl w:val="0"/>
        <w:textAlignment w:val="auto"/>
        <w:rPr>
          <w:rFonts w:hint="eastAsia" w:eastAsia="仿宋_GB2312"/>
          <w:sz w:val="32"/>
          <w:szCs w:val="32"/>
        </w:rPr>
      </w:pPr>
    </w:p>
    <w:p>
      <w:pPr>
        <w:widowControl w:val="0"/>
        <w:textAlignment w:val="auto"/>
        <w:rPr>
          <w:rFonts w:hint="eastAsia" w:eastAsia="仿宋_GB2312"/>
          <w:sz w:val="32"/>
          <w:szCs w:val="32"/>
        </w:rPr>
      </w:pPr>
    </w:p>
    <w:p>
      <w:pPr>
        <w:widowControl w:val="0"/>
        <w:textAlignment w:val="auto"/>
        <w:rPr>
          <w:rFonts w:hint="eastAsia" w:eastAsia="仿宋_GB2312"/>
          <w:sz w:val="32"/>
          <w:szCs w:val="32"/>
        </w:rPr>
      </w:pPr>
    </w:p>
    <w:p>
      <w:pPr>
        <w:widowControl w:val="0"/>
        <w:textAlignment w:val="auto"/>
        <w:rPr>
          <w:rFonts w:hint="eastAsia" w:eastAsia="仿宋_GB2312"/>
          <w:sz w:val="32"/>
          <w:szCs w:val="32"/>
        </w:rPr>
      </w:pPr>
    </w:p>
    <w:p>
      <w:pPr>
        <w:widowControl w:val="0"/>
        <w:textAlignment w:val="auto"/>
        <w:rPr>
          <w:rFonts w:hint="eastAsia" w:eastAsia="仿宋_GB2312"/>
          <w:sz w:val="32"/>
          <w:szCs w:val="32"/>
        </w:rPr>
      </w:pPr>
    </w:p>
    <w:p>
      <w:pPr>
        <w:spacing w:line="600" w:lineRule="exact"/>
        <w:ind w:firstLine="357"/>
        <w:jc w:val="left"/>
        <w:textAlignment w:val="auto"/>
        <w:rPr>
          <w:rFonts w:hint="eastAsia" w:ascii="仿宋_GB2312" w:eastAsia="仿宋_GB2312"/>
          <w:sz w:val="32"/>
          <w:szCs w:val="32"/>
        </w:rPr>
      </w:pPr>
      <w:r>
        <w:rPr>
          <w:rFonts w:hint="eastAsia" w:ascii="仿宋_GB2312" w:eastAsia="仿宋_GB2312"/>
          <w:sz w:val="28"/>
          <w:szCs w:val="28"/>
          <w:u w:val="none" w:color="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403860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8pt;height:0pt;width:441pt;z-index:251659264;mso-width-relative:page;mso-height-relative:page;" filled="f" stroked="t" coordsize="21600,21600" o:gfxdata="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8A3m7VAAAABgEAAA8AAAAAAAAA&#10;AQAgAAAAIgAAAGRycy9kb3ducmV2LnhtbFBLAQIUABQAAAAIAIdO4kD3Awx12wEAAJcDAAAOAAAA&#10;AAAAAAEAIAAAACQBAABkcnMvZTJvRG9jLnhtbFBLBQYAAAAABgAGAFkBAABxBQAAAAA=&#10;">
                <v:fill on="f" focussize="0,0"/>
                <v:stroke weight="1.25pt" color="#000000" joinstyle="round"/>
                <v:imagedata o:title=""/>
                <o:lock v:ext="edit" aspectratio="f"/>
              </v:line>
            </w:pict>
          </mc:Fallback>
        </mc:AlternateContent>
      </w:r>
      <w:r>
        <w:rPr>
          <w:rFonts w:hint="eastAsia" w:ascii="仿宋_GB2312" w:eastAsia="仿宋_GB2312"/>
          <w:sz w:val="28"/>
          <w:szCs w:val="28"/>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pt;width:441pt;z-index:251660288;mso-width-relative:page;mso-height-relative:page;" filled="f" stroked="t" coordsize="21600,21600" o:gfxdata="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c4zJ0gAAAAQBAAAPAAAAAAAAAAEAIAAA&#10;ACIAAABkcnMvZG93bnJldi54bWxQSwECFAAUAAAACACHTuJAxYq2oNkBAACXAwAADgAAAAAAAAAB&#10;ACAAAAAhAQAAZHJzL2Uyb0RvYy54bWxQSwUGAAAAAAYABgBZAQAAbAUAAAAA&#10;">
                <v:fill on="f" focussize="0,0"/>
                <v:stroke weight="1.25pt" color="#000000" joinstyle="round"/>
                <v:imagedata o:title=""/>
                <o:lock v:ext="edit" aspectratio="f"/>
              </v:line>
            </w:pict>
          </mc:Fallback>
        </mc:AlternateContent>
      </w:r>
      <w:r>
        <w:rPr>
          <w:rFonts w:hint="eastAsia" w:ascii="仿宋" w:hAnsi="仿宋" w:eastAsia="仿宋"/>
          <w:sz w:val="28"/>
          <w:szCs w:val="28"/>
        </w:rPr>
        <w:t xml:space="preserve">三门峡市生态环境局办公室                </w:t>
      </w:r>
      <w:r>
        <w:rPr>
          <w:rFonts w:hint="eastAsia" w:ascii="仿宋_GB2312" w:hAnsi="仿宋" w:eastAsia="仿宋_GB2312"/>
          <w:sz w:val="28"/>
          <w:szCs w:val="28"/>
        </w:rPr>
        <w:t>2022年6月1日印发</w:t>
      </w:r>
    </w:p>
    <w:p>
      <w:pPr>
        <w:widowControl w:val="0"/>
        <w:textAlignment w:val="auto"/>
        <w:rPr>
          <w:rFonts w:hint="eastAsia" w:eastAsia="仿宋_GB2312"/>
          <w:sz w:val="32"/>
          <w:szCs w:val="32"/>
        </w:rPr>
      </w:pPr>
      <w:r>
        <w:rPr>
          <w:rFonts w:eastAsia="仿宋_GB2312"/>
          <w:sz w:val="32"/>
          <w:szCs w:val="32"/>
          <w:u w:val="none" w:color="auto"/>
        </w:rPr>
        <w:drawing>
          <wp:anchor distT="0" distB="0" distL="114300" distR="114300" simplePos="0" relativeHeight="251661312" behindDoc="0" locked="0" layoutInCell="1" allowOverlap="1">
            <wp:simplePos x="0" y="0"/>
            <wp:positionH relativeFrom="column">
              <wp:posOffset>3790950</wp:posOffset>
            </wp:positionH>
            <wp:positionV relativeFrom="paragraph">
              <wp:posOffset>75565</wp:posOffset>
            </wp:positionV>
            <wp:extent cx="1790700" cy="476250"/>
            <wp:effectExtent l="0" t="0" r="0" b="0"/>
            <wp:wrapNone/>
            <wp:docPr id="2" name="gwcs-pdf"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cs-pdf" descr="temp"/>
                    <pic:cNvPicPr>
                      <a:picLocks noChangeAspect="1"/>
                    </pic:cNvPicPr>
                  </pic:nvPicPr>
                  <pic:blipFill>
                    <a:blip r:embed="rId12"/>
                    <a:stretch>
                      <a:fillRect/>
                    </a:stretch>
                  </pic:blipFill>
                  <pic:spPr>
                    <a:xfrm>
                      <a:off x="0" y="0"/>
                      <a:ext cx="1790700" cy="476250"/>
                    </a:xfrm>
                    <a:prstGeom prst="rect">
                      <a:avLst/>
                    </a:prstGeom>
                    <a:noFill/>
                    <a:ln w="9525">
                      <a:noFill/>
                    </a:ln>
                  </pic:spPr>
                </pic:pic>
              </a:graphicData>
            </a:graphic>
          </wp:anchor>
        </w:drawing>
      </w:r>
    </w:p>
    <w:p>
      <w:pPr>
        <w:widowControl w:val="0"/>
        <w:textAlignment w:val="auto"/>
        <w:rPr>
          <w:rFonts w:eastAsia="仿宋_GB2312"/>
          <w:sz w:val="32"/>
          <w:szCs w:val="32"/>
        </w:rPr>
        <w:sectPr>
          <w:footerReference r:id="rId3" w:type="default"/>
          <w:footerReference r:id="rId4" w:type="even"/>
          <w:pgSz w:w="11906" w:h="16838"/>
          <w:pgMar w:top="1440" w:right="1287" w:bottom="1440" w:left="1797" w:header="851" w:footer="992" w:gutter="0"/>
          <w:cols w:space="720" w:num="1"/>
          <w:docGrid w:linePitch="312" w:charSpace="0"/>
        </w:sectPr>
      </w:pPr>
    </w:p>
    <w:p>
      <w:pPr>
        <w:widowControl w:val="0"/>
        <w:textAlignment w:val="auto"/>
        <w:rPr>
          <w:rFonts w:hint="eastAsia" w:ascii="黑体" w:hAnsi="黑体" w:eastAsia="黑体"/>
          <w:sz w:val="32"/>
          <w:szCs w:val="32"/>
          <w:lang w:val="en"/>
        </w:rPr>
      </w:pPr>
      <w:r>
        <w:rPr>
          <w:rFonts w:hint="eastAsia" w:ascii="黑体" w:hAnsi="黑体" w:eastAsia="黑体"/>
          <w:sz w:val="32"/>
          <w:szCs w:val="32"/>
          <w:lang w:val="en"/>
        </w:rPr>
        <w:t>附件1</w:t>
      </w:r>
    </w:p>
    <w:p>
      <w:pPr>
        <w:widowControl w:val="0"/>
        <w:textAlignment w:val="auto"/>
        <w:rPr>
          <w:rFonts w:hint="eastAsia" w:ascii="黑体" w:hAnsi="黑体" w:eastAsia="黑体"/>
          <w:sz w:val="32"/>
          <w:szCs w:val="32"/>
          <w:lang w:val="en"/>
        </w:rPr>
      </w:pPr>
    </w:p>
    <w:p>
      <w:pPr>
        <w:spacing w:line="240" w:lineRule="auto"/>
        <w:jc w:val="center"/>
        <w:textAlignment w:val="auto"/>
        <w:rPr>
          <w:rFonts w:ascii="微软简标宋" w:hAnsi="华文中宋" w:eastAsia="微软简标宋" w:cs="宋体"/>
          <w:sz w:val="44"/>
          <w:szCs w:val="44"/>
          <w:u w:val="none" w:color="auto"/>
        </w:rPr>
      </w:pPr>
      <w:r>
        <w:rPr>
          <w:rFonts w:hint="eastAsia" w:ascii="微软简标宋" w:hAnsi="华文中宋" w:eastAsia="微软简标宋" w:cs="宋体"/>
          <w:sz w:val="44"/>
          <w:szCs w:val="44"/>
          <w:u w:val="none" w:color="auto"/>
        </w:rPr>
        <w:t>黄河流域核心区县（市、区）名单</w:t>
      </w:r>
    </w:p>
    <w:p>
      <w:pPr>
        <w:spacing w:line="240" w:lineRule="auto"/>
        <w:ind w:firstLine="562"/>
        <w:textAlignment w:val="auto"/>
        <w:rPr>
          <w:rFonts w:hint="eastAsia" w:eastAsia="华文中宋"/>
          <w:color w:val="auto"/>
          <w:sz w:val="28"/>
          <w:szCs w:val="28"/>
          <w:u w:val="none" w:color="auto"/>
        </w:rPr>
      </w:pPr>
    </w:p>
    <w:tbl>
      <w:tblPr>
        <w:tblStyle w:val="6"/>
        <w:tblW w:w="9301" w:type="dxa"/>
        <w:tblInd w:w="0" w:type="dxa"/>
        <w:tblLayout w:type="fixed"/>
        <w:tblCellMar>
          <w:top w:w="0" w:type="dxa"/>
          <w:left w:w="108" w:type="dxa"/>
          <w:bottom w:w="0" w:type="dxa"/>
          <w:right w:w="108" w:type="dxa"/>
        </w:tblCellMar>
      </w:tblPr>
      <w:tblGrid>
        <w:gridCol w:w="2341"/>
        <w:gridCol w:w="6960"/>
      </w:tblGrid>
      <w:tr>
        <w:tblPrEx>
          <w:tblLayout w:type="fixed"/>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auto"/>
              <w:rPr>
                <w:rFonts w:eastAsia="华文中宋"/>
                <w:b/>
                <w:bCs/>
                <w:color w:val="auto"/>
                <w:sz w:val="28"/>
                <w:szCs w:val="28"/>
                <w:u w:val="none" w:color="auto"/>
              </w:rPr>
            </w:pPr>
            <w:r>
              <w:rPr>
                <w:rFonts w:eastAsia="华文中宋"/>
                <w:b/>
                <w:bCs/>
                <w:color w:val="auto"/>
                <w:sz w:val="28"/>
                <w:szCs w:val="28"/>
                <w:u w:val="none" w:color="auto"/>
              </w:rPr>
              <w:t>省辖市</w:t>
            </w:r>
          </w:p>
        </w:tc>
        <w:tc>
          <w:tcPr>
            <w:tcW w:w="6960" w:type="dxa"/>
            <w:tcBorders>
              <w:top w:val="single" w:color="000000" w:sz="4" w:space="0"/>
              <w:left w:val="nil"/>
              <w:bottom w:val="single" w:color="000000" w:sz="4" w:space="0"/>
              <w:right w:val="single" w:color="000000" w:sz="4" w:space="0"/>
            </w:tcBorders>
            <w:vAlign w:val="center"/>
          </w:tcPr>
          <w:p>
            <w:pPr>
              <w:spacing w:line="240" w:lineRule="auto"/>
              <w:ind w:firstLine="560"/>
              <w:jc w:val="center"/>
              <w:textAlignment w:val="auto"/>
              <w:rPr>
                <w:rFonts w:eastAsia="华文中宋"/>
                <w:b/>
                <w:bCs/>
                <w:color w:val="auto"/>
                <w:sz w:val="28"/>
                <w:szCs w:val="28"/>
                <w:u w:val="none" w:color="auto"/>
              </w:rPr>
            </w:pPr>
            <w:r>
              <w:rPr>
                <w:rFonts w:eastAsia="华文中宋"/>
                <w:b/>
                <w:bCs/>
                <w:color w:val="auto"/>
                <w:sz w:val="28"/>
                <w:szCs w:val="28"/>
                <w:u w:val="none" w:color="auto"/>
              </w:rPr>
              <w:t>县（市、区）</w:t>
            </w:r>
          </w:p>
        </w:tc>
      </w:tr>
      <w:tr>
        <w:tblPrEx>
          <w:tblLayout w:type="fixed"/>
          <w:tblCellMar>
            <w:top w:w="0" w:type="dxa"/>
            <w:left w:w="108" w:type="dxa"/>
            <w:bottom w:w="0" w:type="dxa"/>
            <w:right w:w="108" w:type="dxa"/>
          </w:tblCellMar>
        </w:tblPrEx>
        <w:trPr>
          <w:trHeight w:val="1424"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auto"/>
              <w:rPr>
                <w:rFonts w:eastAsia="华文中宋"/>
                <w:color w:val="auto"/>
                <w:sz w:val="24"/>
                <w:szCs w:val="24"/>
                <w:u w:val="none" w:color="auto"/>
              </w:rPr>
            </w:pPr>
            <w:r>
              <w:rPr>
                <w:rFonts w:eastAsia="华文中宋"/>
                <w:color w:val="auto"/>
                <w:sz w:val="24"/>
                <w:szCs w:val="24"/>
                <w:u w:val="none" w:color="auto"/>
              </w:rPr>
              <w:t>三门峡市</w:t>
            </w:r>
          </w:p>
        </w:tc>
        <w:tc>
          <w:tcPr>
            <w:tcW w:w="6960" w:type="dxa"/>
            <w:tcBorders>
              <w:top w:val="single" w:color="000000" w:sz="4" w:space="0"/>
              <w:left w:val="nil"/>
              <w:bottom w:val="single" w:color="000000" w:sz="4" w:space="0"/>
              <w:right w:val="single" w:color="000000" w:sz="4" w:space="0"/>
            </w:tcBorders>
            <w:vAlign w:val="center"/>
          </w:tcPr>
          <w:p>
            <w:pPr>
              <w:spacing w:line="240" w:lineRule="auto"/>
              <w:ind w:firstLine="480"/>
              <w:textAlignment w:val="auto"/>
              <w:rPr>
                <w:rFonts w:eastAsia="华文中宋"/>
                <w:color w:val="auto"/>
                <w:sz w:val="24"/>
                <w:szCs w:val="24"/>
                <w:u w:val="none" w:color="auto"/>
              </w:rPr>
            </w:pPr>
            <w:r>
              <w:rPr>
                <w:rFonts w:eastAsia="华文中宋"/>
                <w:color w:val="auto"/>
                <w:sz w:val="24"/>
                <w:szCs w:val="24"/>
                <w:u w:val="none" w:color="auto"/>
              </w:rPr>
              <w:t>渑池县、卢氏县、湖滨区、陕州区、义马市、灵宝市、城乡一体化示范区、经济技术开发区</w:t>
            </w:r>
          </w:p>
        </w:tc>
      </w:tr>
    </w:tbl>
    <w:p>
      <w:pPr>
        <w:widowControl w:val="0"/>
        <w:textAlignment w:val="auto"/>
        <w:rPr>
          <w:rFonts w:eastAsia="仿宋_GB2312"/>
          <w:sz w:val="32"/>
          <w:szCs w:val="32"/>
        </w:rPr>
        <w:sectPr>
          <w:pgSz w:w="11906" w:h="16838"/>
          <w:pgMar w:top="1440" w:right="1287" w:bottom="1440" w:left="1797" w:header="851" w:footer="992" w:gutter="0"/>
          <w:cols w:space="720" w:num="1"/>
          <w:docGrid w:linePitch="312" w:charSpace="0"/>
        </w:sectPr>
      </w:pPr>
    </w:p>
    <w:p>
      <w:pPr>
        <w:spacing w:line="240" w:lineRule="auto"/>
        <w:textAlignment w:val="auto"/>
        <w:rPr>
          <w:rFonts w:ascii="黑体" w:hAnsi="黑体" w:eastAsia="黑体" w:cs="宋体"/>
          <w:sz w:val="32"/>
          <w:szCs w:val="32"/>
          <w:u w:val="none" w:color="auto"/>
        </w:rPr>
      </w:pPr>
      <w:r>
        <w:rPr>
          <w:rFonts w:hint="eastAsia" w:ascii="黑体" w:hAnsi="黑体" w:eastAsia="黑体" w:cs="宋体"/>
          <w:sz w:val="32"/>
          <w:szCs w:val="32"/>
          <w:u w:val="none" w:color="auto"/>
        </w:rPr>
        <w:t>附件2</w:t>
      </w:r>
    </w:p>
    <w:p>
      <w:pPr>
        <w:spacing w:line="600" w:lineRule="atLeast"/>
        <w:jc w:val="center"/>
        <w:textAlignment w:val="auto"/>
        <w:rPr>
          <w:rFonts w:hint="eastAsia" w:ascii="微软简标宋" w:hAnsi="Calibri" w:eastAsia="微软简标宋" w:cs="宋体"/>
          <w:sz w:val="44"/>
          <w:szCs w:val="44"/>
          <w:u w:val="none" w:color="auto"/>
        </w:rPr>
      </w:pPr>
    </w:p>
    <w:p>
      <w:pPr>
        <w:spacing w:line="600" w:lineRule="atLeast"/>
        <w:jc w:val="center"/>
        <w:textAlignment w:val="auto"/>
        <w:rPr>
          <w:rFonts w:hint="eastAsia" w:ascii="微软简标宋" w:hAnsi="Calibri" w:eastAsia="微软简标宋" w:cs="宋体"/>
          <w:sz w:val="44"/>
          <w:szCs w:val="44"/>
          <w:u w:val="none" w:color="auto"/>
        </w:rPr>
      </w:pPr>
      <w:r>
        <w:rPr>
          <w:rFonts w:hint="eastAsia" w:ascii="微软简标宋" w:hAnsi="Calibri" w:eastAsia="微软简标宋" w:cs="宋体"/>
          <w:sz w:val="44"/>
          <w:szCs w:val="44"/>
          <w:u w:val="none" w:color="auto"/>
        </w:rPr>
        <w:t>黄河流域农村生活污水及黑臭水体</w:t>
      </w:r>
    </w:p>
    <w:p>
      <w:pPr>
        <w:spacing w:line="600" w:lineRule="atLeast"/>
        <w:jc w:val="center"/>
        <w:textAlignment w:val="auto"/>
        <w:rPr>
          <w:rFonts w:hint="eastAsia" w:ascii="微软简标宋" w:hAnsi="Calibri" w:eastAsia="微软简标宋" w:cs="宋体"/>
          <w:color w:val="auto"/>
          <w:sz w:val="44"/>
          <w:szCs w:val="44"/>
          <w:u w:val="none" w:color="auto"/>
        </w:rPr>
      </w:pPr>
      <w:r>
        <w:rPr>
          <w:rFonts w:hint="eastAsia" w:ascii="微软简标宋" w:hAnsi="Calibri" w:eastAsia="微软简标宋" w:cs="宋体"/>
          <w:sz w:val="44"/>
          <w:szCs w:val="44"/>
          <w:u w:val="none" w:color="auto"/>
        </w:rPr>
        <w:t>治理指导目标</w:t>
      </w:r>
    </w:p>
    <w:tbl>
      <w:tblPr>
        <w:tblStyle w:val="6"/>
        <w:tblW w:w="9193" w:type="dxa"/>
        <w:tblInd w:w="135" w:type="dxa"/>
        <w:tblLayout w:type="fixed"/>
        <w:tblCellMar>
          <w:top w:w="0" w:type="dxa"/>
          <w:left w:w="108" w:type="dxa"/>
          <w:bottom w:w="0" w:type="dxa"/>
          <w:right w:w="108" w:type="dxa"/>
        </w:tblCellMar>
      </w:tblPr>
      <w:tblGrid>
        <w:gridCol w:w="505"/>
        <w:gridCol w:w="827"/>
        <w:gridCol w:w="1714"/>
        <w:gridCol w:w="2190"/>
        <w:gridCol w:w="1003"/>
        <w:gridCol w:w="1003"/>
        <w:gridCol w:w="925"/>
        <w:gridCol w:w="1026"/>
      </w:tblGrid>
      <w:tr>
        <w:tblPrEx>
          <w:tblLayout w:type="fixed"/>
          <w:tblCellMar>
            <w:top w:w="0" w:type="dxa"/>
            <w:left w:w="108" w:type="dxa"/>
            <w:bottom w:w="0" w:type="dxa"/>
            <w:right w:w="108" w:type="dxa"/>
          </w:tblCellMar>
        </w:tblPrEx>
        <w:trPr>
          <w:trHeight w:val="1500" w:hRule="atLeast"/>
        </w:trPr>
        <w:tc>
          <w:tcPr>
            <w:tcW w:w="505" w:type="dxa"/>
            <w:tcBorders>
              <w:top w:val="single" w:color="000000" w:sz="4" w:space="0"/>
              <w:left w:val="single" w:color="000000" w:sz="4" w:space="0"/>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序号</w:t>
            </w:r>
          </w:p>
        </w:tc>
        <w:tc>
          <w:tcPr>
            <w:tcW w:w="827"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省辖市</w:t>
            </w:r>
          </w:p>
        </w:tc>
        <w:tc>
          <w:tcPr>
            <w:tcW w:w="1714"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乡镇政府驻地开工建设生活污水处理设施的乡镇数量（个）</w:t>
            </w:r>
          </w:p>
        </w:tc>
        <w:tc>
          <w:tcPr>
            <w:tcW w:w="2190"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乡镇政府驻地整治提升生活污水处理设施的乡镇数量（个）</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新增农村环境整治行政村数量（个）</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农村黑臭</w:t>
            </w:r>
          </w:p>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水体整治</w:t>
            </w:r>
          </w:p>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目标（条）</w:t>
            </w:r>
          </w:p>
        </w:tc>
        <w:tc>
          <w:tcPr>
            <w:tcW w:w="925"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有改造价值生活污水处理设施整治目标（座）</w:t>
            </w:r>
          </w:p>
        </w:tc>
        <w:tc>
          <w:tcPr>
            <w:tcW w:w="1026"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b/>
                <w:bCs/>
                <w:color w:val="auto"/>
                <w:szCs w:val="21"/>
                <w:u w:val="none" w:color="auto"/>
              </w:rPr>
            </w:pPr>
            <w:r>
              <w:rPr>
                <w:rFonts w:hint="eastAsia" w:ascii="宋体" w:hAnsi="宋体" w:cs="宋体"/>
                <w:b/>
                <w:bCs/>
                <w:color w:val="auto"/>
                <w:szCs w:val="21"/>
                <w:u w:val="none" w:color="auto"/>
              </w:rPr>
              <w:t>水毁生活污水处理设施整治目标（座）</w:t>
            </w:r>
          </w:p>
        </w:tc>
      </w:tr>
      <w:tr>
        <w:tblPrEx>
          <w:tblLayout w:type="fixed"/>
          <w:tblCellMar>
            <w:top w:w="0" w:type="dxa"/>
            <w:left w:w="108" w:type="dxa"/>
            <w:bottom w:w="0" w:type="dxa"/>
            <w:right w:w="108" w:type="dxa"/>
          </w:tblCellMar>
        </w:tblPrEx>
        <w:trPr>
          <w:trHeight w:val="1127" w:hRule="atLeast"/>
        </w:trPr>
        <w:tc>
          <w:tcPr>
            <w:tcW w:w="505" w:type="dxa"/>
            <w:tcBorders>
              <w:top w:val="single" w:color="000000" w:sz="4" w:space="0"/>
              <w:left w:val="single" w:color="000000" w:sz="4" w:space="0"/>
              <w:bottom w:val="single" w:color="000000" w:sz="4" w:space="0"/>
              <w:right w:val="single" w:color="000000" w:sz="4" w:space="0"/>
            </w:tcBorders>
            <w:vAlign w:val="center"/>
          </w:tcPr>
          <w:p>
            <w:pPr>
              <w:spacing w:line="310" w:lineRule="atLeast"/>
              <w:jc w:val="center"/>
              <w:textAlignment w:val="auto"/>
              <w:rPr>
                <w:rFonts w:ascii="宋体" w:hAnsi="宋体" w:cs="宋体"/>
                <w:color w:val="auto"/>
                <w:szCs w:val="21"/>
                <w:u w:val="none" w:color="auto"/>
              </w:rPr>
            </w:pPr>
            <w:r>
              <w:rPr>
                <w:rFonts w:hint="eastAsia" w:ascii="宋体" w:hAnsi="宋体" w:cs="宋体"/>
                <w:color w:val="auto"/>
                <w:szCs w:val="21"/>
                <w:u w:val="none" w:color="auto"/>
              </w:rPr>
              <w:t>1</w:t>
            </w:r>
          </w:p>
        </w:tc>
        <w:tc>
          <w:tcPr>
            <w:tcW w:w="827"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Cs w:val="21"/>
                <w:u w:val="none" w:color="auto"/>
              </w:rPr>
            </w:pPr>
            <w:r>
              <w:rPr>
                <w:rFonts w:hint="eastAsia" w:ascii="宋体" w:hAnsi="宋体" w:cs="宋体"/>
                <w:color w:val="auto"/>
                <w:szCs w:val="21"/>
                <w:u w:val="none" w:color="auto"/>
              </w:rPr>
              <w:t>三门峡市</w:t>
            </w:r>
          </w:p>
        </w:tc>
        <w:tc>
          <w:tcPr>
            <w:tcW w:w="1714"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w:t>
            </w:r>
          </w:p>
        </w:tc>
        <w:tc>
          <w:tcPr>
            <w:tcW w:w="2190"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8（卢氏县徐家湾乡、官道口镇、杜关镇、范里镇、横涧乡、沙河乡、潘河乡、木桐乡）</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30</w:t>
            </w:r>
          </w:p>
        </w:tc>
        <w:tc>
          <w:tcPr>
            <w:tcW w:w="1003"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w:t>
            </w:r>
          </w:p>
        </w:tc>
        <w:tc>
          <w:tcPr>
            <w:tcW w:w="925"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28</w:t>
            </w:r>
          </w:p>
        </w:tc>
        <w:tc>
          <w:tcPr>
            <w:tcW w:w="1026" w:type="dxa"/>
            <w:tcBorders>
              <w:top w:val="single" w:color="000000" w:sz="4" w:space="0"/>
              <w:left w:val="nil"/>
              <w:bottom w:val="single" w:color="000000" w:sz="4" w:space="0"/>
              <w:right w:val="single" w:color="000000" w:sz="4" w:space="0"/>
            </w:tcBorders>
            <w:vAlign w:val="center"/>
          </w:tcPr>
          <w:p>
            <w:pPr>
              <w:spacing w:line="310" w:lineRule="atLeast"/>
              <w:jc w:val="center"/>
              <w:textAlignment w:val="auto"/>
              <w:rPr>
                <w:rFonts w:ascii="Calibri" w:hAnsi="Calibri" w:cs="宋体"/>
                <w:color w:val="auto"/>
                <w:sz w:val="22"/>
                <w:szCs w:val="22"/>
                <w:u w:val="none" w:color="auto"/>
              </w:rPr>
            </w:pPr>
            <w:r>
              <w:rPr>
                <w:rFonts w:hint="eastAsia" w:ascii="宋体" w:hAnsi="宋体" w:cs="宋体"/>
                <w:color w:val="auto"/>
                <w:sz w:val="22"/>
                <w:szCs w:val="22"/>
                <w:u w:val="none" w:color="auto"/>
              </w:rPr>
              <w:t>4</w:t>
            </w:r>
          </w:p>
        </w:tc>
      </w:tr>
      <w:tr>
        <w:tblPrEx>
          <w:tblLayout w:type="fixed"/>
          <w:tblCellMar>
            <w:top w:w="0" w:type="dxa"/>
            <w:left w:w="108" w:type="dxa"/>
            <w:bottom w:w="0" w:type="dxa"/>
            <w:right w:w="108" w:type="dxa"/>
          </w:tblCellMar>
        </w:tblPrEx>
        <w:trPr>
          <w:trHeight w:val="767" w:hRule="atLeast"/>
        </w:trPr>
        <w:tc>
          <w:tcPr>
            <w:tcW w:w="9193" w:type="dxa"/>
            <w:gridSpan w:val="8"/>
            <w:tcBorders>
              <w:top w:val="single" w:color="000000" w:sz="4" w:space="0"/>
              <w:left w:val="single" w:color="000000" w:sz="4" w:space="0"/>
              <w:bottom w:val="single" w:color="000000" w:sz="4" w:space="0"/>
              <w:right w:val="single" w:color="000000" w:sz="4" w:space="0"/>
            </w:tcBorders>
            <w:vAlign w:val="center"/>
          </w:tcPr>
          <w:p>
            <w:pPr>
              <w:spacing w:line="310" w:lineRule="atLeast"/>
              <w:textAlignment w:val="auto"/>
              <w:rPr>
                <w:rFonts w:ascii="Calibri" w:hAnsi="Calibri" w:cs="宋体"/>
                <w:color w:val="auto"/>
                <w:szCs w:val="21"/>
                <w:u w:val="none" w:color="auto"/>
              </w:rPr>
            </w:pPr>
            <w:r>
              <w:rPr>
                <w:rFonts w:ascii="Calibri" w:hAnsi="Calibri" w:cs="宋体"/>
                <w:color w:val="auto"/>
                <w:szCs w:val="21"/>
                <w:u w:val="none" w:color="auto"/>
              </w:rPr>
              <w:t>1.</w:t>
            </w:r>
            <w:r>
              <w:rPr>
                <w:rFonts w:ascii="仿宋_GB2312" w:hAnsi="Calibri" w:eastAsia="仿宋_GB2312" w:cs="宋体"/>
                <w:color w:val="auto"/>
                <w:szCs w:val="21"/>
                <w:u w:val="none" w:color="auto"/>
              </w:rPr>
              <w:t>乡镇政府驻地生活污水处理设施整治提升和未正常运行农村生活污水处理设施分类提升需持续推进，非</w:t>
            </w:r>
            <w:r>
              <w:rPr>
                <w:rFonts w:ascii="Calibri" w:hAnsi="Calibri" w:cs="宋体"/>
                <w:color w:val="auto"/>
                <w:szCs w:val="21"/>
                <w:u w:val="none" w:color="auto"/>
              </w:rPr>
              <w:t>2022</w:t>
            </w:r>
            <w:r>
              <w:rPr>
                <w:rFonts w:ascii="仿宋_GB2312" w:hAnsi="Calibri" w:eastAsia="仿宋_GB2312" w:cs="宋体"/>
                <w:color w:val="auto"/>
                <w:szCs w:val="21"/>
                <w:u w:val="none" w:color="auto"/>
              </w:rPr>
              <w:t>年度约束性指标。</w:t>
            </w:r>
          </w:p>
          <w:p>
            <w:pPr>
              <w:spacing w:line="310" w:lineRule="atLeast"/>
              <w:textAlignment w:val="auto"/>
              <w:rPr>
                <w:rFonts w:ascii="Calibri" w:hAnsi="Calibri" w:cs="宋体"/>
                <w:color w:val="auto"/>
                <w:szCs w:val="21"/>
                <w:u w:val="none" w:color="auto"/>
              </w:rPr>
            </w:pPr>
            <w:r>
              <w:rPr>
                <w:rFonts w:ascii="Calibri" w:hAnsi="Calibri" w:cs="宋体"/>
                <w:color w:val="auto"/>
                <w:szCs w:val="21"/>
                <w:u w:val="none" w:color="auto"/>
              </w:rPr>
              <w:t>2.</w:t>
            </w:r>
            <w:r>
              <w:rPr>
                <w:rFonts w:ascii="仿宋_GB2312" w:hAnsi="Calibri" w:eastAsia="仿宋_GB2312" w:cs="宋体"/>
                <w:color w:val="auto"/>
                <w:szCs w:val="21"/>
                <w:u w:val="none" w:color="auto"/>
              </w:rPr>
              <w:t>以上数据来源各省辖市上报数据。</w:t>
            </w:r>
          </w:p>
        </w:tc>
      </w:tr>
    </w:tbl>
    <w:p>
      <w:pPr>
        <w:spacing w:line="240" w:lineRule="auto"/>
        <w:textAlignment w:val="auto"/>
        <w:rPr>
          <w:rFonts w:hint="eastAsia"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textAlignment w:val="auto"/>
        <w:rPr>
          <w:rFonts w:ascii="Calibri" w:hAnsi="Calibri" w:cs="宋体"/>
          <w:sz w:val="32"/>
          <w:szCs w:val="32"/>
          <w:u w:val="none" w:color="auto"/>
        </w:rPr>
      </w:pPr>
    </w:p>
    <w:p>
      <w:pPr>
        <w:spacing w:line="240" w:lineRule="auto"/>
        <w:jc w:val="left"/>
        <w:textAlignment w:val="auto"/>
        <w:rPr>
          <w:rFonts w:ascii="黑体" w:hAnsi="黑体" w:eastAsia="黑体" w:cs="宋体"/>
          <w:sz w:val="32"/>
          <w:szCs w:val="32"/>
          <w:u w:val="none" w:color="auto"/>
        </w:rPr>
        <w:sectPr>
          <w:pgSz w:w="11906" w:h="16838"/>
          <w:pgMar w:top="1440" w:right="1800" w:bottom="1440" w:left="1800" w:header="720" w:footer="720" w:gutter="0"/>
          <w:cols w:space="720" w:num="1"/>
          <w:docGrid w:type="lines" w:linePitch="312" w:charSpace="0"/>
        </w:sectPr>
      </w:pPr>
    </w:p>
    <w:p>
      <w:pPr>
        <w:spacing w:line="240" w:lineRule="auto"/>
        <w:textAlignment w:val="auto"/>
        <w:rPr>
          <w:rFonts w:ascii="黑体" w:hAnsi="黑体" w:eastAsia="黑体" w:cs="宋体"/>
          <w:sz w:val="32"/>
          <w:szCs w:val="32"/>
          <w:u w:val="none" w:color="auto"/>
        </w:rPr>
      </w:pPr>
      <w:r>
        <w:rPr>
          <w:rFonts w:hint="eastAsia" w:ascii="黑体" w:hAnsi="黑体" w:eastAsia="黑体" w:cs="宋体"/>
          <w:sz w:val="32"/>
          <w:szCs w:val="32"/>
          <w:u w:val="none" w:color="auto"/>
        </w:rPr>
        <w:t>附件3</w:t>
      </w:r>
    </w:p>
    <w:p>
      <w:pPr>
        <w:spacing w:line="600" w:lineRule="atLeast"/>
        <w:jc w:val="center"/>
        <w:textAlignment w:val="auto"/>
        <w:rPr>
          <w:rFonts w:hint="eastAsia" w:ascii="微软简标宋" w:hAnsi="Calibri" w:eastAsia="微软简标宋" w:cs="宋体"/>
          <w:sz w:val="44"/>
          <w:szCs w:val="44"/>
          <w:u w:val="none" w:color="auto"/>
        </w:rPr>
      </w:pPr>
    </w:p>
    <w:p>
      <w:pPr>
        <w:spacing w:line="600" w:lineRule="atLeast"/>
        <w:jc w:val="center"/>
        <w:textAlignment w:val="auto"/>
        <w:rPr>
          <w:rFonts w:hint="eastAsia" w:ascii="微软简标宋" w:hAnsi="Calibri" w:eastAsia="微软简标宋" w:cs="宋体"/>
          <w:sz w:val="44"/>
          <w:szCs w:val="44"/>
          <w:u w:val="none" w:color="auto"/>
        </w:rPr>
      </w:pPr>
      <w:r>
        <w:rPr>
          <w:rFonts w:hint="eastAsia" w:ascii="微软简标宋" w:hAnsi="Calibri" w:eastAsia="微软简标宋" w:cs="宋体"/>
          <w:sz w:val="44"/>
          <w:szCs w:val="44"/>
          <w:u w:val="none" w:color="auto"/>
        </w:rPr>
        <w:t>黄河流域农村环境突出问题综合整治专项行动调度表</w:t>
      </w:r>
    </w:p>
    <w:p>
      <w:pPr>
        <w:spacing w:line="240" w:lineRule="auto"/>
        <w:ind w:firstLine="640"/>
        <w:textAlignment w:val="auto"/>
        <w:rPr>
          <w:rFonts w:hint="eastAsia" w:ascii="Calibri" w:hAnsi="Calibri" w:cs="宋体"/>
          <w:sz w:val="32"/>
          <w:szCs w:val="32"/>
          <w:u w:val="none" w:color="auto"/>
        </w:rPr>
      </w:pPr>
    </w:p>
    <w:p>
      <w:pPr>
        <w:spacing w:line="600" w:lineRule="atLeast"/>
        <w:textAlignment w:val="auto"/>
        <w:rPr>
          <w:rFonts w:ascii="Calibri" w:hAnsi="Calibri" w:cs="宋体"/>
          <w:color w:val="auto"/>
          <w:sz w:val="24"/>
          <w:szCs w:val="24"/>
          <w:u w:val="none" w:color="auto"/>
        </w:rPr>
      </w:pPr>
      <w:r>
        <w:rPr>
          <w:rFonts w:hint="eastAsia" w:ascii="仿宋_GB2312" w:hAnsi="Calibri" w:eastAsia="仿宋_GB2312" w:cs="宋体"/>
          <w:color w:val="auto"/>
          <w:sz w:val="24"/>
          <w:szCs w:val="24"/>
          <w:u w:val="none" w:color="auto"/>
        </w:rPr>
        <w:t>县（市、区）</w:t>
      </w:r>
      <w:r>
        <w:rPr>
          <w:rFonts w:ascii="Calibri" w:hAnsi="Calibri" w:cs="宋体"/>
          <w:color w:val="auto"/>
          <w:sz w:val="24"/>
          <w:szCs w:val="24"/>
          <w:u w:val="none" w:color="auto"/>
        </w:rPr>
        <w:t>：           第</w:t>
      </w:r>
      <w:r>
        <w:rPr>
          <w:rFonts w:ascii="Calibri" w:hAnsi="Calibri" w:cs="宋体"/>
          <w:color w:val="auto"/>
          <w:sz w:val="24"/>
          <w:szCs w:val="24"/>
          <w:u w:val="single" w:color="auto"/>
        </w:rPr>
        <w:t xml:space="preserve"> </w:t>
      </w:r>
      <w:r>
        <w:rPr>
          <w:rFonts w:hint="eastAsia" w:ascii="Calibri" w:hAnsi="Calibri" w:cs="宋体"/>
          <w:color w:val="auto"/>
          <w:sz w:val="24"/>
          <w:szCs w:val="24"/>
          <w:u w:val="single" w:color="auto"/>
        </w:rPr>
        <w:t xml:space="preserve"> </w:t>
      </w:r>
      <w:r>
        <w:rPr>
          <w:rFonts w:ascii="Calibri" w:hAnsi="Calibri" w:cs="宋体"/>
          <w:color w:val="auto"/>
          <w:sz w:val="24"/>
          <w:szCs w:val="24"/>
          <w:u w:val="single" w:color="auto"/>
        </w:rPr>
        <w:t xml:space="preserve"> </w:t>
      </w:r>
      <w:r>
        <w:rPr>
          <w:rFonts w:ascii="Calibri" w:hAnsi="Calibri" w:cs="宋体"/>
          <w:color w:val="auto"/>
          <w:sz w:val="24"/>
          <w:szCs w:val="24"/>
          <w:u w:val="none" w:color="auto"/>
        </w:rPr>
        <w:t xml:space="preserve">季度    联系人：       联系电话： </w:t>
      </w:r>
    </w:p>
    <w:tbl>
      <w:tblPr>
        <w:tblStyle w:val="6"/>
        <w:tblW w:w="9468" w:type="dxa"/>
        <w:jc w:val="center"/>
        <w:tblInd w:w="0" w:type="dxa"/>
        <w:tblLayout w:type="fixed"/>
        <w:tblCellMar>
          <w:top w:w="0" w:type="dxa"/>
          <w:left w:w="108" w:type="dxa"/>
          <w:bottom w:w="0" w:type="dxa"/>
          <w:right w:w="108" w:type="dxa"/>
        </w:tblCellMar>
      </w:tblPr>
      <w:tblGrid>
        <w:gridCol w:w="427"/>
        <w:gridCol w:w="941"/>
        <w:gridCol w:w="1440"/>
        <w:gridCol w:w="1980"/>
        <w:gridCol w:w="2700"/>
        <w:gridCol w:w="1980"/>
      </w:tblGrid>
      <w:tr>
        <w:tblPrEx>
          <w:tblLayout w:type="fixed"/>
          <w:tblCellMar>
            <w:top w:w="0" w:type="dxa"/>
            <w:left w:w="108" w:type="dxa"/>
            <w:bottom w:w="0" w:type="dxa"/>
            <w:right w:w="108" w:type="dxa"/>
          </w:tblCellMar>
        </w:tblPrEx>
        <w:trPr>
          <w:trHeight w:val="473" w:hRule="atLeast"/>
          <w:jc w:val="center"/>
        </w:trPr>
        <w:tc>
          <w:tcPr>
            <w:tcW w:w="427"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bookmarkStart w:id="0" w:name="_GoBack"/>
            <w:r>
              <w:rPr>
                <w:rFonts w:ascii="Calibri" w:hAnsi="Calibri" w:cs="宋体"/>
                <w:b/>
                <w:bCs/>
                <w:color w:val="auto"/>
                <w:sz w:val="18"/>
                <w:szCs w:val="18"/>
                <w:u w:val="none" w:color="auto"/>
              </w:rPr>
              <w:t>序号</w:t>
            </w:r>
          </w:p>
        </w:tc>
        <w:tc>
          <w:tcPr>
            <w:tcW w:w="941"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hint="eastAsia" w:ascii="Calibri" w:hAnsi="Calibri" w:cs="宋体"/>
                <w:b/>
                <w:bCs/>
                <w:color w:val="auto"/>
                <w:sz w:val="18"/>
                <w:szCs w:val="18"/>
                <w:u w:val="none" w:color="auto"/>
              </w:rPr>
            </w:pPr>
            <w:r>
              <w:rPr>
                <w:rFonts w:ascii="Calibri" w:hAnsi="Calibri" w:cs="宋体"/>
                <w:b/>
                <w:bCs/>
                <w:color w:val="auto"/>
                <w:sz w:val="18"/>
                <w:szCs w:val="18"/>
                <w:u w:val="none" w:color="auto"/>
              </w:rPr>
              <w:t>重点</w:t>
            </w:r>
          </w:p>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工作</w:t>
            </w:r>
          </w:p>
        </w:tc>
        <w:tc>
          <w:tcPr>
            <w:tcW w:w="1440"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基本内容</w:t>
            </w:r>
          </w:p>
        </w:tc>
        <w:tc>
          <w:tcPr>
            <w:tcW w:w="1980"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指标要求</w:t>
            </w:r>
          </w:p>
        </w:tc>
        <w:tc>
          <w:tcPr>
            <w:tcW w:w="2700"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工作进展</w:t>
            </w:r>
          </w:p>
        </w:tc>
        <w:tc>
          <w:tcPr>
            <w:tcW w:w="1980"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备注</w:t>
            </w:r>
          </w:p>
        </w:tc>
      </w:tr>
      <w:tr>
        <w:tblPrEx>
          <w:tblLayout w:type="fixed"/>
          <w:tblCellMar>
            <w:top w:w="0" w:type="dxa"/>
            <w:left w:w="108" w:type="dxa"/>
            <w:bottom w:w="0" w:type="dxa"/>
            <w:right w:w="108" w:type="dxa"/>
          </w:tblCellMar>
        </w:tblPrEx>
        <w:trPr>
          <w:trHeight w:val="1306" w:hRule="atLeast"/>
          <w:jc w:val="center"/>
        </w:trPr>
        <w:tc>
          <w:tcPr>
            <w:tcW w:w="427"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1</w:t>
            </w:r>
          </w:p>
        </w:tc>
        <w:tc>
          <w:tcPr>
            <w:tcW w:w="941" w:type="dxa"/>
            <w:vMerge w:val="restart"/>
            <w:tcBorders>
              <w:top w:val="nil"/>
              <w:left w:val="nil"/>
              <w:bottom w:val="single" w:color="000000" w:sz="8" w:space="0"/>
              <w:right w:val="single" w:color="000000" w:sz="8" w:space="0"/>
            </w:tcBorders>
            <w:vAlign w:val="center"/>
          </w:tcPr>
          <w:p>
            <w:pPr>
              <w:spacing w:line="240" w:lineRule="auto"/>
              <w:jc w:val="center"/>
              <w:textAlignment w:val="auto"/>
              <w:rPr>
                <w:rFonts w:ascii="Calibri" w:hAnsi="Calibri" w:cs="宋体"/>
                <w:color w:val="auto"/>
                <w:sz w:val="18"/>
                <w:szCs w:val="18"/>
                <w:u w:val="none" w:color="auto"/>
              </w:rPr>
            </w:pPr>
            <w:r>
              <w:rPr>
                <w:rFonts w:ascii="Calibri" w:hAnsi="Calibri" w:cs="宋体"/>
                <w:color w:val="auto"/>
                <w:sz w:val="18"/>
                <w:szCs w:val="18"/>
                <w:u w:val="none" w:color="auto"/>
              </w:rPr>
              <w:t>治理农村生活污水</w:t>
            </w: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pacing w:val="-2"/>
                <w:sz w:val="18"/>
                <w:szCs w:val="18"/>
                <w:u w:val="none" w:color="auto"/>
              </w:rPr>
            </w:pPr>
            <w:r>
              <w:rPr>
                <w:rFonts w:ascii="Calibri" w:hAnsi="Calibri" w:cs="宋体"/>
                <w:color w:val="auto"/>
                <w:sz w:val="18"/>
                <w:szCs w:val="18"/>
                <w:u w:val="none" w:color="auto"/>
              </w:rPr>
              <w:t>推进乡镇政府驻地污水治理</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pacing w:val="-2"/>
                <w:sz w:val="18"/>
                <w:szCs w:val="18"/>
                <w:u w:val="none" w:color="auto"/>
              </w:rPr>
            </w:pPr>
            <w:r>
              <w:rPr>
                <w:rFonts w:ascii="Calibri" w:hAnsi="Calibri" w:cs="宋体"/>
                <w:color w:val="auto"/>
                <w:sz w:val="18"/>
                <w:szCs w:val="18"/>
                <w:u w:val="none" w:color="auto"/>
              </w:rPr>
              <w:t>202</w:t>
            </w:r>
            <w:r>
              <w:rPr>
                <w:rFonts w:hint="eastAsia" w:ascii="宋体" w:hAnsi="宋体" w:cs="宋体"/>
                <w:color w:val="auto"/>
                <w:sz w:val="18"/>
                <w:szCs w:val="18"/>
                <w:u w:val="none" w:color="auto"/>
              </w:rPr>
              <w:t>2</w:t>
            </w:r>
            <w:r>
              <w:rPr>
                <w:rFonts w:ascii="Calibri" w:hAnsi="Calibri" w:cs="宋体"/>
                <w:color w:val="auto"/>
                <w:sz w:val="18"/>
                <w:szCs w:val="18"/>
                <w:u w:val="none" w:color="auto"/>
              </w:rPr>
              <w:t>年年底</w:t>
            </w:r>
            <w:r>
              <w:rPr>
                <w:rFonts w:hint="eastAsia" w:ascii="宋体" w:hAnsi="宋体" w:cs="宋体"/>
                <w:color w:val="auto"/>
                <w:sz w:val="18"/>
                <w:szCs w:val="18"/>
                <w:u w:val="none" w:color="auto"/>
              </w:rPr>
              <w:t>前乡镇政府驻地未建设</w:t>
            </w:r>
            <w:r>
              <w:rPr>
                <w:rFonts w:ascii="Calibri" w:hAnsi="Calibri" w:cs="宋体"/>
                <w:color w:val="auto"/>
                <w:sz w:val="18"/>
                <w:szCs w:val="18"/>
                <w:u w:val="none" w:color="auto"/>
              </w:rPr>
              <w:t>生活污水处理设施</w:t>
            </w:r>
            <w:r>
              <w:rPr>
                <w:rFonts w:hint="eastAsia" w:ascii="宋体" w:hAnsi="宋体" w:cs="宋体"/>
                <w:color w:val="auto"/>
                <w:sz w:val="18"/>
                <w:szCs w:val="18"/>
                <w:u w:val="none" w:color="auto"/>
              </w:rPr>
              <w:t>的乡镇全面开工建设。</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填报示例：目前黄河流域已开工新建设施乡镇X</w:t>
            </w:r>
            <w:r>
              <w:rPr>
                <w:rFonts w:ascii="宋体" w:hAnsi="宋体" w:cs="宋体"/>
                <w:color w:val="auto"/>
                <w:sz w:val="18"/>
                <w:szCs w:val="18"/>
                <w:u w:val="none" w:color="auto"/>
              </w:rPr>
              <w:t>个，已完成新建设施乡镇</w:t>
            </w:r>
            <w:r>
              <w:rPr>
                <w:rFonts w:ascii="Calibri" w:hAnsi="Calibri" w:cs="宋体"/>
                <w:color w:val="auto"/>
                <w:sz w:val="18"/>
                <w:szCs w:val="18"/>
                <w:u w:val="none" w:color="auto"/>
              </w:rPr>
              <w:t>X</w:t>
            </w:r>
            <w:r>
              <w:rPr>
                <w:rFonts w:ascii="宋体" w:hAnsi="宋体" w:cs="宋体"/>
                <w:color w:val="auto"/>
                <w:sz w:val="18"/>
                <w:szCs w:val="18"/>
                <w:u w:val="none" w:color="auto"/>
              </w:rPr>
              <w:t>个，已整治提升乡镇</w:t>
            </w:r>
            <w:r>
              <w:rPr>
                <w:rFonts w:ascii="Calibri" w:hAnsi="Calibri" w:cs="宋体"/>
                <w:color w:val="auto"/>
                <w:sz w:val="18"/>
                <w:szCs w:val="18"/>
                <w:u w:val="none" w:color="auto"/>
              </w:rPr>
              <w:t>X</w:t>
            </w:r>
            <w:r>
              <w:rPr>
                <w:rFonts w:ascii="宋体" w:hAnsi="宋体" w:cs="宋体"/>
                <w:color w:val="auto"/>
                <w:sz w:val="18"/>
                <w:szCs w:val="18"/>
                <w:u w:val="none" w:color="auto"/>
              </w:rPr>
              <w:t>个。</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p>
        </w:tc>
      </w:tr>
      <w:tr>
        <w:tblPrEx>
          <w:tblLayout w:type="fixed"/>
          <w:tblCellMar>
            <w:top w:w="0" w:type="dxa"/>
            <w:left w:w="108" w:type="dxa"/>
            <w:bottom w:w="0" w:type="dxa"/>
            <w:right w:w="108" w:type="dxa"/>
          </w:tblCellMar>
        </w:tblPrEx>
        <w:trPr>
          <w:trHeight w:val="992" w:hRule="atLeast"/>
          <w:jc w:val="center"/>
        </w:trPr>
        <w:tc>
          <w:tcPr>
            <w:tcW w:w="427"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2</w:t>
            </w:r>
          </w:p>
        </w:tc>
        <w:tc>
          <w:tcPr>
            <w:tcW w:w="941" w:type="dxa"/>
            <w:vMerge w:val="continue"/>
            <w:tcBorders>
              <w:top w:val="nil"/>
              <w:left w:val="nil"/>
              <w:bottom w:val="single" w:color="000000" w:sz="8" w:space="0"/>
              <w:right w:val="single" w:color="000000" w:sz="8" w:space="0"/>
            </w:tcBorders>
            <w:vAlign w:val="center"/>
          </w:tcPr>
          <w:p>
            <w:pPr>
              <w:spacing w:line="240" w:lineRule="auto"/>
              <w:jc w:val="left"/>
              <w:textAlignment w:val="auto"/>
              <w:rPr>
                <w:rFonts w:ascii="Calibri" w:hAnsi="Calibri" w:cs="宋体"/>
                <w:color w:val="auto"/>
                <w:sz w:val="18"/>
                <w:szCs w:val="18"/>
                <w:u w:val="none" w:color="auto"/>
              </w:rPr>
            </w:pP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开展未正常运行设施分类整治提升行动</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hint="eastAsia" w:ascii="宋体" w:hAnsi="宋体" w:cs="宋体"/>
                <w:color w:val="auto"/>
                <w:sz w:val="18"/>
                <w:szCs w:val="18"/>
                <w:u w:val="none" w:color="auto"/>
              </w:rPr>
              <w:t>推动</w:t>
            </w:r>
            <w:r>
              <w:rPr>
                <w:rFonts w:ascii="Calibri" w:hAnsi="Calibri" w:cs="宋体"/>
                <w:color w:val="auto"/>
                <w:sz w:val="18"/>
                <w:szCs w:val="18"/>
                <w:u w:val="none" w:color="auto"/>
              </w:rPr>
              <w:t>黄河流域未正常运行设施分类整治提升。</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填报示例：目前黄河流域已整治有改造价值设施X</w:t>
            </w:r>
            <w:r>
              <w:rPr>
                <w:rFonts w:ascii="宋体" w:hAnsi="宋体" w:cs="宋体"/>
                <w:color w:val="auto"/>
                <w:sz w:val="18"/>
                <w:szCs w:val="18"/>
                <w:u w:val="none" w:color="auto"/>
              </w:rPr>
              <w:t>座（其中</w:t>
            </w:r>
            <w:r>
              <w:rPr>
                <w:rFonts w:ascii="Calibri" w:hAnsi="Calibri" w:cs="宋体"/>
                <w:color w:val="auto"/>
                <w:sz w:val="18"/>
                <w:szCs w:val="18"/>
                <w:u w:val="none" w:color="auto"/>
              </w:rPr>
              <w:t>2019</w:t>
            </w:r>
            <w:r>
              <w:rPr>
                <w:rFonts w:ascii="宋体" w:hAnsi="宋体" w:cs="宋体"/>
                <w:color w:val="auto"/>
                <w:sz w:val="18"/>
                <w:szCs w:val="18"/>
                <w:u w:val="none" w:color="auto"/>
              </w:rPr>
              <w:t>后新建的</w:t>
            </w:r>
            <w:r>
              <w:rPr>
                <w:rFonts w:ascii="Calibri" w:hAnsi="Calibri" w:cs="宋体"/>
                <w:color w:val="auto"/>
                <w:sz w:val="18"/>
                <w:szCs w:val="18"/>
                <w:u w:val="none" w:color="auto"/>
              </w:rPr>
              <w:t>X</w:t>
            </w:r>
            <w:r>
              <w:rPr>
                <w:rFonts w:ascii="宋体" w:hAnsi="宋体" w:cs="宋体"/>
                <w:color w:val="auto"/>
                <w:sz w:val="18"/>
                <w:szCs w:val="18"/>
                <w:u w:val="none" w:color="auto"/>
              </w:rPr>
              <w:t>座），水毁设施</w:t>
            </w:r>
            <w:r>
              <w:rPr>
                <w:rFonts w:ascii="Calibri" w:hAnsi="Calibri" w:cs="宋体"/>
                <w:color w:val="auto"/>
                <w:sz w:val="18"/>
                <w:szCs w:val="18"/>
                <w:u w:val="none" w:color="auto"/>
              </w:rPr>
              <w:t>X</w:t>
            </w:r>
            <w:r>
              <w:rPr>
                <w:rFonts w:ascii="宋体" w:hAnsi="宋体" w:cs="宋体"/>
                <w:color w:val="auto"/>
                <w:sz w:val="18"/>
                <w:szCs w:val="18"/>
                <w:u w:val="none" w:color="auto"/>
              </w:rPr>
              <w:t>座。</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p>
        </w:tc>
      </w:tr>
      <w:tr>
        <w:tblPrEx>
          <w:tblLayout w:type="fixed"/>
          <w:tblCellMar>
            <w:top w:w="0" w:type="dxa"/>
            <w:left w:w="108" w:type="dxa"/>
            <w:bottom w:w="0" w:type="dxa"/>
            <w:right w:w="108" w:type="dxa"/>
          </w:tblCellMar>
        </w:tblPrEx>
        <w:trPr>
          <w:trHeight w:val="977" w:hRule="atLeast"/>
          <w:jc w:val="center"/>
        </w:trPr>
        <w:tc>
          <w:tcPr>
            <w:tcW w:w="427"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3</w:t>
            </w:r>
          </w:p>
        </w:tc>
        <w:tc>
          <w:tcPr>
            <w:tcW w:w="941"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ascii="Calibri" w:hAnsi="Calibri" w:cs="宋体"/>
                <w:color w:val="auto"/>
                <w:sz w:val="18"/>
                <w:szCs w:val="18"/>
                <w:u w:val="none" w:color="auto"/>
              </w:rPr>
            </w:pPr>
            <w:r>
              <w:rPr>
                <w:rFonts w:ascii="Calibri" w:hAnsi="Calibri" w:cs="宋体"/>
                <w:color w:val="auto"/>
                <w:sz w:val="18"/>
                <w:szCs w:val="18"/>
                <w:u w:val="none" w:color="auto"/>
              </w:rPr>
              <w:t>整治农村黑臭水体</w:t>
            </w: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农村黑臭水体整治情况</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2022</w:t>
            </w:r>
            <w:r>
              <w:rPr>
                <w:rFonts w:ascii="宋体" w:hAnsi="宋体" w:cs="宋体"/>
                <w:color w:val="auto"/>
                <w:sz w:val="18"/>
                <w:szCs w:val="18"/>
                <w:u w:val="none" w:color="auto"/>
              </w:rPr>
              <w:t>年年底前，整治纳入监管清单的黑臭水体</w:t>
            </w:r>
            <w:r>
              <w:rPr>
                <w:rFonts w:ascii="Calibri" w:hAnsi="Calibri" w:cs="宋体"/>
                <w:color w:val="auto"/>
                <w:sz w:val="18"/>
                <w:szCs w:val="18"/>
                <w:u w:val="none" w:color="auto"/>
              </w:rPr>
              <w:t>29</w:t>
            </w:r>
            <w:r>
              <w:rPr>
                <w:rFonts w:ascii="宋体" w:hAnsi="宋体" w:cs="宋体"/>
                <w:color w:val="auto"/>
                <w:sz w:val="18"/>
                <w:szCs w:val="18"/>
                <w:u w:val="none" w:color="auto"/>
              </w:rPr>
              <w:t>条。</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填报示例：目前已整治国家监管清单黑臭水体X</w:t>
            </w:r>
            <w:r>
              <w:rPr>
                <w:rFonts w:ascii="宋体" w:hAnsi="宋体" w:cs="宋体"/>
                <w:color w:val="auto"/>
                <w:sz w:val="18"/>
                <w:szCs w:val="18"/>
                <w:u w:val="none" w:color="auto"/>
              </w:rPr>
              <w:t>条</w:t>
            </w:r>
            <w:r>
              <w:rPr>
                <w:rFonts w:hint="eastAsia" w:ascii="宋体" w:hAnsi="宋体" w:cs="宋体"/>
                <w:color w:val="auto"/>
                <w:sz w:val="18"/>
                <w:szCs w:val="18"/>
                <w:u w:val="none" w:color="auto"/>
              </w:rPr>
              <w:t>，</w:t>
            </w:r>
            <w:r>
              <w:rPr>
                <w:rFonts w:ascii="Calibri" w:hAnsi="Calibri" w:cs="宋体"/>
                <w:color w:val="auto"/>
                <w:sz w:val="18"/>
                <w:szCs w:val="18"/>
                <w:u w:val="none" w:color="auto"/>
              </w:rPr>
              <w:t>已整治</w:t>
            </w:r>
            <w:r>
              <w:rPr>
                <w:rFonts w:hint="eastAsia" w:ascii="宋体" w:hAnsi="宋体" w:cs="宋体"/>
                <w:color w:val="auto"/>
                <w:sz w:val="18"/>
                <w:szCs w:val="18"/>
                <w:u w:val="none" w:color="auto"/>
              </w:rPr>
              <w:t>省级</w:t>
            </w:r>
            <w:r>
              <w:rPr>
                <w:rFonts w:ascii="Calibri" w:hAnsi="Calibri" w:cs="宋体"/>
                <w:color w:val="auto"/>
                <w:sz w:val="18"/>
                <w:szCs w:val="18"/>
                <w:u w:val="none" w:color="auto"/>
              </w:rPr>
              <w:t>监管清单黑臭水体X</w:t>
            </w:r>
            <w:r>
              <w:rPr>
                <w:rFonts w:ascii="宋体" w:hAnsi="宋体" w:cs="宋体"/>
                <w:color w:val="auto"/>
                <w:sz w:val="18"/>
                <w:szCs w:val="18"/>
                <w:u w:val="none" w:color="auto"/>
              </w:rPr>
              <w:t>条。</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p>
        </w:tc>
      </w:tr>
      <w:tr>
        <w:tblPrEx>
          <w:tblLayout w:type="fixed"/>
          <w:tblCellMar>
            <w:top w:w="0" w:type="dxa"/>
            <w:left w:w="108" w:type="dxa"/>
            <w:bottom w:w="0" w:type="dxa"/>
            <w:right w:w="108" w:type="dxa"/>
          </w:tblCellMar>
        </w:tblPrEx>
        <w:trPr>
          <w:trHeight w:val="977" w:hRule="atLeast"/>
          <w:jc w:val="center"/>
        </w:trPr>
        <w:tc>
          <w:tcPr>
            <w:tcW w:w="427"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b/>
                <w:bCs/>
                <w:color w:val="auto"/>
                <w:sz w:val="18"/>
                <w:szCs w:val="18"/>
                <w:u w:val="none" w:color="auto"/>
              </w:rPr>
              <w:t>4</w:t>
            </w:r>
          </w:p>
        </w:tc>
        <w:tc>
          <w:tcPr>
            <w:tcW w:w="941"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ascii="Calibri" w:hAnsi="Calibri" w:cs="宋体"/>
                <w:color w:val="auto"/>
                <w:sz w:val="18"/>
                <w:szCs w:val="18"/>
                <w:u w:val="none" w:color="auto"/>
              </w:rPr>
            </w:pPr>
            <w:r>
              <w:rPr>
                <w:rFonts w:ascii="Calibri" w:hAnsi="Calibri" w:cs="宋体"/>
                <w:color w:val="auto"/>
                <w:sz w:val="18"/>
                <w:szCs w:val="18"/>
                <w:u w:val="none" w:color="auto"/>
              </w:rPr>
              <w:t>推进农村环境整治</w:t>
            </w: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农村环境整治任务完成情况</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2022</w:t>
            </w:r>
            <w:r>
              <w:rPr>
                <w:rFonts w:ascii="宋体" w:hAnsi="宋体" w:cs="宋体"/>
                <w:color w:val="auto"/>
                <w:sz w:val="18"/>
                <w:szCs w:val="18"/>
                <w:u w:val="none" w:color="auto"/>
              </w:rPr>
              <w:t>年年底前，新增完成农村环境整治的行政村</w:t>
            </w:r>
            <w:r>
              <w:rPr>
                <w:rFonts w:hint="eastAsia" w:ascii="宋体" w:hAnsi="宋体" w:cs="宋体"/>
                <w:color w:val="auto"/>
                <w:sz w:val="18"/>
                <w:szCs w:val="18"/>
                <w:u w:val="none" w:color="auto"/>
              </w:rPr>
              <w:t>30</w:t>
            </w:r>
            <w:r>
              <w:rPr>
                <w:rFonts w:ascii="Calibri" w:hAnsi="Calibri" w:cs="宋体"/>
                <w:color w:val="auto"/>
                <w:sz w:val="18"/>
                <w:szCs w:val="18"/>
                <w:u w:val="none" w:color="auto"/>
              </w:rPr>
              <w:t>个。</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填报示例：2022</w:t>
            </w:r>
            <w:r>
              <w:rPr>
                <w:rFonts w:ascii="宋体" w:hAnsi="宋体" w:cs="宋体"/>
                <w:color w:val="auto"/>
                <w:sz w:val="18"/>
                <w:szCs w:val="18"/>
                <w:u w:val="none" w:color="auto"/>
              </w:rPr>
              <w:t>年黄河流域已开工行政村</w:t>
            </w:r>
            <w:r>
              <w:rPr>
                <w:rFonts w:ascii="Calibri" w:hAnsi="Calibri" w:cs="宋体"/>
                <w:color w:val="auto"/>
                <w:sz w:val="18"/>
                <w:szCs w:val="18"/>
                <w:u w:val="none" w:color="auto"/>
              </w:rPr>
              <w:t>X</w:t>
            </w:r>
            <w:r>
              <w:rPr>
                <w:rFonts w:ascii="宋体" w:hAnsi="宋体" w:cs="宋体"/>
                <w:color w:val="auto"/>
                <w:sz w:val="18"/>
                <w:szCs w:val="18"/>
                <w:u w:val="none" w:color="auto"/>
              </w:rPr>
              <w:t>个，已完成整治行政村</w:t>
            </w:r>
            <w:r>
              <w:rPr>
                <w:rFonts w:ascii="Calibri" w:hAnsi="Calibri" w:cs="宋体"/>
                <w:color w:val="auto"/>
                <w:sz w:val="18"/>
                <w:szCs w:val="18"/>
                <w:u w:val="none" w:color="auto"/>
              </w:rPr>
              <w:t>X</w:t>
            </w:r>
            <w:r>
              <w:rPr>
                <w:rFonts w:ascii="宋体" w:hAnsi="宋体" w:cs="宋体"/>
                <w:color w:val="auto"/>
                <w:sz w:val="18"/>
                <w:szCs w:val="18"/>
                <w:u w:val="none" w:color="auto"/>
              </w:rPr>
              <w:t>个。</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p>
        </w:tc>
      </w:tr>
      <w:tr>
        <w:tblPrEx>
          <w:tblLayout w:type="fixed"/>
          <w:tblCellMar>
            <w:top w:w="0" w:type="dxa"/>
            <w:left w:w="108" w:type="dxa"/>
            <w:bottom w:w="0" w:type="dxa"/>
            <w:right w:w="108" w:type="dxa"/>
          </w:tblCellMar>
        </w:tblPrEx>
        <w:trPr>
          <w:trHeight w:val="977" w:hRule="atLeast"/>
          <w:jc w:val="center"/>
        </w:trPr>
        <w:tc>
          <w:tcPr>
            <w:tcW w:w="427" w:type="dxa"/>
            <w:vMerge w:val="restart"/>
            <w:tcBorders>
              <w:top w:val="nil"/>
              <w:left w:val="single" w:color="000000" w:sz="8" w:space="0"/>
              <w:bottom w:val="single" w:color="000000" w:sz="8" w:space="0"/>
              <w:right w:val="single" w:color="000000" w:sz="8" w:space="0"/>
            </w:tcBorders>
            <w:vAlign w:val="center"/>
          </w:tcPr>
          <w:p>
            <w:pPr>
              <w:spacing w:line="240" w:lineRule="auto"/>
              <w:jc w:val="center"/>
              <w:textAlignment w:val="auto"/>
              <w:rPr>
                <w:rFonts w:ascii="Calibri" w:hAnsi="Calibri" w:cs="宋体"/>
                <w:b/>
                <w:bCs/>
                <w:color w:val="auto"/>
                <w:sz w:val="18"/>
                <w:szCs w:val="18"/>
                <w:u w:val="none" w:color="auto"/>
              </w:rPr>
            </w:pPr>
            <w:r>
              <w:rPr>
                <w:rFonts w:ascii="Calibri" w:hAnsi="Calibri" w:cs="宋体"/>
                <w:color w:val="auto"/>
                <w:sz w:val="18"/>
                <w:szCs w:val="18"/>
                <w:u w:val="none" w:color="auto"/>
              </w:rPr>
              <w:t>5</w:t>
            </w:r>
          </w:p>
        </w:tc>
        <w:tc>
          <w:tcPr>
            <w:tcW w:w="941" w:type="dxa"/>
            <w:vMerge w:val="restart"/>
            <w:tcBorders>
              <w:top w:val="nil"/>
              <w:left w:val="nil"/>
              <w:bottom w:val="single" w:color="000000" w:sz="8" w:space="0"/>
              <w:right w:val="single" w:color="000000" w:sz="8" w:space="0"/>
            </w:tcBorders>
            <w:vAlign w:val="center"/>
          </w:tcPr>
          <w:p>
            <w:pPr>
              <w:spacing w:line="240" w:lineRule="auto"/>
              <w:jc w:val="center"/>
              <w:textAlignment w:val="auto"/>
              <w:rPr>
                <w:rFonts w:ascii="Calibri" w:hAnsi="Calibri" w:cs="宋体"/>
                <w:color w:val="auto"/>
                <w:sz w:val="18"/>
                <w:szCs w:val="18"/>
                <w:u w:val="none" w:color="auto"/>
              </w:rPr>
            </w:pPr>
            <w:r>
              <w:rPr>
                <w:rFonts w:ascii="Calibri" w:hAnsi="Calibri" w:cs="宋体"/>
                <w:color w:val="auto"/>
                <w:sz w:val="18"/>
                <w:szCs w:val="18"/>
                <w:u w:val="none" w:color="auto"/>
              </w:rPr>
              <w:t>加强农业面源污染治理</w:t>
            </w: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hint="eastAsia" w:ascii="宋体" w:hAnsi="宋体" w:cs="宋体"/>
                <w:color w:val="auto"/>
                <w:sz w:val="18"/>
                <w:szCs w:val="18"/>
                <w:u w:val="none" w:color="auto"/>
              </w:rPr>
              <w:t>控制化肥农药使用</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推进化肥农药减量增效</w:t>
            </w:r>
            <w:r>
              <w:rPr>
                <w:rFonts w:hint="eastAsia" w:ascii="宋体" w:hAnsi="宋体" w:cs="宋体"/>
                <w:color w:val="auto"/>
                <w:sz w:val="18"/>
                <w:szCs w:val="18"/>
                <w:u w:val="none" w:color="auto"/>
              </w:rPr>
              <w:t>。</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填报示例：化肥施用量为X</w:t>
            </w:r>
            <w:r>
              <w:rPr>
                <w:rFonts w:ascii="宋体" w:hAnsi="宋体" w:cs="宋体"/>
                <w:color w:val="auto"/>
                <w:sz w:val="18"/>
                <w:szCs w:val="18"/>
                <w:u w:val="none" w:color="auto"/>
              </w:rPr>
              <w:t>万吨（折纯），农药使用量为</w:t>
            </w:r>
            <w:r>
              <w:rPr>
                <w:rFonts w:ascii="Calibri" w:hAnsi="Calibri" w:cs="宋体"/>
                <w:color w:val="auto"/>
                <w:sz w:val="18"/>
                <w:szCs w:val="18"/>
                <w:u w:val="none" w:color="auto"/>
              </w:rPr>
              <w:t>X</w:t>
            </w:r>
            <w:r>
              <w:rPr>
                <w:rFonts w:ascii="宋体" w:hAnsi="宋体" w:cs="宋体"/>
                <w:color w:val="auto"/>
                <w:sz w:val="18"/>
                <w:szCs w:val="18"/>
                <w:u w:val="none" w:color="auto"/>
              </w:rPr>
              <w:t>万吨</w:t>
            </w:r>
            <w:r>
              <w:rPr>
                <w:rFonts w:hint="eastAsia" w:ascii="宋体" w:hAnsi="宋体" w:cs="宋体"/>
                <w:color w:val="auto"/>
                <w:sz w:val="18"/>
                <w:szCs w:val="18"/>
                <w:u w:val="none" w:color="auto"/>
              </w:rPr>
              <w:t>，</w:t>
            </w:r>
            <w:r>
              <w:rPr>
                <w:rFonts w:ascii="Calibri" w:hAnsi="Calibri" w:cs="宋体"/>
                <w:color w:val="auto"/>
                <w:sz w:val="18"/>
                <w:szCs w:val="18"/>
                <w:u w:val="none" w:color="auto"/>
              </w:rPr>
              <w:t>化肥利用率达到</w:t>
            </w:r>
            <w:r>
              <w:rPr>
                <w:rFonts w:hint="eastAsia" w:ascii="宋体" w:hAnsi="宋体" w:cs="宋体"/>
                <w:color w:val="auto"/>
                <w:sz w:val="18"/>
                <w:szCs w:val="18"/>
                <w:u w:val="none" w:color="auto"/>
              </w:rPr>
              <w:t>X</w:t>
            </w:r>
            <w:r>
              <w:rPr>
                <w:rFonts w:ascii="Calibri" w:hAnsi="Calibri" w:cs="宋体"/>
                <w:color w:val="auto"/>
                <w:sz w:val="18"/>
                <w:szCs w:val="18"/>
                <w:u w:val="none" w:color="auto"/>
              </w:rPr>
              <w:t>%</w:t>
            </w:r>
            <w:r>
              <w:rPr>
                <w:rFonts w:ascii="宋体" w:hAnsi="宋体" w:cs="宋体"/>
                <w:color w:val="auto"/>
                <w:sz w:val="18"/>
                <w:szCs w:val="18"/>
                <w:u w:val="none" w:color="auto"/>
              </w:rPr>
              <w:t>，农药利用率达到</w:t>
            </w:r>
            <w:r>
              <w:rPr>
                <w:rFonts w:hint="eastAsia" w:ascii="宋体" w:hAnsi="宋体" w:cs="宋体"/>
                <w:color w:val="auto"/>
                <w:sz w:val="18"/>
                <w:szCs w:val="18"/>
                <w:u w:val="none" w:color="auto"/>
              </w:rPr>
              <w:t>X</w:t>
            </w:r>
            <w:r>
              <w:rPr>
                <w:rFonts w:ascii="Calibri" w:hAnsi="Calibri" w:cs="宋体"/>
                <w:color w:val="auto"/>
                <w:sz w:val="18"/>
                <w:szCs w:val="18"/>
                <w:u w:val="none" w:color="auto"/>
              </w:rPr>
              <w:t>%</w:t>
            </w:r>
            <w:r>
              <w:rPr>
                <w:rFonts w:ascii="宋体" w:hAnsi="宋体" w:cs="宋体"/>
                <w:color w:val="auto"/>
                <w:sz w:val="18"/>
                <w:szCs w:val="18"/>
                <w:u w:val="none" w:color="auto"/>
              </w:rPr>
              <w:t>。</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p>
        </w:tc>
      </w:tr>
      <w:tr>
        <w:tblPrEx>
          <w:tblLayout w:type="fixed"/>
          <w:tblCellMar>
            <w:top w:w="0" w:type="dxa"/>
            <w:left w:w="108" w:type="dxa"/>
            <w:bottom w:w="0" w:type="dxa"/>
            <w:right w:w="108" w:type="dxa"/>
          </w:tblCellMar>
        </w:tblPrEx>
        <w:trPr>
          <w:trHeight w:val="977" w:hRule="atLeast"/>
          <w:jc w:val="center"/>
        </w:trPr>
        <w:tc>
          <w:tcPr>
            <w:tcW w:w="427" w:type="dxa"/>
            <w:vMerge w:val="continue"/>
            <w:tcBorders>
              <w:top w:val="nil"/>
              <w:left w:val="single" w:color="000000" w:sz="8" w:space="0"/>
              <w:bottom w:val="single" w:color="000000" w:sz="8" w:space="0"/>
              <w:right w:val="single" w:color="000000" w:sz="8" w:space="0"/>
            </w:tcBorders>
            <w:vAlign w:val="center"/>
          </w:tcPr>
          <w:p>
            <w:pPr>
              <w:spacing w:line="240" w:lineRule="auto"/>
              <w:jc w:val="left"/>
              <w:textAlignment w:val="auto"/>
              <w:rPr>
                <w:rFonts w:ascii="Calibri" w:hAnsi="Calibri" w:cs="宋体"/>
                <w:b/>
                <w:bCs/>
                <w:color w:val="auto"/>
                <w:sz w:val="18"/>
                <w:szCs w:val="18"/>
                <w:u w:val="none" w:color="auto"/>
              </w:rPr>
            </w:pPr>
          </w:p>
        </w:tc>
        <w:tc>
          <w:tcPr>
            <w:tcW w:w="941" w:type="dxa"/>
            <w:vMerge w:val="continue"/>
            <w:tcBorders>
              <w:top w:val="nil"/>
              <w:left w:val="nil"/>
              <w:bottom w:val="single" w:color="000000" w:sz="8" w:space="0"/>
              <w:right w:val="single" w:color="000000" w:sz="8" w:space="0"/>
            </w:tcBorders>
            <w:vAlign w:val="center"/>
          </w:tcPr>
          <w:p>
            <w:pPr>
              <w:spacing w:line="240" w:lineRule="auto"/>
              <w:jc w:val="left"/>
              <w:textAlignment w:val="auto"/>
              <w:rPr>
                <w:rFonts w:ascii="Calibri" w:hAnsi="Calibri" w:cs="宋体"/>
                <w:color w:val="auto"/>
                <w:sz w:val="18"/>
                <w:szCs w:val="18"/>
                <w:u w:val="none" w:color="auto"/>
              </w:rPr>
            </w:pP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hint="eastAsia" w:ascii="宋体" w:hAnsi="宋体" w:cs="宋体"/>
                <w:color w:val="auto"/>
                <w:sz w:val="18"/>
                <w:szCs w:val="18"/>
                <w:u w:val="none" w:color="auto"/>
              </w:rPr>
              <w:t>整治畜禽养殖污染</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推进养殖业污染综合治理</w:t>
            </w:r>
            <w:r>
              <w:rPr>
                <w:rFonts w:hint="eastAsia" w:ascii="宋体" w:hAnsi="宋体" w:cs="宋体"/>
                <w:color w:val="auto"/>
                <w:sz w:val="18"/>
                <w:szCs w:val="18"/>
                <w:u w:val="none" w:color="auto"/>
              </w:rPr>
              <w:t>。</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填报示例：</w:t>
            </w:r>
            <w:r>
              <w:rPr>
                <w:rFonts w:hint="eastAsia" w:ascii="宋体" w:hAnsi="宋体" w:cs="宋体"/>
                <w:color w:val="auto"/>
                <w:sz w:val="18"/>
                <w:szCs w:val="18"/>
                <w:u w:val="none" w:color="auto"/>
              </w:rPr>
              <w:t>排查</w:t>
            </w:r>
            <w:r>
              <w:rPr>
                <w:rFonts w:ascii="Calibri" w:hAnsi="Calibri" w:cs="宋体"/>
                <w:color w:val="auto"/>
                <w:sz w:val="18"/>
                <w:szCs w:val="18"/>
                <w:u w:val="none" w:color="auto"/>
              </w:rPr>
              <w:t>规模畜禽养殖场</w:t>
            </w:r>
            <w:r>
              <w:rPr>
                <w:rFonts w:hint="eastAsia" w:ascii="宋体" w:hAnsi="宋体" w:cs="宋体"/>
                <w:color w:val="auto"/>
                <w:sz w:val="18"/>
                <w:szCs w:val="18"/>
                <w:u w:val="none" w:color="auto"/>
              </w:rPr>
              <w:t>（户）</w:t>
            </w:r>
            <w:r>
              <w:rPr>
                <w:rFonts w:ascii="Calibri" w:hAnsi="Calibri" w:cs="宋体"/>
                <w:color w:val="auto"/>
                <w:sz w:val="18"/>
                <w:szCs w:val="18"/>
                <w:u w:val="none" w:color="auto"/>
              </w:rPr>
              <w:t>X</w:t>
            </w:r>
            <w:r>
              <w:rPr>
                <w:rFonts w:ascii="宋体" w:hAnsi="宋体" w:cs="宋体"/>
                <w:color w:val="auto"/>
                <w:sz w:val="18"/>
                <w:szCs w:val="18"/>
                <w:u w:val="none" w:color="auto"/>
              </w:rPr>
              <w:t>个，发现</w:t>
            </w:r>
            <w:r>
              <w:rPr>
                <w:rFonts w:ascii="Calibri" w:hAnsi="Calibri" w:cs="宋体"/>
                <w:color w:val="auto"/>
                <w:sz w:val="18"/>
                <w:szCs w:val="18"/>
                <w:u w:val="none" w:color="auto"/>
              </w:rPr>
              <w:t>畜禽养殖污染问题X</w:t>
            </w:r>
            <w:r>
              <w:rPr>
                <w:rFonts w:ascii="宋体" w:hAnsi="宋体" w:cs="宋体"/>
                <w:color w:val="auto"/>
                <w:sz w:val="18"/>
                <w:szCs w:val="18"/>
                <w:u w:val="none" w:color="auto"/>
              </w:rPr>
              <w:t>个，已整改</w:t>
            </w:r>
            <w:r>
              <w:rPr>
                <w:rFonts w:ascii="Calibri" w:hAnsi="Calibri" w:cs="宋体"/>
                <w:color w:val="auto"/>
                <w:sz w:val="18"/>
                <w:szCs w:val="18"/>
                <w:u w:val="none" w:color="auto"/>
              </w:rPr>
              <w:t>X</w:t>
            </w:r>
            <w:r>
              <w:rPr>
                <w:rFonts w:ascii="宋体" w:hAnsi="宋体" w:cs="宋体"/>
                <w:color w:val="auto"/>
                <w:sz w:val="18"/>
                <w:szCs w:val="18"/>
                <w:u w:val="none" w:color="auto"/>
              </w:rPr>
              <w:t>个。</w:t>
            </w:r>
            <w:r>
              <w:rPr>
                <w:rFonts w:hint="eastAsia" w:ascii="宋体" w:hAnsi="宋体" w:cs="宋体"/>
                <w:color w:val="auto"/>
                <w:sz w:val="18"/>
                <w:szCs w:val="18"/>
                <w:u w:val="none" w:color="auto"/>
              </w:rPr>
              <w:t>已完成畜禽养殖污染防治规划县（市、区）</w:t>
            </w:r>
            <w:r>
              <w:rPr>
                <w:rFonts w:ascii="Calibri" w:hAnsi="Calibri" w:cs="宋体"/>
                <w:color w:val="auto"/>
                <w:sz w:val="18"/>
                <w:szCs w:val="18"/>
                <w:u w:val="none" w:color="auto"/>
              </w:rPr>
              <w:t>X</w:t>
            </w:r>
            <w:r>
              <w:rPr>
                <w:rFonts w:ascii="宋体" w:hAnsi="宋体" w:cs="宋体"/>
                <w:color w:val="auto"/>
                <w:sz w:val="18"/>
                <w:szCs w:val="18"/>
                <w:u w:val="none" w:color="auto"/>
              </w:rPr>
              <w:t>个</w:t>
            </w:r>
            <w:r>
              <w:rPr>
                <w:rFonts w:hint="eastAsia" w:ascii="宋体" w:hAnsi="宋体" w:cs="宋体"/>
                <w:color w:val="auto"/>
                <w:sz w:val="18"/>
                <w:szCs w:val="18"/>
                <w:u w:val="none" w:color="auto"/>
              </w:rPr>
              <w:t>。</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hint="eastAsia" w:ascii="宋体" w:hAnsi="宋体" w:cs="宋体"/>
                <w:color w:val="auto"/>
                <w:sz w:val="18"/>
                <w:szCs w:val="18"/>
                <w:u w:val="none" w:color="auto"/>
              </w:rPr>
              <w:t>备注已完成畜禽养殖污染防治规划县（市、区）名单。</w:t>
            </w:r>
          </w:p>
        </w:tc>
      </w:tr>
      <w:tr>
        <w:tblPrEx>
          <w:tblLayout w:type="fixed"/>
          <w:tblCellMar>
            <w:top w:w="0" w:type="dxa"/>
            <w:left w:w="108" w:type="dxa"/>
            <w:bottom w:w="0" w:type="dxa"/>
            <w:right w:w="108" w:type="dxa"/>
          </w:tblCellMar>
        </w:tblPrEx>
        <w:trPr>
          <w:trHeight w:val="977" w:hRule="atLeast"/>
          <w:jc w:val="center"/>
        </w:trPr>
        <w:tc>
          <w:tcPr>
            <w:tcW w:w="427" w:type="dxa"/>
            <w:vMerge w:val="continue"/>
            <w:tcBorders>
              <w:top w:val="nil"/>
              <w:left w:val="single" w:color="000000" w:sz="8" w:space="0"/>
              <w:bottom w:val="single" w:color="000000" w:sz="8" w:space="0"/>
              <w:right w:val="single" w:color="000000" w:sz="8" w:space="0"/>
            </w:tcBorders>
            <w:vAlign w:val="center"/>
          </w:tcPr>
          <w:p>
            <w:pPr>
              <w:spacing w:line="240" w:lineRule="auto"/>
              <w:jc w:val="left"/>
              <w:textAlignment w:val="auto"/>
              <w:rPr>
                <w:rFonts w:ascii="Calibri" w:hAnsi="Calibri" w:cs="宋体"/>
                <w:b/>
                <w:bCs/>
                <w:color w:val="auto"/>
                <w:sz w:val="18"/>
                <w:szCs w:val="18"/>
                <w:u w:val="none" w:color="auto"/>
              </w:rPr>
            </w:pPr>
          </w:p>
        </w:tc>
        <w:tc>
          <w:tcPr>
            <w:tcW w:w="941" w:type="dxa"/>
            <w:vMerge w:val="continue"/>
            <w:tcBorders>
              <w:top w:val="nil"/>
              <w:left w:val="nil"/>
              <w:bottom w:val="single" w:color="000000" w:sz="8" w:space="0"/>
              <w:right w:val="single" w:color="000000" w:sz="8" w:space="0"/>
            </w:tcBorders>
            <w:vAlign w:val="center"/>
          </w:tcPr>
          <w:p>
            <w:pPr>
              <w:spacing w:line="240" w:lineRule="auto"/>
              <w:jc w:val="left"/>
              <w:textAlignment w:val="auto"/>
              <w:rPr>
                <w:rFonts w:ascii="Calibri" w:hAnsi="Calibri" w:cs="宋体"/>
                <w:color w:val="auto"/>
                <w:sz w:val="18"/>
                <w:szCs w:val="18"/>
                <w:u w:val="none" w:color="auto"/>
              </w:rPr>
            </w:pP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实施试点示范</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开展农业面源污染治理与监督指导试点工作。</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填报示例：农业面源污染治理与监督指导试点工作开展情况。</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包括工作机制建立情况、方案编制情况、试点经费筹措情况及所做其他工作。</w:t>
            </w:r>
          </w:p>
        </w:tc>
      </w:tr>
      <w:tr>
        <w:tblPrEx>
          <w:tblLayout w:type="fixed"/>
          <w:tblCellMar>
            <w:top w:w="0" w:type="dxa"/>
            <w:left w:w="108" w:type="dxa"/>
            <w:bottom w:w="0" w:type="dxa"/>
            <w:right w:w="108" w:type="dxa"/>
          </w:tblCellMar>
        </w:tblPrEx>
        <w:trPr>
          <w:trHeight w:val="977" w:hRule="atLeast"/>
          <w:jc w:val="center"/>
        </w:trPr>
        <w:tc>
          <w:tcPr>
            <w:tcW w:w="427"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textAlignment w:val="auto"/>
              <w:rPr>
                <w:rFonts w:ascii="Calibri" w:hAnsi="Calibri" w:cs="宋体"/>
                <w:color w:val="auto"/>
                <w:sz w:val="18"/>
                <w:szCs w:val="18"/>
                <w:u w:val="none" w:color="auto"/>
              </w:rPr>
            </w:pPr>
            <w:r>
              <w:rPr>
                <w:rFonts w:hint="eastAsia" w:ascii="宋体" w:hAnsi="宋体" w:cs="宋体"/>
                <w:color w:val="auto"/>
                <w:sz w:val="18"/>
                <w:szCs w:val="18"/>
                <w:u w:val="none" w:color="auto"/>
              </w:rPr>
              <w:t>6</w:t>
            </w:r>
          </w:p>
        </w:tc>
        <w:tc>
          <w:tcPr>
            <w:tcW w:w="941" w:type="dxa"/>
            <w:tcBorders>
              <w:top w:val="single" w:color="000000" w:sz="8" w:space="0"/>
              <w:left w:val="nil"/>
              <w:bottom w:val="single" w:color="000000" w:sz="8" w:space="0"/>
              <w:right w:val="single" w:color="000000" w:sz="8" w:space="0"/>
            </w:tcBorders>
            <w:vAlign w:val="center"/>
          </w:tcPr>
          <w:p>
            <w:pPr>
              <w:spacing w:line="240" w:lineRule="auto"/>
              <w:jc w:val="center"/>
              <w:textAlignment w:val="auto"/>
              <w:rPr>
                <w:rFonts w:ascii="Calibri" w:hAnsi="Calibri" w:cs="宋体"/>
                <w:color w:val="auto"/>
                <w:sz w:val="18"/>
                <w:szCs w:val="18"/>
                <w:u w:val="none" w:color="auto"/>
              </w:rPr>
            </w:pPr>
            <w:r>
              <w:rPr>
                <w:rFonts w:ascii="Calibri" w:hAnsi="Calibri" w:cs="宋体"/>
                <w:color w:val="auto"/>
                <w:sz w:val="18"/>
                <w:szCs w:val="18"/>
                <w:u w:val="none" w:color="auto"/>
              </w:rPr>
              <w:t>工作亮点</w:t>
            </w:r>
          </w:p>
        </w:tc>
        <w:tc>
          <w:tcPr>
            <w:tcW w:w="144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经验做法及工作创新</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工作成效被省部级及以上媒体宣传报道；经验做法在全省或全国推广应用；创新融资模式，采取政府专项债、政策性银行贷款、群众筹资筹劳等方式推进工作的。</w:t>
            </w:r>
          </w:p>
        </w:tc>
        <w:tc>
          <w:tcPr>
            <w:tcW w:w="270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工作亮点或者工作经验。</w:t>
            </w:r>
          </w:p>
        </w:tc>
        <w:tc>
          <w:tcPr>
            <w:tcW w:w="1980" w:type="dxa"/>
            <w:tcBorders>
              <w:top w:val="single" w:color="000000" w:sz="8" w:space="0"/>
              <w:left w:val="nil"/>
              <w:bottom w:val="single" w:color="000000" w:sz="8" w:space="0"/>
              <w:right w:val="single" w:color="000000" w:sz="8" w:space="0"/>
            </w:tcBorders>
            <w:vAlign w:val="center"/>
          </w:tcPr>
          <w:p>
            <w:pPr>
              <w:spacing w:line="240" w:lineRule="auto"/>
              <w:textAlignment w:val="auto"/>
              <w:rPr>
                <w:rFonts w:ascii="Calibri" w:hAnsi="Calibri" w:cs="宋体"/>
                <w:color w:val="auto"/>
                <w:sz w:val="18"/>
                <w:szCs w:val="18"/>
                <w:u w:val="none" w:color="auto"/>
              </w:rPr>
            </w:pPr>
            <w:r>
              <w:rPr>
                <w:rFonts w:ascii="Calibri" w:hAnsi="Calibri" w:cs="宋体"/>
                <w:color w:val="auto"/>
                <w:sz w:val="18"/>
                <w:szCs w:val="18"/>
                <w:u w:val="none" w:color="auto"/>
              </w:rPr>
              <w:t>此项</w:t>
            </w:r>
            <w:r>
              <w:rPr>
                <w:rFonts w:hint="eastAsia" w:ascii="宋体" w:hAnsi="宋体" w:cs="宋体"/>
                <w:color w:val="auto"/>
                <w:sz w:val="18"/>
                <w:szCs w:val="18"/>
                <w:u w:val="none" w:color="auto"/>
              </w:rPr>
              <w:t>将纳入</w:t>
            </w:r>
            <w:r>
              <w:rPr>
                <w:rFonts w:ascii="Calibri" w:hAnsi="Calibri" w:cs="宋体"/>
                <w:color w:val="auto"/>
                <w:sz w:val="18"/>
                <w:szCs w:val="18"/>
                <w:u w:val="none" w:color="auto"/>
              </w:rPr>
              <w:t>工作</w:t>
            </w:r>
            <w:r>
              <w:rPr>
                <w:rFonts w:hint="eastAsia" w:ascii="宋体" w:hAnsi="宋体" w:cs="宋体"/>
                <w:color w:val="auto"/>
                <w:sz w:val="18"/>
                <w:szCs w:val="18"/>
                <w:u w:val="none" w:color="auto"/>
              </w:rPr>
              <w:t>通报</w:t>
            </w:r>
            <w:r>
              <w:rPr>
                <w:rFonts w:ascii="Calibri" w:hAnsi="Calibri" w:cs="宋体"/>
                <w:color w:val="auto"/>
                <w:sz w:val="18"/>
                <w:szCs w:val="18"/>
                <w:u w:val="none" w:color="auto"/>
              </w:rPr>
              <w:t>重要</w:t>
            </w:r>
            <w:r>
              <w:rPr>
                <w:rFonts w:hint="eastAsia" w:ascii="宋体" w:hAnsi="宋体" w:cs="宋体"/>
                <w:color w:val="auto"/>
                <w:sz w:val="18"/>
                <w:szCs w:val="18"/>
                <w:u w:val="none" w:color="auto"/>
              </w:rPr>
              <w:t>内容</w:t>
            </w:r>
            <w:r>
              <w:rPr>
                <w:rFonts w:ascii="Calibri" w:hAnsi="Calibri" w:cs="宋体"/>
                <w:color w:val="auto"/>
                <w:sz w:val="18"/>
                <w:szCs w:val="18"/>
                <w:u w:val="none" w:color="auto"/>
              </w:rPr>
              <w:t>。</w:t>
            </w:r>
          </w:p>
        </w:tc>
      </w:tr>
      <w:bookmarkEnd w:id="0"/>
    </w:tbl>
    <w:p>
      <w:pPr>
        <w:autoSpaceDN w:val="0"/>
        <w:spacing w:line="240" w:lineRule="exact"/>
        <w:ind w:firstLine="5438"/>
        <w:textAlignment w:val="auto"/>
        <w:rPr>
          <w:rFonts w:hint="eastAsia" w:ascii="仿宋_GB2312" w:eastAsia="仿宋_GB2312"/>
          <w:sz w:val="32"/>
          <w:szCs w:val="32"/>
          <w:u w:val="none" w:color="auto"/>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287" w:bottom="1440" w:left="1797" w:header="964"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 xml:space="preserve">— </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rPr>
      <w:t>3</w:t>
    </w:r>
    <w:r>
      <w:rPr>
        <w:rStyle w:val="5"/>
        <w:rFonts w:hint="eastAsia" w:ascii="仿宋_GB2312" w:eastAsia="仿宋_GB2312"/>
        <w:sz w:val="28"/>
        <w:szCs w:val="28"/>
      </w:rPr>
      <w:fldChar w:fldCharType="end"/>
    </w:r>
    <w:r>
      <w:rPr>
        <w:rStyle w:val="5"/>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 xml:space="preserve">— </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rPr>
      <w:t>2</w:t>
    </w:r>
    <w:r>
      <w:rPr>
        <w:rStyle w:val="5"/>
        <w:rFonts w:hint="eastAsia" w:ascii="仿宋_GB2312" w:eastAsia="仿宋_GB2312"/>
        <w:sz w:val="28"/>
        <w:szCs w:val="28"/>
      </w:rPr>
      <w:fldChar w:fldCharType="end"/>
    </w:r>
    <w:r>
      <w:rPr>
        <w:rStyle w:val="5"/>
        <w:rFonts w:hint="eastAsia" w:ascii="仿宋_GB2312" w:eastAsia="仿宋_GB2312"/>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79" w:rightChars="228"/>
      <w:jc w:val="right"/>
      <w:rPr>
        <w:rFonts w:hint="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342" w:yAlign="outside"/>
      <w:ind w:firstLine="420" w:firstLineChars="150"/>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8</w:t>
    </w:r>
    <w:r>
      <w:rPr>
        <w:sz w:val="28"/>
        <w:szCs w:val="28"/>
      </w:rPr>
      <w:fldChar w:fldCharType="end"/>
    </w:r>
    <w:r>
      <w:rPr>
        <w:rStyle w:val="5"/>
        <w:rFonts w:hint="eastAsia"/>
        <w:sz w:val="28"/>
        <w:szCs w:val="28"/>
      </w:rPr>
      <w:t xml:space="preserve"> —</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082" w:yAlign="outside"/>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    </w:t>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8240" behindDoc="1" locked="0" layoutInCell="0" allowOverlap="1">
              <wp:simplePos x="0" y="0"/>
              <wp:positionH relativeFrom="page">
                <wp:posOffset>1079500</wp:posOffset>
              </wp:positionH>
              <wp:positionV relativeFrom="page">
                <wp:posOffset>359410</wp:posOffset>
              </wp:positionV>
              <wp:extent cx="561594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5pt;margin-top:28.3pt;height:14.15pt;width:442.2pt;mso-position-horizontal-relative:page;mso-position-vertical-relative:page;z-index:-251658240;mso-width-relative:page;mso-height-relative:page;" filled="f" stroked="f" coordsize="21600,21600" o:allowincell="f" o:gfxdata="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DYj4jZAAAACgEAAA8AAAAAAAAA&#10;AQAgAAAAIgAAAGRycy9kb3ducmV2LnhtbFBLAQIUABQAAAAIAIdO4kACyqAU1wEAAI0DAAAOAAAA&#10;AAAAAAEAIAAAACgBAABkcnMvZTJvRG9jLnhtbFBLBQYAAAAABgAGAFkBAABxBQ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F3087"/>
    <w:rsid w:val="094F39FD"/>
    <w:rsid w:val="2FAC5864"/>
    <w:rsid w:val="369F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bmp"/><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2023-05-23T01:03:00Z</dcterms:created>
  <dc:creator>User</dc:creator>
  <cp:lastModifiedBy>User</cp:lastModifiedBy>
  <dcterms:modified xsi:type="dcterms:W3CDTF">2023-05-23T01:03:47Z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