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atLeast"/>
        <w:ind w:right="210"/>
        <w:textAlignment w:val="auto"/>
        <w:rPr>
          <w:rFonts w:ascii="黑体" w:hAnsi="黑体" w:eastAsia="黑体"/>
          <w:color w:val="auto"/>
          <w:sz w:val="32"/>
          <w:szCs w:val="32"/>
          <w:u w:val="none" w:color="auto"/>
        </w:rPr>
      </w:pPr>
      <w:r>
        <w:rPr>
          <w:rFonts w:ascii="黑体" w:hAnsi="黑体" w:eastAsia="黑体"/>
          <w:color w:val="auto"/>
          <w:sz w:val="32"/>
          <w:szCs w:val="32"/>
          <w:u w:val="none" w:color="auto"/>
        </w:rPr>
        <w:t>附 件</w:t>
      </w:r>
    </w:p>
    <w:p>
      <w:pPr>
        <w:autoSpaceDN w:val="0"/>
        <w:spacing w:after="156" w:line="700" w:lineRule="atLeast"/>
        <w:jc w:val="center"/>
        <w:textAlignment w:val="auto"/>
        <w:rPr>
          <w:rFonts w:ascii="微软简标宋" w:eastAsia="微软简标宋"/>
          <w:sz w:val="44"/>
          <w:szCs w:val="44"/>
          <w:u w:val="none" w:color="auto"/>
        </w:rPr>
      </w:pPr>
      <w:bookmarkStart w:id="0" w:name="_GoBack"/>
      <w:r>
        <w:rPr>
          <w:rFonts w:hint="eastAsia" w:ascii="微软简标宋" w:eastAsia="微软简标宋"/>
          <w:sz w:val="44"/>
          <w:szCs w:val="44"/>
          <w:u w:val="none" w:color="auto"/>
        </w:rPr>
        <w:t>三门峡市2023年四季度重点任务台账</w:t>
      </w:r>
    </w:p>
    <w:bookmarkEnd w:id="0"/>
    <w:tbl>
      <w:tblPr>
        <w:tblStyle w:val="6"/>
        <w:tblW w:w="13620" w:type="dxa"/>
        <w:jc w:val="center"/>
        <w:tblInd w:w="0" w:type="dxa"/>
        <w:tblLayout w:type="fixed"/>
        <w:tblCellMar>
          <w:top w:w="0" w:type="dxa"/>
          <w:left w:w="108" w:type="dxa"/>
          <w:bottom w:w="0" w:type="dxa"/>
          <w:right w:w="108" w:type="dxa"/>
        </w:tblCellMar>
      </w:tblPr>
      <w:tblGrid>
        <w:gridCol w:w="682"/>
        <w:gridCol w:w="2833"/>
        <w:gridCol w:w="3559"/>
        <w:gridCol w:w="3485"/>
        <w:gridCol w:w="1536"/>
        <w:gridCol w:w="1525"/>
      </w:tblGrid>
      <w:tr>
        <w:tblPrEx>
          <w:tblLayout w:type="fixed"/>
          <w:tblCellMar>
            <w:top w:w="0" w:type="dxa"/>
            <w:left w:w="108" w:type="dxa"/>
            <w:bottom w:w="0" w:type="dxa"/>
            <w:right w:w="108" w:type="dxa"/>
          </w:tblCellMar>
        </w:tblPrEx>
        <w:trPr>
          <w:trHeight w:val="789"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b/>
                <w:bCs/>
                <w:color w:val="auto"/>
                <w:sz w:val="24"/>
                <w:szCs w:val="24"/>
                <w:u w:val="none" w:color="auto"/>
              </w:rPr>
            </w:pPr>
            <w:r>
              <w:rPr>
                <w:b/>
                <w:bCs/>
                <w:color w:val="auto"/>
                <w:sz w:val="24"/>
                <w:szCs w:val="24"/>
                <w:u w:val="none" w:color="auto"/>
              </w:rPr>
              <w:t>序号</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b/>
                <w:bCs/>
                <w:color w:val="auto"/>
                <w:sz w:val="24"/>
                <w:szCs w:val="24"/>
                <w:u w:val="none" w:color="auto"/>
              </w:rPr>
            </w:pPr>
            <w:r>
              <w:rPr>
                <w:b/>
                <w:bCs/>
                <w:color w:val="auto"/>
                <w:sz w:val="24"/>
                <w:szCs w:val="24"/>
                <w:u w:val="none" w:color="auto"/>
              </w:rPr>
              <w:t>工作任务及要求</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b/>
                <w:bCs/>
                <w:color w:val="auto"/>
                <w:sz w:val="24"/>
                <w:szCs w:val="24"/>
                <w:u w:val="none" w:color="auto"/>
              </w:rPr>
            </w:pPr>
            <w:r>
              <w:rPr>
                <w:b/>
                <w:bCs/>
                <w:color w:val="auto"/>
                <w:sz w:val="24"/>
                <w:szCs w:val="24"/>
                <w:u w:val="none" w:color="auto"/>
              </w:rPr>
              <w:t>存在问题</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b/>
                <w:bCs/>
                <w:color w:val="auto"/>
                <w:sz w:val="24"/>
                <w:szCs w:val="24"/>
                <w:u w:val="none" w:color="auto"/>
              </w:rPr>
            </w:pPr>
            <w:r>
              <w:rPr>
                <w:b/>
                <w:bCs/>
                <w:color w:val="auto"/>
                <w:sz w:val="24"/>
                <w:szCs w:val="24"/>
                <w:u w:val="none" w:color="auto"/>
              </w:rPr>
              <w:t>工作进度</w:t>
            </w: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b/>
                <w:bCs/>
                <w:color w:val="auto"/>
                <w:sz w:val="24"/>
                <w:szCs w:val="24"/>
                <w:u w:val="none" w:color="auto"/>
              </w:rPr>
            </w:pPr>
            <w:r>
              <w:rPr>
                <w:rFonts w:hint="eastAsia" w:ascii="宋体" w:hAnsi="宋体"/>
                <w:b/>
                <w:bCs/>
                <w:color w:val="auto"/>
                <w:sz w:val="24"/>
                <w:szCs w:val="24"/>
                <w:u w:val="none" w:color="auto"/>
              </w:rPr>
              <w:t>涉及分局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b/>
                <w:bCs/>
                <w:color w:val="auto"/>
                <w:sz w:val="24"/>
                <w:szCs w:val="24"/>
                <w:u w:val="none" w:color="auto"/>
              </w:rPr>
            </w:pPr>
            <w:r>
              <w:rPr>
                <w:rFonts w:hint="eastAsia" w:ascii="宋体" w:hAnsi="宋体"/>
                <w:b/>
                <w:bCs/>
                <w:color w:val="auto"/>
                <w:sz w:val="24"/>
                <w:szCs w:val="24"/>
                <w:u w:val="none" w:color="auto"/>
              </w:rPr>
              <w:t>责任科室</w:t>
            </w:r>
          </w:p>
        </w:tc>
      </w:tr>
      <w:tr>
        <w:tblPrEx>
          <w:tblLayout w:type="fixed"/>
          <w:tblCellMar>
            <w:top w:w="0" w:type="dxa"/>
            <w:left w:w="108" w:type="dxa"/>
            <w:bottom w:w="0" w:type="dxa"/>
            <w:right w:w="108" w:type="dxa"/>
          </w:tblCellMar>
        </w:tblPrEx>
        <w:trPr>
          <w:trHeight w:val="1173"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1</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2021-2022</w:t>
            </w:r>
            <w:r>
              <w:rPr>
                <w:rFonts w:ascii="宋体" w:hAnsi="宋体"/>
                <w:color w:val="auto"/>
                <w:sz w:val="24"/>
                <w:szCs w:val="24"/>
                <w:u w:val="none" w:color="auto"/>
              </w:rPr>
              <w:t>年省级生态环境环保督察整改任务</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rFonts w:ascii="宋体" w:hAnsi="宋体"/>
                <w:color w:val="auto"/>
                <w:sz w:val="24"/>
                <w:szCs w:val="24"/>
                <w:u w:val="none" w:color="auto"/>
              </w:rPr>
            </w:pPr>
            <w:r>
              <w:rPr>
                <w:color w:val="auto"/>
                <w:sz w:val="24"/>
                <w:szCs w:val="24"/>
                <w:u w:val="none" w:color="auto"/>
              </w:rPr>
              <w:t>三门峡市医疗废物处置新建项目应于2022</w:t>
            </w:r>
            <w:r>
              <w:rPr>
                <w:rFonts w:ascii="宋体" w:hAnsi="宋体"/>
                <w:color w:val="auto"/>
                <w:sz w:val="24"/>
                <w:szCs w:val="24"/>
                <w:u w:val="none" w:color="auto"/>
              </w:rPr>
              <w:t>年</w:t>
            </w:r>
            <w:r>
              <w:rPr>
                <w:color w:val="auto"/>
                <w:sz w:val="24"/>
                <w:szCs w:val="24"/>
                <w:u w:val="none" w:color="auto"/>
              </w:rPr>
              <w:t>12</w:t>
            </w:r>
            <w:r>
              <w:rPr>
                <w:rFonts w:ascii="宋体" w:hAnsi="宋体"/>
                <w:color w:val="auto"/>
                <w:sz w:val="24"/>
                <w:szCs w:val="24"/>
                <w:u w:val="none" w:color="auto"/>
              </w:rPr>
              <w:t>月建成投运，</w:t>
            </w:r>
            <w:r>
              <w:rPr>
                <w:rFonts w:hint="eastAsia" w:ascii="宋体" w:hAnsi="宋体"/>
                <w:color w:val="auto"/>
                <w:sz w:val="24"/>
                <w:szCs w:val="24"/>
                <w:u w:val="none" w:color="auto"/>
              </w:rPr>
              <w:t>目前仍未完成。</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灵宝分局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固体科</w:t>
            </w:r>
          </w:p>
        </w:tc>
      </w:tr>
      <w:tr>
        <w:tblPrEx>
          <w:tblLayout w:type="fixed"/>
          <w:tblCellMar>
            <w:top w:w="0" w:type="dxa"/>
            <w:left w:w="108" w:type="dxa"/>
            <w:bottom w:w="0" w:type="dxa"/>
            <w:right w:w="108" w:type="dxa"/>
          </w:tblCellMar>
        </w:tblPrEx>
        <w:trPr>
          <w:trHeight w:val="2229"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2</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完成黄河流域环境问题和风险隐患问题排查工作整改任务，同时定期开展排查，对新发现问题动态清零。</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部分地方整改进展较慢，需要加快进度，按照《</w:t>
            </w:r>
            <w:r>
              <w:rPr>
                <w:rFonts w:hint="eastAsia" w:ascii="宋体" w:hAnsi="宋体"/>
                <w:color w:val="auto"/>
                <w:sz w:val="24"/>
                <w:szCs w:val="24"/>
                <w:u w:val="none" w:color="auto"/>
              </w:rPr>
              <w:t>三门峡市</w:t>
            </w:r>
            <w:r>
              <w:rPr>
                <w:color w:val="auto"/>
                <w:sz w:val="24"/>
                <w:szCs w:val="24"/>
                <w:u w:val="none" w:color="auto"/>
              </w:rPr>
              <w:t>黄河流域生态环境风险隐患排查整治专项行动方案》和整改台账要求，完成</w:t>
            </w:r>
            <w:r>
              <w:rPr>
                <w:rFonts w:hint="eastAsia" w:ascii="宋体" w:hAnsi="宋体"/>
                <w:color w:val="auto"/>
                <w:sz w:val="24"/>
                <w:szCs w:val="24"/>
                <w:u w:val="none" w:color="auto"/>
              </w:rPr>
              <w:t>剩余65个问题</w:t>
            </w:r>
            <w:r>
              <w:rPr>
                <w:color w:val="auto"/>
                <w:sz w:val="24"/>
                <w:szCs w:val="24"/>
                <w:u w:val="none" w:color="auto"/>
              </w:rPr>
              <w:t>整改。</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各生态环境分局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攻坚办</w:t>
            </w:r>
          </w:p>
        </w:tc>
      </w:tr>
      <w:tr>
        <w:tblPrEx>
          <w:tblLayout w:type="fixed"/>
          <w:tblCellMar>
            <w:top w:w="0" w:type="dxa"/>
            <w:left w:w="108" w:type="dxa"/>
            <w:bottom w:w="0" w:type="dxa"/>
            <w:right w:w="108" w:type="dxa"/>
          </w:tblCellMar>
        </w:tblPrEx>
        <w:trPr>
          <w:trHeight w:val="2595"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3</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2019</w:t>
            </w:r>
            <w:r>
              <w:rPr>
                <w:rFonts w:ascii="宋体" w:hAnsi="宋体"/>
                <w:color w:val="auto"/>
                <w:sz w:val="24"/>
                <w:szCs w:val="24"/>
                <w:u w:val="none" w:color="auto"/>
              </w:rPr>
              <w:t>年后建成的农村生活污水处理设施正常运行率达到</w:t>
            </w:r>
            <w:r>
              <w:rPr>
                <w:color w:val="auto"/>
                <w:sz w:val="24"/>
                <w:szCs w:val="24"/>
                <w:u w:val="none" w:color="auto"/>
              </w:rPr>
              <w:t>90%</w:t>
            </w:r>
            <w:r>
              <w:rPr>
                <w:rFonts w:ascii="宋体" w:hAnsi="宋体"/>
                <w:color w:val="auto"/>
                <w:sz w:val="24"/>
                <w:szCs w:val="24"/>
                <w:u w:val="none" w:color="auto"/>
              </w:rPr>
              <w:t>以上；已整改设施要全部达标达效，不存在虚假整改、表面整改等现象。</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农村生活污水处理设施分类整治提升工作成效需要持续巩固，运维管护水平总体不高，部分已整改设施整改成效差。</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rFonts w:hint="eastAsia" w:ascii="宋体" w:hAnsi="宋体"/>
                <w:color w:val="auto"/>
                <w:sz w:val="24"/>
                <w:szCs w:val="24"/>
                <w:u w:val="none" w:color="auto"/>
              </w:rPr>
              <w:t>各生态环境分局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土壤科</w:t>
            </w:r>
          </w:p>
        </w:tc>
      </w:tr>
      <w:tr>
        <w:tblPrEx>
          <w:tblLayout w:type="fixed"/>
          <w:tblCellMar>
            <w:top w:w="0" w:type="dxa"/>
            <w:left w:w="108" w:type="dxa"/>
            <w:bottom w:w="0" w:type="dxa"/>
            <w:right w:w="108" w:type="dxa"/>
          </w:tblCellMar>
        </w:tblPrEx>
        <w:trPr>
          <w:trHeight w:val="10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4</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完成资金支付和试点评估。</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w:t>
            </w:r>
            <w:r>
              <w:rPr>
                <w:rFonts w:ascii="宋体" w:hAnsi="宋体"/>
                <w:color w:val="auto"/>
                <w:sz w:val="24"/>
                <w:szCs w:val="24"/>
                <w:u w:val="none" w:color="auto"/>
              </w:rPr>
              <w:t>河南省灵宝市垃圾处理厂地下水防渗改造</w:t>
            </w:r>
            <w:r>
              <w:rPr>
                <w:color w:val="auto"/>
                <w:sz w:val="24"/>
                <w:szCs w:val="24"/>
                <w:u w:val="none" w:color="auto"/>
              </w:rPr>
              <w:t xml:space="preserve">” </w:t>
            </w:r>
            <w:r>
              <w:rPr>
                <w:rFonts w:ascii="宋体" w:hAnsi="宋体"/>
                <w:color w:val="auto"/>
                <w:sz w:val="24"/>
                <w:szCs w:val="24"/>
                <w:u w:val="none" w:color="auto"/>
              </w:rPr>
              <w:t>国家级地下水试点项目要加快推进。</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灵宝分局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土壤科</w:t>
            </w:r>
          </w:p>
        </w:tc>
      </w:tr>
      <w:tr>
        <w:tblPrEx>
          <w:tblLayout w:type="fixed"/>
          <w:tblCellMar>
            <w:top w:w="0" w:type="dxa"/>
            <w:left w:w="108" w:type="dxa"/>
            <w:bottom w:w="0" w:type="dxa"/>
            <w:right w:w="108" w:type="dxa"/>
          </w:tblCellMar>
        </w:tblPrEx>
        <w:trPr>
          <w:trHeight w:val="2595"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5</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按照《河南省自然保护区生态环境问题整改销号实施办法》要求，完成整改工作。</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2023</w:t>
            </w:r>
            <w:r>
              <w:rPr>
                <w:rFonts w:ascii="宋体" w:hAnsi="宋体"/>
                <w:color w:val="auto"/>
                <w:sz w:val="24"/>
                <w:szCs w:val="24"/>
                <w:u w:val="none" w:color="auto"/>
              </w:rPr>
              <w:t>年</w:t>
            </w:r>
            <w:r>
              <w:rPr>
                <w:color w:val="auto"/>
                <w:sz w:val="24"/>
                <w:szCs w:val="24"/>
                <w:u w:val="none" w:color="auto"/>
              </w:rPr>
              <w:t>4</w:t>
            </w:r>
            <w:r>
              <w:rPr>
                <w:rFonts w:ascii="宋体" w:hAnsi="宋体"/>
                <w:color w:val="auto"/>
                <w:sz w:val="24"/>
                <w:szCs w:val="24"/>
                <w:u w:val="none" w:color="auto"/>
              </w:rPr>
              <w:t>月份，生态环境部反馈我省生态环境部反馈河南省</w:t>
            </w:r>
            <w:r>
              <w:rPr>
                <w:color w:val="auto"/>
                <w:sz w:val="24"/>
                <w:szCs w:val="24"/>
                <w:u w:val="none" w:color="auto"/>
              </w:rPr>
              <w:t>“</w:t>
            </w:r>
            <w:r>
              <w:rPr>
                <w:rFonts w:ascii="宋体" w:hAnsi="宋体"/>
                <w:color w:val="auto"/>
                <w:sz w:val="24"/>
                <w:szCs w:val="24"/>
                <w:u w:val="none" w:color="auto"/>
              </w:rPr>
              <w:t>绿盾</w:t>
            </w:r>
            <w:r>
              <w:rPr>
                <w:color w:val="auto"/>
                <w:sz w:val="24"/>
                <w:szCs w:val="24"/>
                <w:u w:val="none" w:color="auto"/>
              </w:rPr>
              <w:t>2017-2022”</w:t>
            </w:r>
            <w:r>
              <w:rPr>
                <w:rFonts w:ascii="宋体" w:hAnsi="宋体"/>
                <w:color w:val="auto"/>
                <w:sz w:val="24"/>
                <w:szCs w:val="24"/>
                <w:u w:val="none" w:color="auto"/>
              </w:rPr>
              <w:t>国家级自然保护区重点问题有</w:t>
            </w:r>
            <w:r>
              <w:rPr>
                <w:color w:val="auto"/>
                <w:sz w:val="24"/>
                <w:szCs w:val="24"/>
                <w:u w:val="none" w:color="auto"/>
              </w:rPr>
              <w:t>77</w:t>
            </w:r>
            <w:r>
              <w:rPr>
                <w:rFonts w:ascii="宋体" w:hAnsi="宋体"/>
                <w:color w:val="auto"/>
                <w:sz w:val="24"/>
                <w:szCs w:val="24"/>
                <w:u w:val="none" w:color="auto"/>
              </w:rPr>
              <w:t>个未完成整改</w:t>
            </w:r>
            <w:r>
              <w:rPr>
                <w:rFonts w:hint="eastAsia" w:ascii="宋体" w:hAnsi="宋体"/>
                <w:color w:val="auto"/>
                <w:sz w:val="24"/>
                <w:szCs w:val="24"/>
                <w:u w:val="none" w:color="auto"/>
              </w:rPr>
              <w:t>，</w:t>
            </w:r>
            <w:r>
              <w:rPr>
                <w:color w:val="auto"/>
                <w:sz w:val="24"/>
                <w:szCs w:val="24"/>
                <w:u w:val="none" w:color="auto"/>
              </w:rPr>
              <w:t>涉及三门峡1</w:t>
            </w:r>
            <w:r>
              <w:rPr>
                <w:rFonts w:ascii="宋体" w:hAnsi="宋体"/>
                <w:color w:val="auto"/>
                <w:sz w:val="24"/>
                <w:szCs w:val="24"/>
                <w:u w:val="none" w:color="auto"/>
              </w:rPr>
              <w:t>个问题，为河南九晟环境科技有限公司。</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rFonts w:ascii="宋体" w:hAnsi="宋体"/>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灵宝分局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生态科</w:t>
            </w:r>
          </w:p>
        </w:tc>
      </w:tr>
      <w:tr>
        <w:tblPrEx>
          <w:tblLayout w:type="fixed"/>
          <w:tblCellMar>
            <w:top w:w="0" w:type="dxa"/>
            <w:left w:w="108" w:type="dxa"/>
            <w:bottom w:w="0" w:type="dxa"/>
            <w:right w:w="108" w:type="dxa"/>
          </w:tblCellMar>
        </w:tblPrEx>
        <w:trPr>
          <w:trHeight w:val="220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30" w:lineRule="atLeast"/>
              <w:jc w:val="center"/>
              <w:textAlignment w:val="auto"/>
              <w:rPr>
                <w:color w:val="auto"/>
                <w:sz w:val="24"/>
                <w:szCs w:val="24"/>
                <w:u w:val="none" w:color="auto"/>
              </w:rPr>
            </w:pPr>
            <w:r>
              <w:rPr>
                <w:color w:val="auto"/>
                <w:sz w:val="24"/>
                <w:szCs w:val="24"/>
                <w:u w:val="none" w:color="auto"/>
              </w:rPr>
              <w:t>6</w:t>
            </w:r>
          </w:p>
        </w:tc>
        <w:tc>
          <w:tcPr>
            <w:tcW w:w="2833"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2023</w:t>
            </w:r>
            <w:r>
              <w:rPr>
                <w:rFonts w:ascii="宋体" w:hAnsi="宋体"/>
                <w:color w:val="auto"/>
                <w:sz w:val="24"/>
                <w:szCs w:val="24"/>
                <w:u w:val="none" w:color="auto"/>
              </w:rPr>
              <w:t>年环境空气质量改善目标：</w:t>
            </w:r>
            <w:r>
              <w:rPr>
                <w:color w:val="auto"/>
                <w:sz w:val="24"/>
                <w:szCs w:val="24"/>
                <w:u w:val="none" w:color="auto"/>
              </w:rPr>
              <w:t>PM</w:t>
            </w:r>
            <w:r>
              <w:rPr>
                <w:color w:val="auto"/>
                <w:sz w:val="24"/>
                <w:szCs w:val="24"/>
                <w:u w:val="none" w:color="auto"/>
                <w:vertAlign w:val="subscript"/>
              </w:rPr>
              <w:t>10</w:t>
            </w:r>
            <w:r>
              <w:rPr>
                <w:color w:val="auto"/>
                <w:sz w:val="24"/>
                <w:szCs w:val="24"/>
                <w:u w:val="none" w:color="auto"/>
              </w:rPr>
              <w:t>不超过76</w:t>
            </w:r>
            <w:r>
              <w:rPr>
                <w:rFonts w:ascii="宋体" w:hAnsi="宋体"/>
                <w:color w:val="auto"/>
                <w:sz w:val="24"/>
                <w:szCs w:val="24"/>
                <w:u w:val="none" w:color="auto"/>
              </w:rPr>
              <w:t>微克</w:t>
            </w:r>
            <w:r>
              <w:rPr>
                <w:color w:val="auto"/>
                <w:sz w:val="24"/>
                <w:szCs w:val="24"/>
                <w:u w:val="none" w:color="auto"/>
              </w:rPr>
              <w:t>/</w:t>
            </w:r>
            <w:r>
              <w:rPr>
                <w:rFonts w:ascii="宋体" w:hAnsi="宋体"/>
                <w:color w:val="auto"/>
                <w:sz w:val="24"/>
                <w:szCs w:val="24"/>
                <w:u w:val="none" w:color="auto"/>
              </w:rPr>
              <w:t>立方米，</w:t>
            </w:r>
            <w:r>
              <w:rPr>
                <w:color w:val="auto"/>
                <w:sz w:val="24"/>
                <w:szCs w:val="24"/>
                <w:u w:val="none" w:color="auto"/>
              </w:rPr>
              <w:t>PM</w:t>
            </w:r>
            <w:r>
              <w:rPr>
                <w:color w:val="auto"/>
                <w:sz w:val="24"/>
                <w:szCs w:val="24"/>
                <w:u w:val="none" w:color="auto"/>
                <w:vertAlign w:val="subscript"/>
              </w:rPr>
              <w:t>2.5</w:t>
            </w:r>
            <w:r>
              <w:rPr>
                <w:color w:val="auto"/>
                <w:sz w:val="24"/>
                <w:szCs w:val="24"/>
                <w:u w:val="none" w:color="auto"/>
              </w:rPr>
              <w:t>不超过44</w:t>
            </w:r>
            <w:r>
              <w:rPr>
                <w:rFonts w:ascii="宋体" w:hAnsi="宋体"/>
                <w:color w:val="auto"/>
                <w:sz w:val="24"/>
                <w:szCs w:val="24"/>
                <w:u w:val="none" w:color="auto"/>
              </w:rPr>
              <w:t>微克</w:t>
            </w:r>
            <w:r>
              <w:rPr>
                <w:color w:val="auto"/>
                <w:sz w:val="24"/>
                <w:szCs w:val="24"/>
                <w:u w:val="none" w:color="auto"/>
              </w:rPr>
              <w:t>/</w:t>
            </w:r>
            <w:r>
              <w:rPr>
                <w:rFonts w:ascii="宋体" w:hAnsi="宋体"/>
                <w:color w:val="auto"/>
                <w:sz w:val="24"/>
                <w:szCs w:val="24"/>
                <w:u w:val="none" w:color="auto"/>
              </w:rPr>
              <w:t>立方米，优良天数比例不低于</w:t>
            </w:r>
            <w:r>
              <w:rPr>
                <w:color w:val="auto"/>
                <w:sz w:val="24"/>
                <w:szCs w:val="24"/>
                <w:u w:val="none" w:color="auto"/>
              </w:rPr>
              <w:t>72.5%</w:t>
            </w:r>
            <w:r>
              <w:rPr>
                <w:rFonts w:ascii="宋体" w:hAnsi="宋体"/>
                <w:color w:val="auto"/>
                <w:sz w:val="24"/>
                <w:szCs w:val="24"/>
                <w:u w:val="none" w:color="auto"/>
              </w:rPr>
              <w:t>，重污染天数比例不超过</w:t>
            </w:r>
            <w:r>
              <w:rPr>
                <w:color w:val="auto"/>
                <w:sz w:val="24"/>
                <w:szCs w:val="24"/>
                <w:u w:val="none" w:color="auto"/>
              </w:rPr>
              <w:t>1.6%</w:t>
            </w:r>
            <w:r>
              <w:rPr>
                <w:rFonts w:ascii="宋体" w:hAnsi="宋体"/>
                <w:color w:val="auto"/>
                <w:sz w:val="24"/>
                <w:szCs w:val="24"/>
                <w:u w:val="none" w:color="auto"/>
              </w:rPr>
              <w:t>。</w:t>
            </w:r>
          </w:p>
        </w:tc>
        <w:tc>
          <w:tcPr>
            <w:tcW w:w="3559"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重污染天数比例目标已无法完成，PM</w:t>
            </w:r>
            <w:r>
              <w:rPr>
                <w:color w:val="auto"/>
                <w:sz w:val="24"/>
                <w:szCs w:val="24"/>
                <w:u w:val="none" w:color="auto"/>
                <w:vertAlign w:val="subscript"/>
              </w:rPr>
              <w:t>2.5</w:t>
            </w:r>
            <w:r>
              <w:rPr>
                <w:color w:val="auto"/>
                <w:sz w:val="24"/>
                <w:szCs w:val="24"/>
                <w:u w:val="none" w:color="auto"/>
              </w:rPr>
              <w:t>和优良天数比例改善目标完成形势严峻。</w:t>
            </w:r>
          </w:p>
        </w:tc>
        <w:tc>
          <w:tcPr>
            <w:tcW w:w="3485"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第一分局</w:t>
            </w:r>
          </w:p>
          <w:p>
            <w:pPr>
              <w:autoSpaceDN w:val="0"/>
              <w:spacing w:line="330" w:lineRule="atLeast"/>
              <w:jc w:val="center"/>
              <w:textAlignment w:val="auto"/>
              <w:rPr>
                <w:rFonts w:hint="eastAsia" w:ascii="宋体" w:hAnsi="宋体"/>
                <w:color w:val="auto"/>
                <w:sz w:val="24"/>
                <w:szCs w:val="24"/>
                <w:u w:val="none" w:color="auto"/>
              </w:rPr>
            </w:pPr>
            <w:r>
              <w:rPr>
                <w:rFonts w:hint="eastAsia" w:ascii="宋体" w:hAnsi="宋体"/>
                <w:color w:val="auto"/>
                <w:sz w:val="24"/>
                <w:szCs w:val="24"/>
                <w:u w:val="none" w:color="auto"/>
              </w:rPr>
              <w:t>第二分局</w:t>
            </w:r>
          </w:p>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第三分局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大气科</w:t>
            </w:r>
          </w:p>
        </w:tc>
      </w:tr>
      <w:tr>
        <w:tblPrEx>
          <w:tblLayout w:type="fixed"/>
          <w:tblCellMar>
            <w:top w:w="0" w:type="dxa"/>
            <w:left w:w="108" w:type="dxa"/>
            <w:bottom w:w="0" w:type="dxa"/>
            <w:right w:w="108" w:type="dxa"/>
          </w:tblCellMar>
        </w:tblPrEx>
        <w:trPr>
          <w:trHeight w:val="1249"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30" w:lineRule="atLeast"/>
              <w:jc w:val="center"/>
              <w:textAlignment w:val="auto"/>
              <w:rPr>
                <w:color w:val="auto"/>
                <w:sz w:val="24"/>
                <w:szCs w:val="24"/>
                <w:u w:val="none" w:color="auto"/>
              </w:rPr>
            </w:pPr>
            <w:r>
              <w:rPr>
                <w:color w:val="auto"/>
                <w:sz w:val="24"/>
                <w:szCs w:val="24"/>
                <w:u w:val="none" w:color="auto"/>
              </w:rPr>
              <w:t>7</w:t>
            </w:r>
          </w:p>
        </w:tc>
        <w:tc>
          <w:tcPr>
            <w:tcW w:w="2833"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推进空气质量排名进位：全国168</w:t>
            </w:r>
            <w:r>
              <w:rPr>
                <w:rFonts w:ascii="宋体" w:hAnsi="宋体"/>
                <w:color w:val="auto"/>
                <w:sz w:val="24"/>
                <w:szCs w:val="24"/>
                <w:u w:val="none" w:color="auto"/>
              </w:rPr>
              <w:t>个重点城市排名逐年实现进位。</w:t>
            </w:r>
          </w:p>
        </w:tc>
        <w:tc>
          <w:tcPr>
            <w:tcW w:w="3559"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w:t>
            </w:r>
          </w:p>
        </w:tc>
        <w:tc>
          <w:tcPr>
            <w:tcW w:w="3485"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第一分局</w:t>
            </w:r>
          </w:p>
          <w:p>
            <w:pPr>
              <w:autoSpaceDN w:val="0"/>
              <w:spacing w:line="330" w:lineRule="atLeast"/>
              <w:jc w:val="center"/>
              <w:textAlignment w:val="auto"/>
              <w:rPr>
                <w:rFonts w:hint="eastAsia" w:ascii="宋体" w:hAnsi="宋体"/>
                <w:color w:val="auto"/>
                <w:sz w:val="24"/>
                <w:szCs w:val="24"/>
                <w:u w:val="none" w:color="auto"/>
              </w:rPr>
            </w:pPr>
            <w:r>
              <w:rPr>
                <w:rFonts w:hint="eastAsia" w:ascii="宋体" w:hAnsi="宋体"/>
                <w:color w:val="auto"/>
                <w:sz w:val="24"/>
                <w:szCs w:val="24"/>
                <w:u w:val="none" w:color="auto"/>
              </w:rPr>
              <w:t>第二分局</w:t>
            </w:r>
          </w:p>
          <w:p>
            <w:pPr>
              <w:autoSpaceDN w:val="0"/>
              <w:spacing w:line="330" w:lineRule="atLeast"/>
              <w:jc w:val="center"/>
              <w:textAlignment w:val="auto"/>
              <w:rPr>
                <w:color w:val="auto"/>
                <w:sz w:val="24"/>
                <w:szCs w:val="24"/>
                <w:u w:val="none" w:color="auto"/>
              </w:rPr>
            </w:pPr>
            <w:r>
              <w:rPr>
                <w:rFonts w:hint="eastAsia" w:ascii="宋体" w:hAnsi="宋体"/>
                <w:color w:val="auto"/>
                <w:sz w:val="24"/>
                <w:szCs w:val="24"/>
                <w:u w:val="none" w:color="auto"/>
              </w:rPr>
              <w:t>第三分局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大气科</w:t>
            </w:r>
          </w:p>
        </w:tc>
      </w:tr>
      <w:tr>
        <w:tblPrEx>
          <w:tblLayout w:type="fixed"/>
          <w:tblCellMar>
            <w:top w:w="0" w:type="dxa"/>
            <w:left w:w="108" w:type="dxa"/>
            <w:bottom w:w="0" w:type="dxa"/>
            <w:right w:w="108" w:type="dxa"/>
          </w:tblCellMar>
        </w:tblPrEx>
        <w:trPr>
          <w:trHeight w:val="1077"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30" w:lineRule="atLeast"/>
              <w:jc w:val="center"/>
              <w:textAlignment w:val="auto"/>
              <w:rPr>
                <w:color w:val="auto"/>
                <w:sz w:val="24"/>
                <w:szCs w:val="24"/>
                <w:u w:val="none" w:color="auto"/>
              </w:rPr>
            </w:pPr>
            <w:r>
              <w:rPr>
                <w:color w:val="auto"/>
                <w:sz w:val="24"/>
                <w:szCs w:val="24"/>
                <w:u w:val="none" w:color="auto"/>
              </w:rPr>
              <w:t>8</w:t>
            </w:r>
          </w:p>
        </w:tc>
        <w:tc>
          <w:tcPr>
            <w:tcW w:w="2833"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创建空气质量二级达标县：2023</w:t>
            </w:r>
            <w:r>
              <w:rPr>
                <w:rFonts w:ascii="宋体" w:hAnsi="宋体"/>
                <w:color w:val="auto"/>
                <w:sz w:val="24"/>
                <w:szCs w:val="24"/>
                <w:u w:val="none" w:color="auto"/>
              </w:rPr>
              <w:t>年起，所辖卢氏县稳定实现环境空气质量二级达标。</w:t>
            </w:r>
          </w:p>
        </w:tc>
        <w:tc>
          <w:tcPr>
            <w:tcW w:w="3559"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w:t>
            </w:r>
          </w:p>
        </w:tc>
        <w:tc>
          <w:tcPr>
            <w:tcW w:w="3485"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卢氏分局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大气科</w:t>
            </w:r>
          </w:p>
        </w:tc>
      </w:tr>
      <w:tr>
        <w:tblPrEx>
          <w:tblLayout w:type="fixed"/>
          <w:tblCellMar>
            <w:top w:w="0" w:type="dxa"/>
            <w:left w:w="108" w:type="dxa"/>
            <w:bottom w:w="0" w:type="dxa"/>
            <w:right w:w="108" w:type="dxa"/>
          </w:tblCellMar>
        </w:tblPrEx>
        <w:trPr>
          <w:trHeight w:val="137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30" w:lineRule="atLeast"/>
              <w:jc w:val="center"/>
              <w:textAlignment w:val="auto"/>
              <w:rPr>
                <w:color w:val="auto"/>
                <w:sz w:val="24"/>
                <w:szCs w:val="24"/>
                <w:u w:val="none" w:color="auto"/>
              </w:rPr>
            </w:pPr>
            <w:r>
              <w:rPr>
                <w:color w:val="auto"/>
                <w:sz w:val="24"/>
                <w:szCs w:val="24"/>
                <w:u w:val="none" w:color="auto"/>
              </w:rPr>
              <w:t>9</w:t>
            </w:r>
          </w:p>
        </w:tc>
        <w:tc>
          <w:tcPr>
            <w:tcW w:w="2833"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2025</w:t>
            </w:r>
            <w:r>
              <w:rPr>
                <w:rFonts w:ascii="宋体" w:hAnsi="宋体"/>
                <w:color w:val="auto"/>
                <w:sz w:val="24"/>
                <w:szCs w:val="24"/>
                <w:u w:val="none" w:color="auto"/>
              </w:rPr>
              <w:t>年，所辖渑池县、义马市、灵宝市力争实现环境空气质量二级达标。</w:t>
            </w:r>
          </w:p>
        </w:tc>
        <w:tc>
          <w:tcPr>
            <w:tcW w:w="3559"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2025</w:t>
            </w:r>
            <w:r>
              <w:rPr>
                <w:rFonts w:ascii="宋体" w:hAnsi="宋体"/>
                <w:color w:val="auto"/>
                <w:sz w:val="24"/>
                <w:szCs w:val="24"/>
                <w:u w:val="none" w:color="auto"/>
              </w:rPr>
              <w:t>年，所辖渑池县、义马市、灵宝市实现环境空气质量二级达标有难度。</w:t>
            </w:r>
          </w:p>
        </w:tc>
        <w:tc>
          <w:tcPr>
            <w:tcW w:w="3485"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义马分局</w:t>
            </w:r>
          </w:p>
          <w:p>
            <w:pPr>
              <w:autoSpaceDN w:val="0"/>
              <w:spacing w:line="330" w:lineRule="atLeast"/>
              <w:jc w:val="center"/>
              <w:textAlignment w:val="auto"/>
              <w:rPr>
                <w:rFonts w:hint="eastAsia" w:ascii="宋体" w:hAnsi="宋体"/>
                <w:color w:val="auto"/>
                <w:sz w:val="24"/>
                <w:szCs w:val="24"/>
                <w:u w:val="none" w:color="auto"/>
              </w:rPr>
            </w:pPr>
            <w:r>
              <w:rPr>
                <w:rFonts w:hint="eastAsia" w:ascii="宋体" w:hAnsi="宋体"/>
                <w:color w:val="auto"/>
                <w:sz w:val="24"/>
                <w:szCs w:val="24"/>
                <w:u w:val="none" w:color="auto"/>
              </w:rPr>
              <w:t>渑池分局</w:t>
            </w:r>
          </w:p>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灵宝分局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大气科</w:t>
            </w:r>
          </w:p>
        </w:tc>
      </w:tr>
      <w:tr>
        <w:tblPrEx>
          <w:tblLayout w:type="fixed"/>
          <w:tblCellMar>
            <w:top w:w="0" w:type="dxa"/>
            <w:left w:w="108" w:type="dxa"/>
            <w:bottom w:w="0" w:type="dxa"/>
            <w:right w:w="108" w:type="dxa"/>
          </w:tblCellMar>
        </w:tblPrEx>
        <w:trPr>
          <w:trHeight w:val="4061"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30" w:lineRule="atLeast"/>
              <w:jc w:val="center"/>
              <w:textAlignment w:val="auto"/>
              <w:rPr>
                <w:color w:val="auto"/>
                <w:sz w:val="24"/>
                <w:szCs w:val="24"/>
                <w:u w:val="none" w:color="auto"/>
              </w:rPr>
            </w:pPr>
            <w:r>
              <w:rPr>
                <w:color w:val="auto"/>
                <w:sz w:val="24"/>
                <w:szCs w:val="24"/>
                <w:u w:val="none" w:color="auto"/>
              </w:rPr>
              <w:t>10</w:t>
            </w:r>
          </w:p>
        </w:tc>
        <w:tc>
          <w:tcPr>
            <w:tcW w:w="2833"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完成碳配额履约：生态环境部《关于做好2021</w:t>
            </w:r>
            <w:r>
              <w:rPr>
                <w:rFonts w:ascii="宋体" w:hAnsi="宋体"/>
                <w:color w:val="auto"/>
                <w:sz w:val="24"/>
                <w:szCs w:val="24"/>
                <w:u w:val="none" w:color="auto"/>
              </w:rPr>
              <w:t>、</w:t>
            </w:r>
            <w:r>
              <w:rPr>
                <w:color w:val="auto"/>
                <w:sz w:val="24"/>
                <w:szCs w:val="24"/>
                <w:u w:val="none" w:color="auto"/>
              </w:rPr>
              <w:t>2022</w:t>
            </w:r>
            <w:r>
              <w:rPr>
                <w:rFonts w:ascii="宋体" w:hAnsi="宋体"/>
                <w:color w:val="auto"/>
                <w:sz w:val="24"/>
                <w:szCs w:val="24"/>
                <w:u w:val="none" w:color="auto"/>
              </w:rPr>
              <w:t>年度全国碳排放权交易配额分配相关工作的通知》（国环规气候〔</w:t>
            </w:r>
            <w:r>
              <w:rPr>
                <w:color w:val="auto"/>
                <w:sz w:val="24"/>
                <w:szCs w:val="24"/>
                <w:u w:val="none" w:color="auto"/>
              </w:rPr>
              <w:t>2023</w:t>
            </w:r>
            <w:r>
              <w:rPr>
                <w:rFonts w:ascii="宋体" w:hAnsi="宋体"/>
                <w:color w:val="auto"/>
                <w:sz w:val="24"/>
                <w:szCs w:val="24"/>
                <w:u w:val="none" w:color="auto"/>
              </w:rPr>
              <w:t>〕</w:t>
            </w:r>
            <w:r>
              <w:rPr>
                <w:color w:val="auto"/>
                <w:sz w:val="24"/>
                <w:szCs w:val="24"/>
                <w:u w:val="none" w:color="auto"/>
              </w:rPr>
              <w:t>1</w:t>
            </w:r>
            <w:r>
              <w:rPr>
                <w:rFonts w:ascii="宋体" w:hAnsi="宋体"/>
                <w:color w:val="auto"/>
                <w:sz w:val="24"/>
                <w:szCs w:val="24"/>
                <w:u w:val="none" w:color="auto"/>
              </w:rPr>
              <w:t>号）要求，</w:t>
            </w:r>
            <w:r>
              <w:rPr>
                <w:color w:val="auto"/>
                <w:sz w:val="24"/>
                <w:szCs w:val="24"/>
                <w:u w:val="none" w:color="auto"/>
              </w:rPr>
              <w:t>2023</w:t>
            </w:r>
            <w:r>
              <w:rPr>
                <w:rFonts w:ascii="宋体" w:hAnsi="宋体"/>
                <w:color w:val="auto"/>
                <w:sz w:val="24"/>
                <w:szCs w:val="24"/>
                <w:u w:val="none" w:color="auto"/>
              </w:rPr>
              <w:t>年</w:t>
            </w:r>
            <w:r>
              <w:rPr>
                <w:color w:val="auto"/>
                <w:sz w:val="24"/>
                <w:szCs w:val="24"/>
                <w:u w:val="none" w:color="auto"/>
              </w:rPr>
              <w:t>11</w:t>
            </w:r>
            <w:r>
              <w:rPr>
                <w:rFonts w:ascii="宋体" w:hAnsi="宋体"/>
                <w:color w:val="auto"/>
                <w:sz w:val="24"/>
                <w:szCs w:val="24"/>
                <w:u w:val="none" w:color="auto"/>
              </w:rPr>
              <w:t>月</w:t>
            </w:r>
            <w:r>
              <w:rPr>
                <w:color w:val="auto"/>
                <w:sz w:val="24"/>
                <w:szCs w:val="24"/>
                <w:u w:val="none" w:color="auto"/>
              </w:rPr>
              <w:t>15</w:t>
            </w:r>
            <w:r>
              <w:rPr>
                <w:rFonts w:ascii="宋体" w:hAnsi="宋体"/>
                <w:color w:val="auto"/>
                <w:sz w:val="24"/>
                <w:szCs w:val="24"/>
                <w:u w:val="none" w:color="auto"/>
              </w:rPr>
              <w:t>日前行政区划内</w:t>
            </w:r>
            <w:r>
              <w:rPr>
                <w:color w:val="auto"/>
                <w:sz w:val="24"/>
                <w:szCs w:val="24"/>
                <w:u w:val="none" w:color="auto"/>
              </w:rPr>
              <w:t>95%</w:t>
            </w:r>
            <w:r>
              <w:rPr>
                <w:rFonts w:ascii="宋体" w:hAnsi="宋体"/>
                <w:color w:val="auto"/>
                <w:sz w:val="24"/>
                <w:szCs w:val="24"/>
                <w:u w:val="none" w:color="auto"/>
              </w:rPr>
              <w:t>的重点排放单位完成履约，</w:t>
            </w:r>
            <w:r>
              <w:rPr>
                <w:color w:val="auto"/>
                <w:sz w:val="24"/>
                <w:szCs w:val="24"/>
                <w:u w:val="none" w:color="auto"/>
              </w:rPr>
              <w:t>12</w:t>
            </w:r>
            <w:r>
              <w:rPr>
                <w:rFonts w:ascii="宋体" w:hAnsi="宋体"/>
                <w:color w:val="auto"/>
                <w:sz w:val="24"/>
                <w:szCs w:val="24"/>
                <w:u w:val="none" w:color="auto"/>
              </w:rPr>
              <w:t>月</w:t>
            </w:r>
            <w:r>
              <w:rPr>
                <w:color w:val="auto"/>
                <w:sz w:val="24"/>
                <w:szCs w:val="24"/>
                <w:u w:val="none" w:color="auto"/>
              </w:rPr>
              <w:t>31</w:t>
            </w:r>
            <w:r>
              <w:rPr>
                <w:rFonts w:ascii="宋体" w:hAnsi="宋体"/>
                <w:color w:val="auto"/>
                <w:sz w:val="24"/>
                <w:szCs w:val="24"/>
                <w:u w:val="none" w:color="auto"/>
              </w:rPr>
              <w:t>日前全部重点排放单位完成履约。</w:t>
            </w:r>
          </w:p>
        </w:tc>
        <w:tc>
          <w:tcPr>
            <w:tcW w:w="3559"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r>
              <w:rPr>
                <w:color w:val="auto"/>
                <w:sz w:val="24"/>
                <w:szCs w:val="24"/>
                <w:u w:val="none" w:color="auto"/>
              </w:rPr>
              <w:t>共10</w:t>
            </w:r>
            <w:r>
              <w:rPr>
                <w:rFonts w:ascii="宋体" w:hAnsi="宋体"/>
                <w:color w:val="auto"/>
                <w:sz w:val="24"/>
                <w:szCs w:val="24"/>
                <w:u w:val="none" w:color="auto"/>
              </w:rPr>
              <w:t>家，已完成</w:t>
            </w:r>
            <w:r>
              <w:rPr>
                <w:rFonts w:hint="eastAsia" w:ascii="宋体" w:hAnsi="宋体"/>
                <w:color w:val="auto"/>
                <w:sz w:val="24"/>
                <w:szCs w:val="24"/>
                <w:u w:val="none" w:color="auto"/>
              </w:rPr>
              <w:t>4</w:t>
            </w:r>
            <w:r>
              <w:rPr>
                <w:color w:val="auto"/>
                <w:sz w:val="24"/>
                <w:szCs w:val="24"/>
                <w:u w:val="none" w:color="auto"/>
              </w:rPr>
              <w:t>家，未完成</w:t>
            </w:r>
            <w:r>
              <w:rPr>
                <w:rFonts w:hint="eastAsia" w:ascii="宋体" w:hAnsi="宋体"/>
                <w:color w:val="auto"/>
                <w:sz w:val="24"/>
                <w:szCs w:val="24"/>
                <w:u w:val="none" w:color="auto"/>
              </w:rPr>
              <w:t>6</w:t>
            </w:r>
            <w:r>
              <w:rPr>
                <w:color w:val="auto"/>
                <w:sz w:val="24"/>
                <w:szCs w:val="24"/>
                <w:u w:val="none" w:color="auto"/>
              </w:rPr>
              <w:t>家：义马煤业集团股份有限公司热电分公司、大唐三门峡发电有限责任公司、开曼（陕县）能源综合利用有限公司、三门峡义翔铝业有限公司、东方希望（三门峡）铝业有限公司、河南开祥精细化工有限公司。</w:t>
            </w:r>
          </w:p>
        </w:tc>
        <w:tc>
          <w:tcPr>
            <w:tcW w:w="3485" w:type="dxa"/>
            <w:tcBorders>
              <w:top w:val="single" w:color="000000" w:sz="4" w:space="0"/>
              <w:left w:val="nil"/>
              <w:bottom w:val="single" w:color="000000" w:sz="4" w:space="0"/>
              <w:right w:val="single" w:color="000000" w:sz="4" w:space="0"/>
            </w:tcBorders>
            <w:vAlign w:val="center"/>
          </w:tcPr>
          <w:p>
            <w:pPr>
              <w:autoSpaceDN w:val="0"/>
              <w:spacing w:line="33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义马分局</w:t>
            </w:r>
          </w:p>
          <w:p>
            <w:pPr>
              <w:autoSpaceDN w:val="0"/>
              <w:spacing w:line="330" w:lineRule="atLeast"/>
              <w:jc w:val="center"/>
              <w:textAlignment w:val="auto"/>
              <w:rPr>
                <w:rFonts w:hint="eastAsia" w:ascii="宋体" w:hAnsi="宋体"/>
                <w:color w:val="auto"/>
                <w:sz w:val="24"/>
                <w:szCs w:val="24"/>
                <w:u w:val="none" w:color="auto"/>
              </w:rPr>
            </w:pPr>
            <w:r>
              <w:rPr>
                <w:rFonts w:hint="eastAsia" w:ascii="宋体" w:hAnsi="宋体"/>
                <w:color w:val="auto"/>
                <w:sz w:val="24"/>
                <w:szCs w:val="24"/>
                <w:u w:val="none" w:color="auto"/>
              </w:rPr>
              <w:t>渑池分局</w:t>
            </w:r>
          </w:p>
          <w:p>
            <w:pPr>
              <w:autoSpaceDN w:val="0"/>
              <w:spacing w:line="330" w:lineRule="atLeast"/>
              <w:jc w:val="center"/>
              <w:textAlignment w:val="auto"/>
              <w:rPr>
                <w:rFonts w:hint="eastAsia" w:ascii="宋体" w:hAnsi="宋体"/>
                <w:color w:val="auto"/>
                <w:sz w:val="24"/>
                <w:szCs w:val="24"/>
                <w:u w:val="none" w:color="auto"/>
              </w:rPr>
            </w:pPr>
            <w:r>
              <w:rPr>
                <w:rFonts w:hint="eastAsia" w:ascii="宋体" w:hAnsi="宋体"/>
                <w:color w:val="auto"/>
                <w:sz w:val="24"/>
                <w:szCs w:val="24"/>
                <w:u w:val="none" w:color="auto"/>
              </w:rPr>
              <w:t>第二分局</w:t>
            </w:r>
          </w:p>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第三分局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3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大气科</w:t>
            </w:r>
          </w:p>
        </w:tc>
      </w:tr>
      <w:tr>
        <w:tblPrEx>
          <w:tblLayout w:type="fixed"/>
          <w:tblCellMar>
            <w:top w:w="0" w:type="dxa"/>
            <w:left w:w="108" w:type="dxa"/>
            <w:bottom w:w="0" w:type="dxa"/>
            <w:right w:w="108" w:type="dxa"/>
          </w:tblCellMar>
        </w:tblPrEx>
        <w:trPr>
          <w:trHeight w:val="1173"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11</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2023</w:t>
            </w:r>
            <w:r>
              <w:rPr>
                <w:rFonts w:ascii="宋体" w:hAnsi="宋体"/>
                <w:color w:val="auto"/>
                <w:sz w:val="24"/>
                <w:szCs w:val="24"/>
                <w:u w:val="none" w:color="auto"/>
              </w:rPr>
              <w:t>年</w:t>
            </w:r>
            <w:r>
              <w:rPr>
                <w:color w:val="auto"/>
                <w:sz w:val="24"/>
                <w:szCs w:val="24"/>
                <w:u w:val="none" w:color="auto"/>
              </w:rPr>
              <w:t>12</w:t>
            </w:r>
            <w:r>
              <w:rPr>
                <w:rFonts w:ascii="宋体" w:hAnsi="宋体"/>
                <w:color w:val="auto"/>
                <w:sz w:val="24"/>
                <w:szCs w:val="24"/>
                <w:u w:val="none" w:color="auto"/>
              </w:rPr>
              <w:t>月底前灵宝博华水务有限公司完成提标工作。</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资金困难，未按期完成提标工作。</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灵宝分局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color w:val="auto"/>
                <w:sz w:val="24"/>
                <w:szCs w:val="24"/>
                <w:u w:val="none" w:color="auto"/>
              </w:rPr>
              <w:t xml:space="preserve">水  </w:t>
            </w:r>
            <w:r>
              <w:rPr>
                <w:rFonts w:hint="eastAsia" w:ascii="宋体" w:hAnsi="宋体"/>
                <w:color w:val="auto"/>
                <w:sz w:val="24"/>
                <w:szCs w:val="24"/>
                <w:u w:val="none" w:color="auto"/>
              </w:rPr>
              <w:t>科</w:t>
            </w:r>
          </w:p>
        </w:tc>
      </w:tr>
      <w:tr>
        <w:tblPrEx>
          <w:tblLayout w:type="fixed"/>
          <w:tblCellMar>
            <w:top w:w="0" w:type="dxa"/>
            <w:left w:w="108" w:type="dxa"/>
            <w:bottom w:w="0" w:type="dxa"/>
            <w:right w:w="108" w:type="dxa"/>
          </w:tblCellMar>
        </w:tblPrEx>
        <w:trPr>
          <w:trHeight w:val="1421"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12</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2022</w:t>
            </w:r>
            <w:r>
              <w:rPr>
                <w:rFonts w:ascii="宋体" w:hAnsi="宋体"/>
                <w:color w:val="auto"/>
                <w:sz w:val="24"/>
                <w:szCs w:val="24"/>
                <w:u w:val="none" w:color="auto"/>
              </w:rPr>
              <w:t>年底前，传染病医疗机构、二级及以上医疗机构应完成满足污水处理需求的设施建设。</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三门峡市眼科医院暂无污水处理设施。</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第一分局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color w:val="auto"/>
                <w:sz w:val="24"/>
                <w:szCs w:val="24"/>
                <w:u w:val="none" w:color="auto"/>
              </w:rPr>
              <w:t xml:space="preserve">水  </w:t>
            </w:r>
            <w:r>
              <w:rPr>
                <w:rFonts w:hint="eastAsia" w:ascii="宋体" w:hAnsi="宋体"/>
                <w:color w:val="auto"/>
                <w:sz w:val="24"/>
                <w:szCs w:val="24"/>
                <w:u w:val="none" w:color="auto"/>
              </w:rPr>
              <w:t>科</w:t>
            </w:r>
          </w:p>
        </w:tc>
      </w:tr>
      <w:tr>
        <w:tblPrEx>
          <w:tblLayout w:type="fixed"/>
          <w:tblCellMar>
            <w:top w:w="0" w:type="dxa"/>
            <w:left w:w="108" w:type="dxa"/>
            <w:bottom w:w="0" w:type="dxa"/>
            <w:right w:w="108" w:type="dxa"/>
          </w:tblCellMar>
        </w:tblPrEx>
        <w:trPr>
          <w:trHeight w:val="1173"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13</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推进“</w:t>
            </w:r>
            <w:r>
              <w:rPr>
                <w:rFonts w:ascii="宋体" w:hAnsi="宋体"/>
                <w:color w:val="auto"/>
                <w:sz w:val="24"/>
                <w:szCs w:val="24"/>
                <w:u w:val="none" w:color="auto"/>
              </w:rPr>
              <w:t>两打</w:t>
            </w:r>
            <w:r>
              <w:rPr>
                <w:color w:val="auto"/>
                <w:sz w:val="24"/>
                <w:szCs w:val="24"/>
                <w:u w:val="none" w:color="auto"/>
              </w:rPr>
              <w:t>”</w:t>
            </w:r>
            <w:r>
              <w:rPr>
                <w:rFonts w:ascii="宋体" w:hAnsi="宋体"/>
                <w:color w:val="auto"/>
                <w:sz w:val="24"/>
                <w:szCs w:val="24"/>
                <w:u w:val="none" w:color="auto"/>
              </w:rPr>
              <w:t>案件办理，并按照要求移交公安且刑事立案。</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完成移交公安且刑事立案的案件数量与当地重点排污单位数量的比例＜6‰</w:t>
            </w:r>
            <w:r>
              <w:rPr>
                <w:rFonts w:ascii="宋体" w:hAnsi="宋体"/>
                <w:color w:val="auto"/>
                <w:sz w:val="24"/>
                <w:szCs w:val="24"/>
                <w:u w:val="none" w:color="auto"/>
              </w:rPr>
              <w:t>。</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各生态环境分局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color w:val="auto"/>
                <w:sz w:val="24"/>
                <w:szCs w:val="24"/>
                <w:u w:val="none" w:color="auto"/>
              </w:rPr>
              <w:t>执法</w:t>
            </w:r>
            <w:r>
              <w:rPr>
                <w:rFonts w:hint="eastAsia" w:ascii="宋体" w:hAnsi="宋体"/>
                <w:color w:val="auto"/>
                <w:sz w:val="24"/>
                <w:szCs w:val="24"/>
                <w:u w:val="none" w:color="auto"/>
              </w:rPr>
              <w:t>支队</w:t>
            </w:r>
          </w:p>
        </w:tc>
      </w:tr>
      <w:tr>
        <w:tblPrEx>
          <w:tblLayout w:type="fixed"/>
          <w:tblCellMar>
            <w:top w:w="0" w:type="dxa"/>
            <w:left w:w="108" w:type="dxa"/>
            <w:bottom w:w="0" w:type="dxa"/>
            <w:right w:w="108" w:type="dxa"/>
          </w:tblCellMar>
        </w:tblPrEx>
        <w:trPr>
          <w:trHeight w:val="1557"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14</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推进黄河流域入河排污口监测溯源整治工作。年底完成80%</w:t>
            </w:r>
            <w:r>
              <w:rPr>
                <w:rFonts w:ascii="宋体" w:hAnsi="宋体"/>
                <w:color w:val="auto"/>
                <w:sz w:val="24"/>
                <w:szCs w:val="24"/>
                <w:u w:val="none" w:color="auto"/>
              </w:rPr>
              <w:t>溯源和</w:t>
            </w:r>
            <w:r>
              <w:rPr>
                <w:color w:val="auto"/>
                <w:sz w:val="24"/>
                <w:szCs w:val="24"/>
                <w:u w:val="none" w:color="auto"/>
              </w:rPr>
              <w:t>30%</w:t>
            </w:r>
            <w:r>
              <w:rPr>
                <w:rFonts w:ascii="宋体" w:hAnsi="宋体"/>
                <w:color w:val="auto"/>
                <w:sz w:val="24"/>
                <w:szCs w:val="24"/>
                <w:u w:val="none" w:color="auto"/>
              </w:rPr>
              <w:t>整治任务。</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年底完成80%</w:t>
            </w:r>
            <w:r>
              <w:rPr>
                <w:rFonts w:ascii="宋体" w:hAnsi="宋体"/>
                <w:color w:val="auto"/>
                <w:sz w:val="24"/>
                <w:szCs w:val="24"/>
                <w:u w:val="none" w:color="auto"/>
              </w:rPr>
              <w:t>溯源和</w:t>
            </w:r>
            <w:r>
              <w:rPr>
                <w:color w:val="auto"/>
                <w:sz w:val="24"/>
                <w:szCs w:val="24"/>
                <w:u w:val="none" w:color="auto"/>
              </w:rPr>
              <w:t>30%</w:t>
            </w:r>
            <w:r>
              <w:rPr>
                <w:rFonts w:ascii="宋体" w:hAnsi="宋体"/>
                <w:color w:val="auto"/>
                <w:sz w:val="24"/>
                <w:szCs w:val="24"/>
                <w:u w:val="none" w:color="auto"/>
              </w:rPr>
              <w:t>整治任务难度较大。</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各生态环境分局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color w:val="auto"/>
                <w:sz w:val="24"/>
                <w:szCs w:val="24"/>
                <w:u w:val="none" w:color="auto"/>
              </w:rPr>
              <w:t>执法</w:t>
            </w:r>
            <w:r>
              <w:rPr>
                <w:rFonts w:hint="eastAsia" w:ascii="宋体" w:hAnsi="宋体"/>
                <w:color w:val="auto"/>
                <w:sz w:val="24"/>
                <w:szCs w:val="24"/>
                <w:u w:val="none" w:color="auto"/>
              </w:rPr>
              <w:t>支队</w:t>
            </w:r>
          </w:p>
        </w:tc>
      </w:tr>
      <w:tr>
        <w:tblPrEx>
          <w:tblLayout w:type="fixed"/>
          <w:tblCellMar>
            <w:top w:w="0" w:type="dxa"/>
            <w:left w:w="108" w:type="dxa"/>
            <w:bottom w:w="0" w:type="dxa"/>
            <w:right w:w="108" w:type="dxa"/>
          </w:tblCellMar>
        </w:tblPrEx>
        <w:trPr>
          <w:trHeight w:val="1527"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tLeast"/>
              <w:jc w:val="center"/>
              <w:textAlignment w:val="auto"/>
              <w:rPr>
                <w:color w:val="auto"/>
                <w:sz w:val="24"/>
                <w:szCs w:val="24"/>
                <w:u w:val="none" w:color="auto"/>
              </w:rPr>
            </w:pPr>
            <w:r>
              <w:rPr>
                <w:color w:val="auto"/>
                <w:sz w:val="24"/>
                <w:szCs w:val="24"/>
                <w:u w:val="none" w:color="auto"/>
              </w:rPr>
              <w:t>15</w:t>
            </w:r>
          </w:p>
        </w:tc>
        <w:tc>
          <w:tcPr>
            <w:tcW w:w="2833"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主动发现突出环境问题，切实做好监督帮扶问题整改。</w:t>
            </w:r>
          </w:p>
        </w:tc>
        <w:tc>
          <w:tcPr>
            <w:tcW w:w="3559"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r>
              <w:rPr>
                <w:color w:val="auto"/>
                <w:sz w:val="24"/>
                <w:szCs w:val="24"/>
                <w:u w:val="none" w:color="auto"/>
              </w:rPr>
              <w:t>达到整改时限的</w:t>
            </w:r>
            <w:r>
              <w:rPr>
                <w:rFonts w:hint="eastAsia" w:ascii="宋体" w:hAnsi="宋体"/>
                <w:color w:val="auto"/>
                <w:sz w:val="24"/>
                <w:szCs w:val="24"/>
                <w:u w:val="none" w:color="auto"/>
              </w:rPr>
              <w:t>1</w:t>
            </w:r>
            <w:r>
              <w:rPr>
                <w:color w:val="auto"/>
                <w:sz w:val="24"/>
                <w:szCs w:val="24"/>
                <w:u w:val="none" w:color="auto"/>
              </w:rPr>
              <w:t>个问题未整改到位</w:t>
            </w:r>
            <w:r>
              <w:rPr>
                <w:rFonts w:hint="eastAsia" w:ascii="宋体" w:hAnsi="宋体"/>
                <w:color w:val="auto"/>
                <w:sz w:val="24"/>
                <w:szCs w:val="24"/>
                <w:u w:val="none" w:color="auto"/>
              </w:rPr>
              <w:t>，为河南骏通车辆有限公司涉嫌</w:t>
            </w:r>
            <w:r>
              <w:rPr>
                <w:color w:val="auto"/>
                <w:sz w:val="24"/>
                <w:szCs w:val="24"/>
                <w:u w:val="none" w:color="auto"/>
              </w:rPr>
              <w:t>监测报告造假问题。</w:t>
            </w:r>
          </w:p>
        </w:tc>
        <w:tc>
          <w:tcPr>
            <w:tcW w:w="3485"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color w:val="auto"/>
                <w:sz w:val="24"/>
                <w:szCs w:val="24"/>
                <w:u w:val="none" w:color="auto"/>
              </w:rPr>
            </w:pPr>
          </w:p>
        </w:tc>
        <w:tc>
          <w:tcPr>
            <w:tcW w:w="1536" w:type="dxa"/>
            <w:tcBorders>
              <w:top w:val="single" w:color="000000" w:sz="4" w:space="0"/>
              <w:left w:val="nil"/>
              <w:bottom w:val="single" w:color="000000" w:sz="4" w:space="0"/>
              <w:right w:val="single" w:color="000000" w:sz="4" w:space="0"/>
            </w:tcBorders>
            <w:vAlign w:val="center"/>
          </w:tcPr>
          <w:p>
            <w:pPr>
              <w:autoSpaceDN w:val="0"/>
              <w:spacing w:line="360" w:lineRule="atLeast"/>
              <w:textAlignment w:val="auto"/>
              <w:rPr>
                <w:rFonts w:ascii="宋体" w:hAnsi="宋体"/>
                <w:color w:val="auto"/>
                <w:sz w:val="24"/>
                <w:szCs w:val="24"/>
                <w:u w:val="none" w:color="auto"/>
              </w:rPr>
            </w:pPr>
            <w:r>
              <w:rPr>
                <w:rFonts w:hint="eastAsia" w:ascii="宋体" w:hAnsi="宋体"/>
                <w:color w:val="auto"/>
                <w:sz w:val="24"/>
                <w:szCs w:val="24"/>
                <w:u w:val="none" w:color="auto"/>
              </w:rPr>
              <w:t>第二分局</w:t>
            </w:r>
          </w:p>
        </w:tc>
        <w:tc>
          <w:tcPr>
            <w:tcW w:w="1525" w:type="dxa"/>
            <w:tcBorders>
              <w:top w:val="single" w:color="000000" w:sz="4" w:space="0"/>
              <w:left w:val="nil"/>
              <w:bottom w:val="single" w:color="000000" w:sz="4" w:space="0"/>
              <w:right w:val="single" w:color="000000" w:sz="4" w:space="0"/>
            </w:tcBorders>
            <w:vAlign w:val="center"/>
          </w:tcPr>
          <w:p>
            <w:pPr>
              <w:autoSpaceDN w:val="0"/>
              <w:spacing w:line="360" w:lineRule="atLeast"/>
              <w:jc w:val="center"/>
              <w:textAlignment w:val="auto"/>
              <w:rPr>
                <w:rFonts w:ascii="宋体" w:hAnsi="宋体"/>
                <w:color w:val="auto"/>
                <w:sz w:val="24"/>
                <w:szCs w:val="24"/>
                <w:u w:val="none" w:color="auto"/>
              </w:rPr>
            </w:pPr>
            <w:r>
              <w:rPr>
                <w:rFonts w:hint="eastAsia" w:ascii="宋体" w:hAnsi="宋体"/>
                <w:color w:val="auto"/>
                <w:sz w:val="24"/>
                <w:szCs w:val="24"/>
                <w:u w:val="none" w:color="auto"/>
              </w:rPr>
              <w:t>执法支队</w:t>
            </w:r>
          </w:p>
        </w:tc>
      </w:tr>
    </w:tbl>
    <w:p>
      <w:pPr>
        <w:autoSpaceDN w:val="0"/>
        <w:spacing w:line="560" w:lineRule="atLeast"/>
        <w:ind w:left="210" w:right="210"/>
        <w:textAlignment w:val="auto"/>
        <w:rPr>
          <w:rFonts w:hint="eastAsia"/>
          <w:color w:val="auto"/>
          <w:sz w:val="32"/>
          <w:szCs w:val="32"/>
          <w:u w:val="none" w:color="auto"/>
        </w:rPr>
      </w:pPr>
    </w:p>
    <w:p>
      <w:pPr>
        <w:snapToGrid w:val="0"/>
        <w:spacing w:line="380" w:lineRule="atLeast"/>
        <w:textAlignment w:val="auto"/>
        <w:rPr>
          <w:rFonts w:hint="eastAsia"/>
          <w:u w:val="none" w:color="auto"/>
        </w:rPr>
      </w:pPr>
    </w:p>
    <w:p/>
    <w:sectPr>
      <w:pgSz w:w="16838" w:h="11906" w:orient="landscape"/>
      <w:pgMar w:top="1701" w:right="1985" w:bottom="1134" w:left="1418"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D2AA6"/>
    <w:rsid w:val="510D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0" w:beforeLines="0" w:after="0" w:afterLines="0" w:line="357" w:lineRule="atLeast"/>
      <w:ind w:left="0" w:right="0" w:firstLine="0"/>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rFonts w:eastAsia="宋体"/>
      <w:color w:val="000000"/>
      <w:sz w:val="18"/>
      <w:szCs w:val="18"/>
      <w:u w:val="none" w:color="000000"/>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eastAsia="宋体"/>
      <w:color w:val="000000"/>
      <w:sz w:val="18"/>
      <w:szCs w:val="18"/>
      <w:u w:val="none" w:color="000000"/>
      <w:lang w:val="en-US" w:eastAsia="zh-CN" w:bidi="ar-SA"/>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2023-11-07T08:27:00Z</dcterms:created>
  <dc:creator>User</dc:creator>
  <cp:lastModifiedBy>User</cp:lastModifiedBy>
  <dcterms:modified xsi:type="dcterms:W3CDTF">2023-11-07T08:27:50Z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