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jc w:val="left"/>
        <w:outlineLvl w:val="0"/>
        <w:rPr>
          <w:rFonts w:ascii="Microsoft YaHei" w:hAnsi="Microsoft YaHei" w:eastAsia="Microsoft YaHei" w:cs="Microsoft YaHei"/>
          <w:b/>
          <w:i w:val="0"/>
          <w:caps w:val="0"/>
          <w:color w:val="3D3D3D"/>
          <w:spacing w:val="0"/>
          <w:kern w:val="0"/>
          <w:sz w:val="37"/>
          <w:szCs w:val="37"/>
          <w:shd w:val="clear" w:fill="FFFFFF"/>
          <w:lang w:val="en-US" w:eastAsia="zh-CN" w:bidi="ar"/>
        </w:rPr>
      </w:pPr>
      <w:r>
        <w:rPr>
          <w:rFonts w:ascii="Microsoft YaHei" w:hAnsi="Microsoft YaHei" w:eastAsia="Microsoft YaHei" w:cs="Microsoft YaHei"/>
          <w:b/>
          <w:i w:val="0"/>
          <w:caps w:val="0"/>
          <w:color w:val="3D3D3D"/>
          <w:spacing w:val="0"/>
          <w:kern w:val="0"/>
          <w:sz w:val="37"/>
          <w:szCs w:val="37"/>
          <w:shd w:val="clear" w:fill="FFFFFF"/>
          <w:lang w:val="en-US" w:eastAsia="zh-CN" w:bidi="ar"/>
        </w:rPr>
        <w:t>关于202</w:t>
      </w:r>
      <w:r>
        <w:rPr>
          <w:rFonts w:hint="eastAsia" w:ascii="Microsoft YaHei" w:hAnsi="Microsoft YaHei" w:eastAsia="Microsoft YaHei" w:cs="Microsoft YaHei"/>
          <w:b/>
          <w:i w:val="0"/>
          <w:caps w:val="0"/>
          <w:color w:val="3D3D3D"/>
          <w:spacing w:val="0"/>
          <w:kern w:val="0"/>
          <w:sz w:val="37"/>
          <w:szCs w:val="37"/>
          <w:shd w:val="clear" w:fill="FFFFFF"/>
          <w:lang w:val="en-US" w:eastAsia="zh-CN" w:bidi="ar"/>
        </w:rPr>
        <w:t>3</w:t>
      </w:r>
      <w:r>
        <w:rPr>
          <w:rFonts w:ascii="Microsoft YaHei" w:hAnsi="Microsoft YaHei" w:eastAsia="Microsoft YaHei" w:cs="Microsoft YaHei"/>
          <w:b/>
          <w:i w:val="0"/>
          <w:caps w:val="0"/>
          <w:color w:val="3D3D3D"/>
          <w:spacing w:val="0"/>
          <w:kern w:val="0"/>
          <w:sz w:val="37"/>
          <w:szCs w:val="37"/>
          <w:shd w:val="clear" w:fill="FFFFFF"/>
          <w:lang w:val="en-US" w:eastAsia="zh-CN" w:bidi="ar"/>
        </w:rPr>
        <w:t>年</w:t>
      </w:r>
      <w:r>
        <w:rPr>
          <w:rFonts w:hint="eastAsia" w:ascii="Microsoft YaHei" w:hAnsi="Microsoft YaHei" w:eastAsia="Microsoft YaHei" w:cs="Microsoft YaHei"/>
          <w:b/>
          <w:i w:val="0"/>
          <w:caps w:val="0"/>
          <w:color w:val="3D3D3D"/>
          <w:spacing w:val="0"/>
          <w:kern w:val="0"/>
          <w:sz w:val="37"/>
          <w:szCs w:val="37"/>
          <w:shd w:val="clear" w:fill="FFFFFF"/>
          <w:lang w:val="en-US" w:eastAsia="zh-CN" w:bidi="ar"/>
        </w:rPr>
        <w:t>6</w:t>
      </w:r>
      <w:r>
        <w:rPr>
          <w:rFonts w:ascii="Microsoft YaHei" w:hAnsi="Microsoft YaHei" w:eastAsia="Microsoft YaHei" w:cs="Microsoft YaHei"/>
          <w:b/>
          <w:i w:val="0"/>
          <w:caps w:val="0"/>
          <w:color w:val="3D3D3D"/>
          <w:spacing w:val="0"/>
          <w:kern w:val="0"/>
          <w:sz w:val="37"/>
          <w:szCs w:val="37"/>
          <w:shd w:val="clear" w:fill="FFFFFF"/>
          <w:lang w:val="en-US" w:eastAsia="zh-CN" w:bidi="ar"/>
        </w:rPr>
        <w:t>月</w:t>
      </w:r>
      <w:r>
        <w:rPr>
          <w:rFonts w:hint="eastAsia" w:ascii="Microsoft YaHei" w:hAnsi="Microsoft YaHei" w:eastAsia="Microsoft YaHei" w:cs="Microsoft YaHei"/>
          <w:b/>
          <w:i w:val="0"/>
          <w:caps w:val="0"/>
          <w:color w:val="3D3D3D"/>
          <w:spacing w:val="0"/>
          <w:kern w:val="0"/>
          <w:sz w:val="37"/>
          <w:szCs w:val="37"/>
          <w:shd w:val="clear" w:fill="FFFFFF"/>
          <w:lang w:val="en-US" w:eastAsia="zh-CN" w:bidi="ar"/>
        </w:rPr>
        <w:t>15</w:t>
      </w:r>
      <w:r>
        <w:rPr>
          <w:rFonts w:ascii="Microsoft YaHei" w:hAnsi="Microsoft YaHei" w:eastAsia="Microsoft YaHei" w:cs="Microsoft YaHei"/>
          <w:b/>
          <w:i w:val="0"/>
          <w:caps w:val="0"/>
          <w:color w:val="3D3D3D"/>
          <w:spacing w:val="0"/>
          <w:kern w:val="0"/>
          <w:sz w:val="37"/>
          <w:szCs w:val="37"/>
          <w:shd w:val="clear" w:fill="FFFFFF"/>
          <w:lang w:val="en-US" w:eastAsia="zh-CN" w:bidi="ar"/>
        </w:rPr>
        <w:t>日受理和拟作出行政审批的建设项目情况公示</w:t>
      </w:r>
    </w:p>
    <w:p>
      <w:pPr>
        <w:pStyle w:val="3"/>
        <w:keepNext w:val="0"/>
        <w:keepLines w:val="0"/>
        <w:widowControl/>
        <w:suppressLineNumbers w:val="0"/>
        <w:shd w:val="clear" w:fill="FFFFFF"/>
        <w:spacing w:before="0" w:beforeAutospacing="0" w:after="0" w:afterAutospacing="0" w:line="240" w:lineRule="auto"/>
        <w:ind w:left="0" w:right="0" w:firstLine="420" w:firstLineChars="200"/>
        <w:jc w:val="left"/>
        <w:rPr>
          <w:rFonts w:hint="eastAsia"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根据建设项目环境影响评价审批程序的有关规定，经审议，三门峡市生态环境局义马分局拟对以下建设项目环境影响报告表作出审批（批复）决定。为保证此次审议工作的严肃性和公正性，现将建设项目环境影响报告表的基本情况予以公示。如有异议，请在公示期内反馈我局环境影响评价与排放管理科。公示期为202</w:t>
      </w:r>
      <w:r>
        <w:rPr>
          <w:rFonts w:hint="eastAsia" w:cstheme="minorBidi"/>
          <w:kern w:val="2"/>
          <w:sz w:val="21"/>
          <w:szCs w:val="24"/>
          <w:vertAlign w:val="baseline"/>
          <w:lang w:val="en-US" w:eastAsia="zh-CN" w:bidi="ar-SA"/>
        </w:rPr>
        <w:t>3</w:t>
      </w:r>
      <w:r>
        <w:rPr>
          <w:rFonts w:hint="default" w:asciiTheme="minorHAnsi" w:hAnsiTheme="minorHAnsi" w:eastAsiaTheme="minorEastAsia" w:cstheme="minorBidi"/>
          <w:kern w:val="2"/>
          <w:sz w:val="21"/>
          <w:szCs w:val="24"/>
          <w:vertAlign w:val="baseline"/>
          <w:lang w:val="en-US" w:eastAsia="zh-CN" w:bidi="ar-SA"/>
        </w:rPr>
        <w:t>年</w:t>
      </w:r>
      <w:r>
        <w:rPr>
          <w:rFonts w:hint="eastAsia" w:cstheme="minorBidi"/>
          <w:kern w:val="2"/>
          <w:sz w:val="21"/>
          <w:szCs w:val="24"/>
          <w:vertAlign w:val="baseline"/>
          <w:lang w:val="en-US" w:eastAsia="zh-CN" w:bidi="ar-SA"/>
        </w:rPr>
        <w:t>6</w:t>
      </w:r>
      <w:r>
        <w:rPr>
          <w:rFonts w:hint="default" w:asciiTheme="minorHAnsi" w:hAnsiTheme="minorHAnsi" w:eastAsiaTheme="minorEastAsia" w:cstheme="minorBidi"/>
          <w:kern w:val="2"/>
          <w:sz w:val="21"/>
          <w:szCs w:val="24"/>
          <w:vertAlign w:val="baseline"/>
          <w:lang w:val="en-US" w:eastAsia="zh-CN" w:bidi="ar-SA"/>
        </w:rPr>
        <w:t>月</w:t>
      </w:r>
      <w:r>
        <w:rPr>
          <w:rFonts w:hint="eastAsia" w:cstheme="minorBidi"/>
          <w:kern w:val="2"/>
          <w:sz w:val="21"/>
          <w:szCs w:val="24"/>
          <w:vertAlign w:val="baseline"/>
          <w:lang w:val="en-US" w:eastAsia="zh-CN" w:bidi="ar-SA"/>
        </w:rPr>
        <w:t>15</w:t>
      </w:r>
      <w:r>
        <w:rPr>
          <w:rFonts w:hint="default" w:asciiTheme="minorHAnsi" w:hAnsiTheme="minorHAnsi" w:eastAsiaTheme="minorEastAsia" w:cstheme="minorBidi"/>
          <w:kern w:val="2"/>
          <w:sz w:val="21"/>
          <w:szCs w:val="24"/>
          <w:vertAlign w:val="baseline"/>
          <w:lang w:val="en-US" w:eastAsia="zh-CN" w:bidi="ar-SA"/>
        </w:rPr>
        <w:t>日至202</w:t>
      </w:r>
      <w:r>
        <w:rPr>
          <w:rFonts w:hint="eastAsia" w:cstheme="minorBidi"/>
          <w:kern w:val="2"/>
          <w:sz w:val="21"/>
          <w:szCs w:val="24"/>
          <w:vertAlign w:val="baseline"/>
          <w:lang w:val="en-US" w:eastAsia="zh-CN" w:bidi="ar-SA"/>
        </w:rPr>
        <w:t>3</w:t>
      </w:r>
      <w:r>
        <w:rPr>
          <w:rFonts w:hint="default" w:asciiTheme="minorHAnsi" w:hAnsiTheme="minorHAnsi" w:eastAsiaTheme="minorEastAsia" w:cstheme="minorBidi"/>
          <w:kern w:val="2"/>
          <w:sz w:val="21"/>
          <w:szCs w:val="24"/>
          <w:vertAlign w:val="baseline"/>
          <w:lang w:val="en-US" w:eastAsia="zh-CN" w:bidi="ar-SA"/>
        </w:rPr>
        <w:t>年</w:t>
      </w:r>
      <w:r>
        <w:rPr>
          <w:rFonts w:hint="eastAsia" w:cstheme="minorBidi"/>
          <w:kern w:val="2"/>
          <w:sz w:val="21"/>
          <w:szCs w:val="24"/>
          <w:vertAlign w:val="baseline"/>
          <w:lang w:val="en-US" w:eastAsia="zh-CN" w:bidi="ar-SA"/>
        </w:rPr>
        <w:t>6</w:t>
      </w:r>
      <w:r>
        <w:rPr>
          <w:rFonts w:hint="default" w:asciiTheme="minorHAnsi" w:hAnsiTheme="minorHAnsi" w:eastAsiaTheme="minorEastAsia" w:cstheme="minorBidi"/>
          <w:kern w:val="2"/>
          <w:sz w:val="21"/>
          <w:szCs w:val="24"/>
          <w:vertAlign w:val="baseline"/>
          <w:lang w:val="en-US" w:eastAsia="zh-CN" w:bidi="ar-SA"/>
        </w:rPr>
        <w:t>月</w:t>
      </w:r>
      <w:r>
        <w:rPr>
          <w:rFonts w:hint="eastAsia" w:cstheme="minorBidi"/>
          <w:kern w:val="2"/>
          <w:sz w:val="21"/>
          <w:szCs w:val="24"/>
          <w:vertAlign w:val="baseline"/>
          <w:lang w:val="en-US" w:eastAsia="zh-CN" w:bidi="ar-SA"/>
        </w:rPr>
        <w:t>21</w:t>
      </w:r>
      <w:r>
        <w:rPr>
          <w:rFonts w:hint="default" w:asciiTheme="minorHAnsi" w:hAnsiTheme="minorHAnsi" w:eastAsiaTheme="minorEastAsia" w:cstheme="minorBidi"/>
          <w:kern w:val="2"/>
          <w:sz w:val="21"/>
          <w:szCs w:val="24"/>
          <w:vertAlign w:val="baseline"/>
          <w:lang w:val="en-US" w:eastAsia="zh-CN" w:bidi="ar-SA"/>
        </w:rPr>
        <w:t>日。</w:t>
      </w:r>
    </w:p>
    <w:p>
      <w:pPr>
        <w:pStyle w:val="3"/>
        <w:keepNext w:val="0"/>
        <w:keepLines w:val="0"/>
        <w:widowControl/>
        <w:suppressLineNumbers w:val="0"/>
        <w:shd w:val="clear" w:fill="FFFFFF"/>
        <w:spacing w:before="0" w:beforeAutospacing="0" w:after="0" w:afterAutospacing="0" w:line="240" w:lineRule="auto"/>
        <w:ind w:left="0" w:right="0" w:firstLine="0"/>
        <w:jc w:val="left"/>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     电话：0398-5580001转5232</w:t>
      </w:r>
    </w:p>
    <w:p>
      <w:pPr>
        <w:pStyle w:val="3"/>
        <w:keepNext w:val="0"/>
        <w:keepLines w:val="0"/>
        <w:widowControl/>
        <w:suppressLineNumbers w:val="0"/>
        <w:shd w:val="clear" w:fill="FFFFFF"/>
        <w:spacing w:before="0" w:beforeAutospacing="0" w:after="0" w:afterAutospacing="0" w:line="240" w:lineRule="auto"/>
        <w:ind w:left="0" w:right="0" w:firstLine="0"/>
        <w:jc w:val="left"/>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     传真：0398-5580022</w:t>
      </w:r>
    </w:p>
    <w:p>
      <w:pPr>
        <w:pStyle w:val="3"/>
        <w:keepNext w:val="0"/>
        <w:keepLines w:val="0"/>
        <w:widowControl/>
        <w:suppressLineNumbers w:val="0"/>
        <w:shd w:val="clear" w:fill="FFFFFF"/>
        <w:spacing w:before="0" w:beforeAutospacing="0" w:after="0" w:afterAutospacing="0" w:line="240" w:lineRule="auto"/>
        <w:ind w:left="0" w:right="0" w:firstLine="0"/>
        <w:jc w:val="left"/>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     通讯地址：义马市银杏路西段（472300）</w:t>
      </w:r>
    </w:p>
    <w:p>
      <w:pPr>
        <w:pStyle w:val="3"/>
        <w:keepNext w:val="0"/>
        <w:keepLines w:val="0"/>
        <w:widowControl/>
        <w:suppressLineNumbers w:val="0"/>
        <w:shd w:val="clear" w:fill="FFFFFF"/>
        <w:spacing w:before="0" w:beforeAutospacing="0" w:after="0" w:afterAutospacing="0" w:line="240" w:lineRule="auto"/>
        <w:ind w:left="0" w:right="0" w:firstLine="0"/>
        <w:jc w:val="left"/>
      </w:pPr>
      <w:r>
        <w:rPr>
          <w:rFonts w:hint="default" w:asciiTheme="minorHAnsi" w:hAnsiTheme="minorHAnsi" w:eastAsiaTheme="minorEastAsia" w:cstheme="minorBidi"/>
          <w:kern w:val="2"/>
          <w:sz w:val="21"/>
          <w:szCs w:val="24"/>
          <w:vertAlign w:val="baseline"/>
          <w:lang w:val="en-US" w:eastAsia="zh-CN" w:bidi="ar-SA"/>
        </w:rPr>
        <w:t>     听证告知：依据《中华人民共和国行政许可法》，自公示起5日内申请人、有重大利益关系的利害关系人可对以下拟作出的建设项目环境影响评价文件批复决定要求听证。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858"/>
        <w:gridCol w:w="711"/>
        <w:gridCol w:w="711"/>
        <w:gridCol w:w="555"/>
        <w:gridCol w:w="1041"/>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711" w:type="dxa"/>
            <w:vAlign w:val="center"/>
          </w:tcPr>
          <w:p>
            <w:pPr>
              <w:jc w:val="center"/>
              <w:rPr>
                <w:rFonts w:hint="eastAsia" w:eastAsiaTheme="minorEastAsia"/>
                <w:vertAlign w:val="baseline"/>
                <w:lang w:eastAsia="zh-CN"/>
              </w:rPr>
            </w:pPr>
            <w:r>
              <w:rPr>
                <w:rFonts w:hint="eastAsia"/>
                <w:vertAlign w:val="baseline"/>
                <w:lang w:eastAsia="zh-CN"/>
              </w:rPr>
              <w:t>项目名称</w:t>
            </w:r>
          </w:p>
        </w:tc>
        <w:tc>
          <w:tcPr>
            <w:tcW w:w="858" w:type="dxa"/>
            <w:vAlign w:val="center"/>
          </w:tcPr>
          <w:p>
            <w:pPr>
              <w:jc w:val="center"/>
              <w:rPr>
                <w:rFonts w:hint="eastAsia" w:eastAsiaTheme="minorEastAsia"/>
                <w:vertAlign w:val="baseline"/>
                <w:lang w:eastAsia="zh-CN"/>
              </w:rPr>
            </w:pPr>
            <w:r>
              <w:rPr>
                <w:rFonts w:hint="eastAsia"/>
                <w:vertAlign w:val="baseline"/>
                <w:lang w:eastAsia="zh-CN"/>
              </w:rPr>
              <w:t>受理时间</w:t>
            </w:r>
          </w:p>
        </w:tc>
        <w:tc>
          <w:tcPr>
            <w:tcW w:w="711" w:type="dxa"/>
            <w:vAlign w:val="center"/>
          </w:tcPr>
          <w:p>
            <w:pPr>
              <w:jc w:val="center"/>
              <w:rPr>
                <w:rFonts w:hint="default" w:eastAsiaTheme="minorEastAsia"/>
                <w:vertAlign w:val="baseline"/>
                <w:lang w:val="en-US" w:eastAsia="zh-CN"/>
              </w:rPr>
            </w:pPr>
            <w:r>
              <w:rPr>
                <w:rFonts w:hint="eastAsia"/>
                <w:vertAlign w:val="baseline"/>
                <w:lang w:eastAsia="zh-CN"/>
              </w:rPr>
              <w:t>环评文件</w:t>
            </w:r>
            <w:r>
              <w:rPr>
                <w:rFonts w:hint="eastAsia"/>
                <w:vertAlign w:val="baseline"/>
                <w:lang w:val="en-US" w:eastAsia="zh-CN"/>
              </w:rPr>
              <w:t>/环评机构</w:t>
            </w:r>
          </w:p>
        </w:tc>
        <w:tc>
          <w:tcPr>
            <w:tcW w:w="711" w:type="dxa"/>
            <w:vAlign w:val="center"/>
          </w:tcPr>
          <w:p>
            <w:pPr>
              <w:jc w:val="center"/>
              <w:rPr>
                <w:rFonts w:hint="eastAsia" w:eastAsiaTheme="minorEastAsia"/>
                <w:vertAlign w:val="baseline"/>
                <w:lang w:eastAsia="zh-CN"/>
              </w:rPr>
            </w:pPr>
            <w:r>
              <w:rPr>
                <w:rFonts w:hint="eastAsia"/>
                <w:vertAlign w:val="baseline"/>
                <w:lang w:eastAsia="zh-CN"/>
              </w:rPr>
              <w:t>建设地点</w:t>
            </w:r>
          </w:p>
        </w:tc>
        <w:tc>
          <w:tcPr>
            <w:tcW w:w="555" w:type="dxa"/>
            <w:vAlign w:val="center"/>
          </w:tcPr>
          <w:p>
            <w:pPr>
              <w:jc w:val="center"/>
              <w:rPr>
                <w:rFonts w:hint="eastAsia" w:eastAsiaTheme="minorEastAsia"/>
                <w:vertAlign w:val="baseline"/>
                <w:lang w:eastAsia="zh-CN"/>
              </w:rPr>
            </w:pPr>
            <w:r>
              <w:rPr>
                <w:rFonts w:hint="eastAsia"/>
                <w:vertAlign w:val="baseline"/>
                <w:lang w:eastAsia="zh-CN"/>
              </w:rPr>
              <w:t>建设单位</w:t>
            </w:r>
          </w:p>
        </w:tc>
        <w:tc>
          <w:tcPr>
            <w:tcW w:w="1041" w:type="dxa"/>
            <w:vAlign w:val="center"/>
          </w:tcPr>
          <w:p>
            <w:pPr>
              <w:jc w:val="center"/>
              <w:rPr>
                <w:rFonts w:hint="eastAsia" w:eastAsiaTheme="minorEastAsia"/>
                <w:vertAlign w:val="baseline"/>
                <w:lang w:eastAsia="zh-CN"/>
              </w:rPr>
            </w:pPr>
            <w:r>
              <w:rPr>
                <w:rFonts w:hint="eastAsia"/>
                <w:vertAlign w:val="baseline"/>
                <w:lang w:eastAsia="zh-CN"/>
              </w:rPr>
              <w:t>基本情况</w:t>
            </w:r>
          </w:p>
        </w:tc>
        <w:tc>
          <w:tcPr>
            <w:tcW w:w="2426" w:type="dxa"/>
            <w:vAlign w:val="center"/>
          </w:tcPr>
          <w:p>
            <w:pPr>
              <w:jc w:val="center"/>
              <w:rPr>
                <w:vertAlign w:val="baseline"/>
              </w:rPr>
            </w:pPr>
            <w:r>
              <w:rPr>
                <w:vertAlign w:val="baseline"/>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2" w:hRule="atLeast"/>
          <w:jc w:val="center"/>
        </w:trPr>
        <w:tc>
          <w:tcPr>
            <w:tcW w:w="711"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711" w:type="dxa"/>
            <w:vAlign w:val="center"/>
          </w:tcPr>
          <w:p>
            <w:pPr>
              <w:jc w:val="center"/>
              <w:rPr>
                <w:vertAlign w:val="baseline"/>
              </w:rPr>
            </w:pPr>
            <w:r>
              <w:rPr>
                <w:vertAlign w:val="baseline"/>
              </w:rPr>
              <w:t>义煤集团豫西煤炭储备基地（一期）项目（重大变动）</w:t>
            </w:r>
          </w:p>
        </w:tc>
        <w:tc>
          <w:tcPr>
            <w:tcW w:w="858" w:type="dxa"/>
            <w:vAlign w:val="center"/>
          </w:tcPr>
          <w:p>
            <w:pPr>
              <w:jc w:val="center"/>
              <w:rPr>
                <w:vertAlign w:val="baseline"/>
              </w:rPr>
            </w:pPr>
            <w:r>
              <w:rPr>
                <w:rFonts w:hint="eastAsia"/>
                <w:vertAlign w:val="baseline"/>
              </w:rPr>
              <w:t>202</w:t>
            </w:r>
            <w:r>
              <w:rPr>
                <w:rFonts w:hint="eastAsia"/>
                <w:vertAlign w:val="baseline"/>
                <w:lang w:val="en-US" w:eastAsia="zh-CN"/>
              </w:rPr>
              <w:t>3</w:t>
            </w:r>
            <w:r>
              <w:rPr>
                <w:rFonts w:hint="default"/>
                <w:vertAlign w:val="baseline"/>
              </w:rPr>
              <w:t>年</w:t>
            </w:r>
            <w:r>
              <w:rPr>
                <w:rFonts w:hint="eastAsia"/>
                <w:vertAlign w:val="baseline"/>
                <w:lang w:val="en-US" w:eastAsia="zh-CN"/>
              </w:rPr>
              <w:t>6</w:t>
            </w:r>
            <w:r>
              <w:rPr>
                <w:rFonts w:hint="default"/>
                <w:vertAlign w:val="baseline"/>
              </w:rPr>
              <w:t>月</w:t>
            </w:r>
            <w:r>
              <w:rPr>
                <w:rFonts w:hint="eastAsia"/>
                <w:vertAlign w:val="baseline"/>
                <w:lang w:val="en-US" w:eastAsia="zh-CN"/>
              </w:rPr>
              <w:t>15</w:t>
            </w:r>
            <w:r>
              <w:rPr>
                <w:rFonts w:hint="default"/>
                <w:vertAlign w:val="baseline"/>
              </w:rPr>
              <w:t>日</w:t>
            </w:r>
          </w:p>
        </w:tc>
        <w:tc>
          <w:tcPr>
            <w:tcW w:w="711" w:type="dxa"/>
            <w:vAlign w:val="center"/>
          </w:tcPr>
          <w:p>
            <w:pPr>
              <w:jc w:val="center"/>
              <w:rPr>
                <w:vertAlign w:val="baseline"/>
              </w:rPr>
            </w:pPr>
            <w:r>
              <w:rPr>
                <w:rFonts w:hint="eastAsia"/>
                <w:vertAlign w:val="baseline"/>
              </w:rPr>
              <w:t>报告</w:t>
            </w:r>
            <w:r>
              <w:rPr>
                <w:rFonts w:hint="eastAsia"/>
                <w:vertAlign w:val="baseline"/>
                <w:lang w:eastAsia="zh-CN"/>
              </w:rPr>
              <w:t>表</w:t>
            </w:r>
            <w:r>
              <w:rPr>
                <w:vertAlign w:val="baseline"/>
              </w:rPr>
              <w:t>/</w:t>
            </w:r>
            <w:r>
              <w:rPr>
                <w:rFonts w:hint="eastAsia"/>
                <w:vertAlign w:val="baseline"/>
                <w:lang w:eastAsia="zh-CN"/>
              </w:rPr>
              <w:t>河南文汇环保科技有限公司</w:t>
            </w:r>
          </w:p>
        </w:tc>
        <w:tc>
          <w:tcPr>
            <w:tcW w:w="711" w:type="dxa"/>
            <w:vAlign w:val="center"/>
          </w:tcPr>
          <w:p>
            <w:pPr>
              <w:jc w:val="center"/>
              <w:rPr>
                <w:vertAlign w:val="baseline"/>
              </w:rPr>
            </w:pPr>
            <w:r>
              <w:rPr>
                <w:vertAlign w:val="baseline"/>
              </w:rPr>
              <w:t xml:space="preserve">河南 省 </w:t>
            </w:r>
            <w:r>
              <w:rPr>
                <w:rFonts w:hint="eastAsia"/>
                <w:vertAlign w:val="baseline"/>
              </w:rPr>
              <w:t>三门峡</w:t>
            </w:r>
            <w:r>
              <w:rPr>
                <w:vertAlign w:val="baseline"/>
              </w:rPr>
              <w:t xml:space="preserve"> 市 </w:t>
            </w:r>
            <w:r>
              <w:rPr>
                <w:rFonts w:hint="eastAsia"/>
                <w:vertAlign w:val="baseline"/>
              </w:rPr>
              <w:t>义马市常村煤矿工业广场</w:t>
            </w:r>
          </w:p>
        </w:tc>
        <w:tc>
          <w:tcPr>
            <w:tcW w:w="555" w:type="dxa"/>
            <w:vAlign w:val="center"/>
          </w:tcPr>
          <w:p>
            <w:pPr>
              <w:jc w:val="center"/>
              <w:rPr>
                <w:vertAlign w:val="baseline"/>
              </w:rPr>
            </w:pPr>
            <w:r>
              <w:rPr>
                <w:vertAlign w:val="baseline"/>
              </w:rPr>
              <w:t>义马煤业集团股份有限公司</w:t>
            </w:r>
          </w:p>
        </w:tc>
        <w:tc>
          <w:tcPr>
            <w:tcW w:w="1041" w:type="dxa"/>
            <w:vAlign w:val="center"/>
          </w:tcPr>
          <w:p>
            <w:pPr>
              <w:jc w:val="center"/>
              <w:rPr>
                <w:vertAlign w:val="baseline"/>
              </w:rPr>
            </w:pPr>
            <w:r>
              <w:rPr>
                <w:vertAlign w:val="baseline"/>
              </w:rPr>
              <w:t>总投资17246万元，建设内容主要为新建火车卸煤棚、转载站、管状胶带输送机，以及对现有工程汽车受煤坑、煤炭堆场、末煤精配仓、末煤地销仓等环保设施提升改</w:t>
            </w:r>
            <w:bookmarkStart w:id="0" w:name="_GoBack"/>
            <w:bookmarkEnd w:id="0"/>
            <w:r>
              <w:rPr>
                <w:vertAlign w:val="baseline"/>
              </w:rPr>
              <w:t>造。</w:t>
            </w:r>
          </w:p>
        </w:tc>
        <w:tc>
          <w:tcPr>
            <w:tcW w:w="2426" w:type="dxa"/>
            <w:vAlign w:val="center"/>
          </w:tcPr>
          <w:p>
            <w:pPr>
              <w:jc w:val="left"/>
              <w:rPr>
                <w:rFonts w:hint="eastAsia" w:eastAsiaTheme="minorEastAsia"/>
                <w:vertAlign w:val="baseline"/>
                <w:lang w:eastAsia="zh-CN"/>
              </w:rPr>
            </w:pPr>
            <w:r>
              <w:rPr>
                <w:rFonts w:hint="eastAsia" w:eastAsiaTheme="minorEastAsia"/>
                <w:vertAlign w:val="baseline"/>
                <w:lang w:eastAsia="zh-CN"/>
              </w:rPr>
              <w:t>1.废气。项目运营期产生的废气应满足《煤炭工业污染物排放标准》（GB20426-2006）要求和《河南省重污染天气重点行业应急减排措施制定技术指南（2021年修订版）》中“一、矿石（煤炭）采选与加工行业”绩效分级指标A级企业标准要求。</w:t>
            </w:r>
          </w:p>
          <w:p>
            <w:pPr>
              <w:jc w:val="left"/>
              <w:rPr>
                <w:rFonts w:hint="eastAsia" w:eastAsiaTheme="minorEastAsia"/>
                <w:vertAlign w:val="baseline"/>
                <w:lang w:eastAsia="zh-CN"/>
              </w:rPr>
            </w:pPr>
            <w:r>
              <w:rPr>
                <w:rFonts w:hint="eastAsia" w:eastAsiaTheme="minorEastAsia"/>
                <w:vertAlign w:val="baseline"/>
                <w:lang w:eastAsia="zh-CN"/>
              </w:rPr>
              <w:t>2.废水。降尘用水由产品带走，不外排；软化系统废水经收集后用于车辆冲洗装置补水和厂区洒水降尘，不外排。</w:t>
            </w:r>
          </w:p>
          <w:p>
            <w:pPr>
              <w:jc w:val="left"/>
              <w:rPr>
                <w:rFonts w:hint="eastAsia" w:eastAsiaTheme="minorEastAsia"/>
                <w:vertAlign w:val="baseline"/>
                <w:lang w:eastAsia="zh-CN"/>
              </w:rPr>
            </w:pPr>
            <w:r>
              <w:rPr>
                <w:rFonts w:hint="eastAsia" w:eastAsiaTheme="minorEastAsia"/>
                <w:vertAlign w:val="baseline"/>
                <w:lang w:eastAsia="zh-CN"/>
              </w:rPr>
              <w:t>3.噪声。厂界噪声应满足《工业企业厂界环境噪声排放标准》（GB12348-2008）2类标准要求。</w:t>
            </w:r>
          </w:p>
          <w:p>
            <w:pPr>
              <w:jc w:val="left"/>
              <w:rPr>
                <w:rFonts w:hint="eastAsia" w:eastAsiaTheme="minorEastAsia"/>
                <w:vertAlign w:val="baseline"/>
                <w:lang w:eastAsia="zh-CN"/>
              </w:rPr>
            </w:pPr>
            <w:r>
              <w:rPr>
                <w:rFonts w:hint="eastAsia" w:eastAsiaTheme="minorEastAsia"/>
                <w:vertAlign w:val="baseline"/>
                <w:lang w:eastAsia="zh-CN"/>
              </w:rPr>
              <w:t xml:space="preserve">4.固废。除尘器收尘集中收集后掺入产品外售；软化系统废活性炭、废离子交换树脂由厂家回收。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Tahoma">
    <w:altName w:val="DejaVu San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pStyle w:val="2"/>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C3E6D"/>
    <w:rsid w:val="263B8CD4"/>
    <w:rsid w:val="3DBE2E0A"/>
    <w:rsid w:val="55FB8CE3"/>
    <w:rsid w:val="573EDACA"/>
    <w:rsid w:val="6F9F8BD3"/>
    <w:rsid w:val="76E6654E"/>
    <w:rsid w:val="790C3E6D"/>
    <w:rsid w:val="9F7FFBDE"/>
    <w:rsid w:val="D3FEA161"/>
    <w:rsid w:val="EFFABD46"/>
    <w:rsid w:val="FB9E896C"/>
    <w:rsid w:val="FFBE8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1230"/>
      </w:tabs>
      <w:spacing w:before="240" w:beforeLines="0" w:after="240" w:afterLines="0" w:line="360" w:lineRule="auto"/>
      <w:outlineLvl w:val="0"/>
    </w:pPr>
    <w:rPr>
      <w:b/>
      <w:kern w:val="44"/>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2021-10-17T14:54:00Z</dcterms:created>
  <dc:creator>江南的夏天</dc:creator>
  <cp:lastModifiedBy>lenovo</cp:lastModifiedBy>
  <dcterms:modified xsi:type="dcterms:W3CDTF">2023-06-21T11:19:29Z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2C07DE1F18584D1BA878510AAA2DBA02</vt:lpwstr>
  </property>
</Properties>
</file>